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6FA" w:rsidRDefault="00283684">
      <w:pPr>
        <w:jc w:val="center"/>
        <w:rPr>
          <w:b/>
          <w:bCs/>
        </w:rPr>
      </w:pPr>
      <w:r>
        <w:rPr>
          <w:b/>
          <w:bCs/>
        </w:rPr>
        <w:t xml:space="preserve">PROGRAM </w:t>
      </w:r>
      <w:r w:rsidR="00A126FA">
        <w:rPr>
          <w:b/>
          <w:bCs/>
        </w:rPr>
        <w:t>INFORMATION DOCUMENT (PID)</w:t>
      </w:r>
    </w:p>
    <w:p w:rsidR="00A126FA" w:rsidRDefault="00034C14">
      <w:pPr>
        <w:jc w:val="center"/>
        <w:rPr>
          <w:b/>
          <w:bCs/>
        </w:rPr>
      </w:pPr>
      <w:r>
        <w:rPr>
          <w:b/>
          <w:bCs/>
        </w:rPr>
        <w:t>APPRAISAL</w:t>
      </w:r>
      <w:r w:rsidR="00A126FA">
        <w:rPr>
          <w:b/>
          <w:bCs/>
        </w:rPr>
        <w:t xml:space="preserve"> STAGE</w:t>
      </w:r>
    </w:p>
    <w:p w:rsidR="00283684" w:rsidRDefault="008B68B0" w:rsidP="00C67E15">
      <w:pPr>
        <w:jc w:val="right"/>
      </w:pPr>
      <w:r>
        <w:t>June 22</w:t>
      </w:r>
      <w:r w:rsidR="00F86758">
        <w:t>, 2014</w:t>
      </w:r>
    </w:p>
    <w:p w:rsidR="001D607D" w:rsidRPr="002C452B" w:rsidRDefault="001D607D" w:rsidP="001D607D">
      <w:pPr>
        <w:ind w:right="720"/>
        <w:jc w:val="right"/>
      </w:pPr>
      <w:r w:rsidRPr="002C452B">
        <w:t xml:space="preserve">Report No.:  </w:t>
      </w:r>
      <w:r w:rsidR="00F86758" w:rsidRPr="002C452B">
        <w:rPr>
          <w:color w:val="000000"/>
        </w:rPr>
        <w:t>A</w:t>
      </w:r>
      <w:r w:rsidR="00967126">
        <w:rPr>
          <w:color w:val="000000"/>
        </w:rPr>
        <w:t>B7587</w:t>
      </w:r>
      <w:bookmarkStart w:id="0" w:name="_GoBack"/>
      <w:bookmarkEnd w:id="0"/>
    </w:p>
    <w:p w:rsidR="00C67E15" w:rsidRPr="00AA5A30" w:rsidRDefault="00C67E15">
      <w:pPr>
        <w:jc w:val="center"/>
        <w:rPr>
          <w:b/>
          <w:bCs/>
          <w:i/>
        </w:rPr>
      </w:pPr>
    </w:p>
    <w:tbl>
      <w:tblPr>
        <w:tblW w:w="95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20"/>
        <w:gridCol w:w="6120"/>
      </w:tblGrid>
      <w:tr w:rsidR="001D607D" w:rsidTr="009835DC">
        <w:tc>
          <w:tcPr>
            <w:tcW w:w="3420" w:type="dxa"/>
            <w:tcBorders>
              <w:top w:val="single" w:sz="4" w:space="0" w:color="auto"/>
              <w:left w:val="single" w:sz="4" w:space="0" w:color="auto"/>
              <w:bottom w:val="single" w:sz="4" w:space="0" w:color="auto"/>
              <w:right w:val="single" w:sz="4" w:space="0" w:color="auto"/>
            </w:tcBorders>
          </w:tcPr>
          <w:p w:rsidR="001D607D" w:rsidRDefault="001D607D" w:rsidP="009835DC">
            <w:pPr>
              <w:rPr>
                <w:b/>
                <w:bCs/>
              </w:rPr>
            </w:pPr>
            <w:r>
              <w:rPr>
                <w:b/>
                <w:bCs/>
              </w:rPr>
              <w:t>Operation Name</w:t>
            </w:r>
          </w:p>
        </w:tc>
        <w:tc>
          <w:tcPr>
            <w:tcW w:w="6120" w:type="dxa"/>
            <w:tcBorders>
              <w:top w:val="single" w:sz="4" w:space="0" w:color="auto"/>
              <w:left w:val="single" w:sz="4" w:space="0" w:color="auto"/>
              <w:bottom w:val="single" w:sz="4" w:space="0" w:color="auto"/>
              <w:right w:val="single" w:sz="4" w:space="0" w:color="auto"/>
            </w:tcBorders>
          </w:tcPr>
          <w:p w:rsidR="001D607D" w:rsidRDefault="00F86758" w:rsidP="009835DC">
            <w:bookmarkStart w:id="1" w:name="PROJECTNAME"/>
            <w:r>
              <w:t xml:space="preserve">First </w:t>
            </w:r>
            <w:r w:rsidR="007C2444">
              <w:t>Programmatic Financial Sector DPL</w:t>
            </w:r>
            <w:bookmarkEnd w:id="1"/>
          </w:p>
        </w:tc>
      </w:tr>
      <w:tr w:rsidR="001D607D" w:rsidTr="009835DC">
        <w:tc>
          <w:tcPr>
            <w:tcW w:w="3420" w:type="dxa"/>
            <w:tcBorders>
              <w:top w:val="single" w:sz="4" w:space="0" w:color="auto"/>
              <w:left w:val="single" w:sz="4" w:space="0" w:color="auto"/>
              <w:bottom w:val="single" w:sz="4" w:space="0" w:color="auto"/>
              <w:right w:val="single" w:sz="4" w:space="0" w:color="auto"/>
            </w:tcBorders>
          </w:tcPr>
          <w:p w:rsidR="001D607D" w:rsidRDefault="001D607D" w:rsidP="009835DC">
            <w:pPr>
              <w:rPr>
                <w:b/>
                <w:bCs/>
              </w:rPr>
            </w:pPr>
            <w:r>
              <w:rPr>
                <w:b/>
                <w:bCs/>
              </w:rPr>
              <w:t>Region</w:t>
            </w:r>
          </w:p>
        </w:tc>
        <w:tc>
          <w:tcPr>
            <w:tcW w:w="6120" w:type="dxa"/>
            <w:tcBorders>
              <w:top w:val="single" w:sz="4" w:space="0" w:color="auto"/>
              <w:left w:val="single" w:sz="4" w:space="0" w:color="auto"/>
              <w:bottom w:val="single" w:sz="4" w:space="0" w:color="auto"/>
              <w:right w:val="single" w:sz="4" w:space="0" w:color="auto"/>
            </w:tcBorders>
          </w:tcPr>
          <w:p w:rsidR="001D607D" w:rsidRDefault="007C2444" w:rsidP="009835DC">
            <w:bookmarkStart w:id="2" w:name="REGION"/>
            <w:r>
              <w:t>EUROPE AND CENTRAL ASIA</w:t>
            </w:r>
            <w:bookmarkEnd w:id="2"/>
          </w:p>
        </w:tc>
      </w:tr>
      <w:tr w:rsidR="001D607D" w:rsidTr="009835DC">
        <w:tc>
          <w:tcPr>
            <w:tcW w:w="3420" w:type="dxa"/>
            <w:tcBorders>
              <w:top w:val="single" w:sz="4" w:space="0" w:color="auto"/>
              <w:left w:val="single" w:sz="4" w:space="0" w:color="auto"/>
              <w:bottom w:val="single" w:sz="4" w:space="0" w:color="auto"/>
              <w:right w:val="single" w:sz="4" w:space="0" w:color="auto"/>
            </w:tcBorders>
          </w:tcPr>
          <w:p w:rsidR="001D607D" w:rsidRDefault="001D607D" w:rsidP="009835DC">
            <w:pPr>
              <w:rPr>
                <w:b/>
                <w:bCs/>
              </w:rPr>
            </w:pPr>
            <w:r>
              <w:rPr>
                <w:b/>
                <w:bCs/>
              </w:rPr>
              <w:t>Country</w:t>
            </w:r>
          </w:p>
        </w:tc>
        <w:tc>
          <w:tcPr>
            <w:tcW w:w="6120" w:type="dxa"/>
            <w:tcBorders>
              <w:top w:val="single" w:sz="4" w:space="0" w:color="auto"/>
              <w:left w:val="single" w:sz="4" w:space="0" w:color="auto"/>
              <w:bottom w:val="single" w:sz="4" w:space="0" w:color="auto"/>
              <w:right w:val="single" w:sz="4" w:space="0" w:color="auto"/>
            </w:tcBorders>
          </w:tcPr>
          <w:p w:rsidR="001D607D" w:rsidRDefault="007C2444" w:rsidP="009835DC">
            <w:bookmarkStart w:id="3" w:name="COUNTRY"/>
            <w:r>
              <w:t>Ukraine</w:t>
            </w:r>
            <w:bookmarkEnd w:id="3"/>
          </w:p>
        </w:tc>
      </w:tr>
      <w:tr w:rsidR="001D607D" w:rsidTr="009835DC">
        <w:tc>
          <w:tcPr>
            <w:tcW w:w="3420" w:type="dxa"/>
            <w:tcBorders>
              <w:top w:val="single" w:sz="4" w:space="0" w:color="auto"/>
              <w:left w:val="single" w:sz="4" w:space="0" w:color="auto"/>
              <w:bottom w:val="single" w:sz="4" w:space="0" w:color="auto"/>
              <w:right w:val="single" w:sz="4" w:space="0" w:color="auto"/>
            </w:tcBorders>
          </w:tcPr>
          <w:p w:rsidR="001D607D" w:rsidRDefault="001D607D" w:rsidP="009835DC">
            <w:pPr>
              <w:rPr>
                <w:b/>
                <w:bCs/>
              </w:rPr>
            </w:pPr>
            <w:r>
              <w:rPr>
                <w:b/>
                <w:bCs/>
              </w:rPr>
              <w:t>Sector</w:t>
            </w:r>
          </w:p>
        </w:tc>
        <w:tc>
          <w:tcPr>
            <w:tcW w:w="6120" w:type="dxa"/>
            <w:tcBorders>
              <w:top w:val="single" w:sz="4" w:space="0" w:color="auto"/>
              <w:left w:val="single" w:sz="4" w:space="0" w:color="auto"/>
              <w:bottom w:val="single" w:sz="4" w:space="0" w:color="auto"/>
              <w:right w:val="single" w:sz="4" w:space="0" w:color="auto"/>
            </w:tcBorders>
          </w:tcPr>
          <w:p w:rsidR="001D607D" w:rsidRDefault="007C2444" w:rsidP="009835DC">
            <w:bookmarkStart w:id="4" w:name="SECTOR"/>
            <w:r>
              <w:t>Banking (100%)</w:t>
            </w:r>
            <w:bookmarkEnd w:id="4"/>
          </w:p>
        </w:tc>
      </w:tr>
      <w:tr w:rsidR="001D607D" w:rsidTr="009835DC">
        <w:tc>
          <w:tcPr>
            <w:tcW w:w="3420" w:type="dxa"/>
            <w:tcBorders>
              <w:top w:val="single" w:sz="4" w:space="0" w:color="auto"/>
              <w:left w:val="single" w:sz="4" w:space="0" w:color="auto"/>
              <w:bottom w:val="single" w:sz="4" w:space="0" w:color="auto"/>
              <w:right w:val="single" w:sz="4" w:space="0" w:color="auto"/>
            </w:tcBorders>
          </w:tcPr>
          <w:p w:rsidR="001D607D" w:rsidRDefault="001D607D" w:rsidP="009835DC">
            <w:pPr>
              <w:rPr>
                <w:b/>
                <w:bCs/>
              </w:rPr>
            </w:pPr>
            <w:r>
              <w:rPr>
                <w:b/>
                <w:bCs/>
              </w:rPr>
              <w:t>Operation ID</w:t>
            </w:r>
          </w:p>
        </w:tc>
        <w:tc>
          <w:tcPr>
            <w:tcW w:w="6120" w:type="dxa"/>
            <w:tcBorders>
              <w:top w:val="single" w:sz="4" w:space="0" w:color="auto"/>
              <w:left w:val="single" w:sz="4" w:space="0" w:color="auto"/>
              <w:bottom w:val="single" w:sz="4" w:space="0" w:color="auto"/>
              <w:right w:val="single" w:sz="4" w:space="0" w:color="auto"/>
            </w:tcBorders>
          </w:tcPr>
          <w:p w:rsidR="001D607D" w:rsidRDefault="007C2444" w:rsidP="009835DC">
            <w:bookmarkStart w:id="5" w:name="PROJECTCODE"/>
            <w:r>
              <w:t>P150677</w:t>
            </w:r>
            <w:bookmarkEnd w:id="5"/>
          </w:p>
        </w:tc>
      </w:tr>
      <w:tr w:rsidR="001D607D" w:rsidTr="009835DC">
        <w:tc>
          <w:tcPr>
            <w:tcW w:w="3420" w:type="dxa"/>
            <w:tcBorders>
              <w:top w:val="single" w:sz="4" w:space="0" w:color="auto"/>
              <w:left w:val="single" w:sz="4" w:space="0" w:color="auto"/>
              <w:bottom w:val="single" w:sz="4" w:space="0" w:color="auto"/>
              <w:right w:val="single" w:sz="4" w:space="0" w:color="auto"/>
            </w:tcBorders>
          </w:tcPr>
          <w:p w:rsidR="001D607D" w:rsidRDefault="001D607D" w:rsidP="009835DC">
            <w:pPr>
              <w:rPr>
                <w:b/>
                <w:bCs/>
              </w:rPr>
            </w:pPr>
            <w:r>
              <w:rPr>
                <w:b/>
                <w:bCs/>
              </w:rPr>
              <w:t>Lending Instrument</w:t>
            </w:r>
          </w:p>
        </w:tc>
        <w:tc>
          <w:tcPr>
            <w:tcW w:w="6120" w:type="dxa"/>
            <w:tcBorders>
              <w:top w:val="single" w:sz="4" w:space="0" w:color="auto"/>
              <w:left w:val="single" w:sz="4" w:space="0" w:color="auto"/>
              <w:bottom w:val="single" w:sz="4" w:space="0" w:color="auto"/>
              <w:right w:val="single" w:sz="4" w:space="0" w:color="auto"/>
            </w:tcBorders>
          </w:tcPr>
          <w:p w:rsidR="001D607D" w:rsidRDefault="007C2444" w:rsidP="009835DC">
            <w:bookmarkStart w:id="6" w:name="INSTR_NAME"/>
            <w:r>
              <w:t>Development Policy Lending</w:t>
            </w:r>
            <w:bookmarkEnd w:id="6"/>
          </w:p>
        </w:tc>
      </w:tr>
      <w:tr w:rsidR="001D607D" w:rsidTr="009835DC">
        <w:tc>
          <w:tcPr>
            <w:tcW w:w="3420" w:type="dxa"/>
            <w:tcBorders>
              <w:top w:val="single" w:sz="4" w:space="0" w:color="auto"/>
              <w:left w:val="single" w:sz="4" w:space="0" w:color="auto"/>
              <w:bottom w:val="single" w:sz="4" w:space="0" w:color="auto"/>
              <w:right w:val="single" w:sz="4" w:space="0" w:color="auto"/>
            </w:tcBorders>
          </w:tcPr>
          <w:p w:rsidR="001D607D" w:rsidRDefault="001D607D" w:rsidP="009835DC">
            <w:pPr>
              <w:rPr>
                <w:b/>
                <w:bCs/>
              </w:rPr>
            </w:pPr>
            <w:r>
              <w:rPr>
                <w:b/>
                <w:bCs/>
              </w:rPr>
              <w:t>Borrower(s)</w:t>
            </w:r>
          </w:p>
        </w:tc>
        <w:tc>
          <w:tcPr>
            <w:tcW w:w="6120" w:type="dxa"/>
            <w:tcBorders>
              <w:top w:val="single" w:sz="4" w:space="0" w:color="auto"/>
              <w:left w:val="single" w:sz="4" w:space="0" w:color="auto"/>
              <w:bottom w:val="single" w:sz="4" w:space="0" w:color="auto"/>
              <w:right w:val="single" w:sz="4" w:space="0" w:color="auto"/>
            </w:tcBorders>
          </w:tcPr>
          <w:p w:rsidR="001D607D" w:rsidRDefault="007C2444" w:rsidP="009835DC">
            <w:bookmarkStart w:id="7" w:name="BORROWERNAME"/>
            <w:r>
              <w:t>UKRAINE</w:t>
            </w:r>
            <w:bookmarkEnd w:id="7"/>
          </w:p>
        </w:tc>
      </w:tr>
      <w:tr w:rsidR="001D607D" w:rsidTr="009835DC">
        <w:trPr>
          <w:trHeight w:val="140"/>
        </w:trPr>
        <w:tc>
          <w:tcPr>
            <w:tcW w:w="3420" w:type="dxa"/>
            <w:tcBorders>
              <w:top w:val="single" w:sz="4" w:space="0" w:color="auto"/>
              <w:left w:val="single" w:sz="4" w:space="0" w:color="auto"/>
              <w:bottom w:val="nil"/>
              <w:right w:val="single" w:sz="4" w:space="0" w:color="auto"/>
            </w:tcBorders>
          </w:tcPr>
          <w:p w:rsidR="001D607D" w:rsidRDefault="001D607D" w:rsidP="009835DC">
            <w:pPr>
              <w:rPr>
                <w:b/>
                <w:bCs/>
              </w:rPr>
            </w:pPr>
            <w:r>
              <w:rPr>
                <w:b/>
                <w:bCs/>
              </w:rPr>
              <w:t>Implementing Agency</w:t>
            </w:r>
          </w:p>
        </w:tc>
        <w:tc>
          <w:tcPr>
            <w:tcW w:w="6120" w:type="dxa"/>
            <w:tcBorders>
              <w:top w:val="single" w:sz="4" w:space="0" w:color="auto"/>
              <w:left w:val="single" w:sz="4" w:space="0" w:color="auto"/>
              <w:bottom w:val="nil"/>
              <w:right w:val="single" w:sz="4" w:space="0" w:color="auto"/>
            </w:tcBorders>
          </w:tcPr>
          <w:p w:rsidR="001D607D" w:rsidRDefault="00933891" w:rsidP="009835DC">
            <w:bookmarkStart w:id="8" w:name="IMPLEMENTINGAGENCY"/>
            <w:bookmarkEnd w:id="8"/>
            <w:r w:rsidRPr="000F117E">
              <w:rPr>
                <w:rFonts w:eastAsiaTheme="minorEastAsia"/>
                <w:iCs/>
              </w:rPr>
              <w:t>Ministry of Finance</w:t>
            </w:r>
            <w:r>
              <w:rPr>
                <w:rFonts w:eastAsiaTheme="minorEastAsia"/>
                <w:iCs/>
              </w:rPr>
              <w:t>, National Bank of Ukraine and Deposit Guarantee Fund</w:t>
            </w:r>
          </w:p>
        </w:tc>
      </w:tr>
      <w:tr w:rsidR="001D607D" w:rsidTr="009835DC">
        <w:tc>
          <w:tcPr>
            <w:tcW w:w="3420" w:type="dxa"/>
            <w:tcBorders>
              <w:top w:val="single" w:sz="4" w:space="0" w:color="auto"/>
              <w:left w:val="single" w:sz="4" w:space="0" w:color="auto"/>
              <w:bottom w:val="single" w:sz="4" w:space="0" w:color="auto"/>
              <w:right w:val="single" w:sz="4" w:space="0" w:color="auto"/>
            </w:tcBorders>
          </w:tcPr>
          <w:p w:rsidR="001D607D" w:rsidRDefault="001D607D" w:rsidP="009835DC">
            <w:pPr>
              <w:rPr>
                <w:b/>
                <w:bCs/>
              </w:rPr>
            </w:pPr>
            <w:r>
              <w:rPr>
                <w:b/>
                <w:bCs/>
              </w:rPr>
              <w:t>Date PID Prepared</w:t>
            </w:r>
          </w:p>
        </w:tc>
        <w:tc>
          <w:tcPr>
            <w:tcW w:w="6120" w:type="dxa"/>
            <w:tcBorders>
              <w:top w:val="single" w:sz="4" w:space="0" w:color="auto"/>
              <w:left w:val="single" w:sz="4" w:space="0" w:color="auto"/>
              <w:bottom w:val="single" w:sz="4" w:space="0" w:color="auto"/>
              <w:right w:val="single" w:sz="4" w:space="0" w:color="auto"/>
            </w:tcBorders>
          </w:tcPr>
          <w:p w:rsidR="001D607D" w:rsidRDefault="00933891" w:rsidP="009835DC">
            <w:bookmarkStart w:id="9" w:name="DATEPREPARED"/>
            <w:r>
              <w:t>June 12</w:t>
            </w:r>
            <w:r w:rsidR="007C2444">
              <w:t>, 2014</w:t>
            </w:r>
            <w:bookmarkEnd w:id="9"/>
          </w:p>
        </w:tc>
      </w:tr>
      <w:tr w:rsidR="001D607D" w:rsidTr="009835DC">
        <w:tc>
          <w:tcPr>
            <w:tcW w:w="3420" w:type="dxa"/>
            <w:tcBorders>
              <w:top w:val="single" w:sz="4" w:space="0" w:color="auto"/>
              <w:left w:val="single" w:sz="4" w:space="0" w:color="auto"/>
              <w:bottom w:val="single" w:sz="4" w:space="0" w:color="auto"/>
              <w:right w:val="single" w:sz="4" w:space="0" w:color="auto"/>
            </w:tcBorders>
          </w:tcPr>
          <w:p w:rsidR="001D607D" w:rsidRDefault="001D607D" w:rsidP="009835DC">
            <w:pPr>
              <w:rPr>
                <w:b/>
                <w:bCs/>
              </w:rPr>
            </w:pPr>
            <w:r w:rsidRPr="00DE739D">
              <w:rPr>
                <w:b/>
                <w:bCs/>
              </w:rPr>
              <w:t>Estimated Date of Appraisal</w:t>
            </w:r>
          </w:p>
        </w:tc>
        <w:tc>
          <w:tcPr>
            <w:tcW w:w="6120" w:type="dxa"/>
            <w:tcBorders>
              <w:top w:val="single" w:sz="4" w:space="0" w:color="auto"/>
              <w:left w:val="single" w:sz="4" w:space="0" w:color="auto"/>
              <w:bottom w:val="single" w:sz="4" w:space="0" w:color="auto"/>
              <w:right w:val="single" w:sz="4" w:space="0" w:color="auto"/>
            </w:tcBorders>
          </w:tcPr>
          <w:p w:rsidR="001D607D" w:rsidRDefault="001F793F" w:rsidP="008F3831">
            <w:bookmarkStart w:id="10" w:name="APPRAISALDATE"/>
            <w:r>
              <w:t xml:space="preserve">June </w:t>
            </w:r>
            <w:r w:rsidR="008F3831">
              <w:t>24</w:t>
            </w:r>
            <w:r w:rsidR="007C2444">
              <w:t>, 2014</w:t>
            </w:r>
            <w:bookmarkEnd w:id="10"/>
          </w:p>
        </w:tc>
      </w:tr>
      <w:tr w:rsidR="001D607D" w:rsidTr="009835DC">
        <w:tc>
          <w:tcPr>
            <w:tcW w:w="3420" w:type="dxa"/>
            <w:tcBorders>
              <w:top w:val="single" w:sz="4" w:space="0" w:color="auto"/>
              <w:left w:val="single" w:sz="4" w:space="0" w:color="auto"/>
              <w:bottom w:val="single" w:sz="4" w:space="0" w:color="auto"/>
              <w:right w:val="single" w:sz="4" w:space="0" w:color="auto"/>
            </w:tcBorders>
          </w:tcPr>
          <w:p w:rsidR="001D607D" w:rsidRDefault="001D607D" w:rsidP="009835DC">
            <w:pPr>
              <w:rPr>
                <w:b/>
                <w:bCs/>
              </w:rPr>
            </w:pPr>
            <w:r>
              <w:rPr>
                <w:b/>
                <w:bCs/>
              </w:rPr>
              <w:t>Estimated Date of Board Approval</w:t>
            </w:r>
          </w:p>
        </w:tc>
        <w:tc>
          <w:tcPr>
            <w:tcW w:w="6120" w:type="dxa"/>
            <w:tcBorders>
              <w:top w:val="single" w:sz="4" w:space="0" w:color="auto"/>
              <w:left w:val="single" w:sz="4" w:space="0" w:color="auto"/>
              <w:bottom w:val="single" w:sz="4" w:space="0" w:color="auto"/>
              <w:right w:val="single" w:sz="4" w:space="0" w:color="auto"/>
            </w:tcBorders>
          </w:tcPr>
          <w:p w:rsidR="001D607D" w:rsidRDefault="00CE7CF4" w:rsidP="008F3831">
            <w:bookmarkStart w:id="11" w:name="BOARDAPPROVALDATE"/>
            <w:r>
              <w:t xml:space="preserve">July </w:t>
            </w:r>
            <w:r w:rsidR="008F3831">
              <w:t>31</w:t>
            </w:r>
            <w:r w:rsidR="007C2444">
              <w:t>, 2014</w:t>
            </w:r>
            <w:bookmarkEnd w:id="11"/>
          </w:p>
        </w:tc>
      </w:tr>
      <w:tr w:rsidR="001D607D" w:rsidTr="009835DC">
        <w:tc>
          <w:tcPr>
            <w:tcW w:w="3420" w:type="dxa"/>
            <w:tcBorders>
              <w:top w:val="single" w:sz="4" w:space="0" w:color="auto"/>
              <w:left w:val="single" w:sz="4" w:space="0" w:color="auto"/>
              <w:bottom w:val="single" w:sz="4" w:space="0" w:color="auto"/>
              <w:right w:val="single" w:sz="4" w:space="0" w:color="auto"/>
            </w:tcBorders>
          </w:tcPr>
          <w:p w:rsidR="001D607D" w:rsidRDefault="001D607D" w:rsidP="009835DC">
            <w:pPr>
              <w:rPr>
                <w:b/>
                <w:bCs/>
              </w:rPr>
            </w:pPr>
            <w:r>
              <w:rPr>
                <w:b/>
                <w:bCs/>
              </w:rPr>
              <w:t>Corporate Review Decision</w:t>
            </w:r>
          </w:p>
        </w:tc>
        <w:tc>
          <w:tcPr>
            <w:tcW w:w="6120" w:type="dxa"/>
            <w:tcBorders>
              <w:top w:val="single" w:sz="4" w:space="0" w:color="auto"/>
              <w:left w:val="single" w:sz="4" w:space="0" w:color="auto"/>
              <w:bottom w:val="single" w:sz="4" w:space="0" w:color="auto"/>
              <w:right w:val="single" w:sz="4" w:space="0" w:color="auto"/>
            </w:tcBorders>
          </w:tcPr>
          <w:p w:rsidR="001D607D" w:rsidRPr="00DE739D" w:rsidRDefault="001D607D" w:rsidP="009835DC">
            <w:pPr>
              <w:rPr>
                <w:i/>
                <w:u w:val="single"/>
              </w:rPr>
            </w:pPr>
            <w:r w:rsidRPr="00577870">
              <w:t xml:space="preserve">Following the </w:t>
            </w:r>
            <w:r>
              <w:t xml:space="preserve">corporate </w:t>
            </w:r>
            <w:r w:rsidRPr="00577870">
              <w:t>review, the decision was taken to proceed with the preparation of the operation.</w:t>
            </w:r>
            <w:r>
              <w:rPr>
                <w:i/>
                <w:u w:val="single"/>
              </w:rPr>
              <w:t xml:space="preserve"> </w:t>
            </w:r>
          </w:p>
        </w:tc>
      </w:tr>
    </w:tbl>
    <w:p w:rsidR="00671A99" w:rsidRDefault="00671A99" w:rsidP="00A126FA"/>
    <w:p w:rsidR="00671A99" w:rsidRPr="00671A99" w:rsidRDefault="00671A99" w:rsidP="00671A99">
      <w:pPr>
        <w:numPr>
          <w:ilvl w:val="0"/>
          <w:numId w:val="24"/>
        </w:numPr>
        <w:rPr>
          <w:b/>
          <w:i/>
        </w:rPr>
      </w:pPr>
      <w:r w:rsidRPr="00671A99">
        <w:rPr>
          <w:b/>
          <w:sz w:val="23"/>
          <w:szCs w:val="23"/>
        </w:rPr>
        <w:t xml:space="preserve">Key development issues and rationale for Bank involvement </w:t>
      </w:r>
    </w:p>
    <w:p w:rsidR="00F86758" w:rsidRDefault="00F86758" w:rsidP="00671A99">
      <w:pPr>
        <w:ind w:left="720"/>
        <w:rPr>
          <w:i/>
          <w:iCs/>
          <w:color w:val="00007F"/>
          <w:sz w:val="22"/>
          <w:szCs w:val="22"/>
        </w:rPr>
      </w:pPr>
    </w:p>
    <w:p w:rsidR="008B68B0" w:rsidRPr="005042D6" w:rsidRDefault="008B68B0" w:rsidP="008B68B0">
      <w:pPr>
        <w:pStyle w:val="Default"/>
        <w:spacing w:after="240"/>
        <w:jc w:val="both"/>
        <w:rPr>
          <w:b/>
        </w:rPr>
      </w:pPr>
      <w:r w:rsidRPr="005042D6">
        <w:rPr>
          <w:b/>
        </w:rPr>
        <w:t xml:space="preserve">The </w:t>
      </w:r>
      <w:r>
        <w:rPr>
          <w:b/>
        </w:rPr>
        <w:t>ongoing</w:t>
      </w:r>
      <w:r w:rsidRPr="005042D6">
        <w:rPr>
          <w:b/>
        </w:rPr>
        <w:t xml:space="preserve"> political, economic and </w:t>
      </w:r>
      <w:r>
        <w:rPr>
          <w:b/>
        </w:rPr>
        <w:t>security</w:t>
      </w:r>
      <w:r w:rsidRPr="005042D6">
        <w:rPr>
          <w:b/>
        </w:rPr>
        <w:t xml:space="preserve"> crisis </w:t>
      </w:r>
      <w:r>
        <w:rPr>
          <w:b/>
        </w:rPr>
        <w:t>is</w:t>
      </w:r>
      <w:r w:rsidRPr="005042D6">
        <w:rPr>
          <w:b/>
        </w:rPr>
        <w:t xml:space="preserve"> putting </w:t>
      </w:r>
      <w:r w:rsidRPr="005042D6">
        <w:rPr>
          <w:b/>
          <w:color w:val="auto"/>
        </w:rPr>
        <w:t xml:space="preserve">Ukraine’s banking system under severe stress. </w:t>
      </w:r>
      <w:r w:rsidRPr="005042D6">
        <w:rPr>
          <w:rFonts w:ascii="Tms Rmn" w:hAnsi="Tms Rmn" w:cs="Tms Rmn"/>
        </w:rPr>
        <w:t xml:space="preserve">As a sign of eroding public confidence, </w:t>
      </w:r>
      <w:r>
        <w:rPr>
          <w:rFonts w:ascii="Tms Rmn" w:hAnsi="Tms Rmn" w:cs="Tms Rmn"/>
        </w:rPr>
        <w:t>the banking system lost around 15.4</w:t>
      </w:r>
      <w:r w:rsidRPr="005042D6">
        <w:rPr>
          <w:rFonts w:ascii="Tms Rmn" w:hAnsi="Tms Rmn" w:cs="Tms Rmn"/>
        </w:rPr>
        <w:t xml:space="preserve"> percent of</w:t>
      </w:r>
      <w:r>
        <w:rPr>
          <w:rFonts w:ascii="Tms Rmn" w:hAnsi="Tms Rmn" w:cs="Tms Rmn"/>
        </w:rPr>
        <w:t xml:space="preserve"> Ukrainian </w:t>
      </w:r>
      <w:proofErr w:type="spellStart"/>
      <w:r>
        <w:rPr>
          <w:rFonts w:ascii="Tms Rmn" w:hAnsi="Tms Rmn" w:cs="Tms Rmn"/>
        </w:rPr>
        <w:t>Hryvnia</w:t>
      </w:r>
      <w:proofErr w:type="spellEnd"/>
      <w:r>
        <w:rPr>
          <w:rFonts w:ascii="Tms Rmn" w:hAnsi="Tms Rmn" w:cs="Tms Rmn"/>
        </w:rPr>
        <w:t xml:space="preserve"> (UAH)</w:t>
      </w:r>
      <w:r w:rsidRPr="005042D6">
        <w:rPr>
          <w:rFonts w:ascii="Tms Rmn" w:hAnsi="Tms Rmn" w:cs="Tms Rmn"/>
        </w:rPr>
        <w:t xml:space="preserve"> </w:t>
      </w:r>
      <w:r>
        <w:rPr>
          <w:rFonts w:ascii="Tms Rmn" w:hAnsi="Tms Rmn" w:cs="Tms Rmn"/>
        </w:rPr>
        <w:t xml:space="preserve">and 20.8 percent of foreign exchange (FX) </w:t>
      </w:r>
      <w:r w:rsidRPr="005042D6">
        <w:rPr>
          <w:rFonts w:ascii="Tms Rmn" w:hAnsi="Tms Rmn" w:cs="Tms Rmn"/>
        </w:rPr>
        <w:t xml:space="preserve">retail deposits in the first </w:t>
      </w:r>
      <w:r>
        <w:rPr>
          <w:rFonts w:ascii="Tms Rmn" w:hAnsi="Tms Rmn" w:cs="Tms Rmn"/>
        </w:rPr>
        <w:t>five</w:t>
      </w:r>
      <w:r w:rsidRPr="005042D6">
        <w:rPr>
          <w:rFonts w:ascii="Tms Rmn" w:hAnsi="Tms Rmn" w:cs="Tms Rmn"/>
        </w:rPr>
        <w:t xml:space="preserve"> months of 2014. The situation is exacerbated by long-standing structural problems within the banking system, including an overhang of non-performing loans </w:t>
      </w:r>
      <w:r>
        <w:rPr>
          <w:rFonts w:ascii="Tms Rmn" w:hAnsi="Tms Rmn" w:cs="Tms Rmn"/>
        </w:rPr>
        <w:t xml:space="preserve">(NPLs) </w:t>
      </w:r>
      <w:r w:rsidRPr="005042D6">
        <w:rPr>
          <w:rFonts w:ascii="Tms Rmn" w:hAnsi="Tms Rmn" w:cs="Tms Rmn"/>
        </w:rPr>
        <w:t xml:space="preserve">left from the 2008-09 crisis and weak governance in many domestically owned banks. </w:t>
      </w:r>
    </w:p>
    <w:p w:rsidR="008B68B0" w:rsidRPr="00A34668" w:rsidRDefault="008B68B0" w:rsidP="008B68B0">
      <w:pPr>
        <w:pStyle w:val="Default"/>
        <w:spacing w:after="240"/>
        <w:jc w:val="both"/>
        <w:rPr>
          <w:b/>
          <w:color w:val="auto"/>
        </w:rPr>
      </w:pPr>
      <w:r>
        <w:rPr>
          <w:b/>
        </w:rPr>
        <w:t xml:space="preserve">The authorities are committed to a prioritized reform program aimed at stabilizing the banking system and resuming sustainable financial intermediation.  </w:t>
      </w:r>
      <w:r>
        <w:t>Given the current political and macroeconomic pressures, the immediate objective for the next three to six months is to restore and maintain public confidence and preserve the stability of the banking sector.  Simultaneously, the new management of the National Bank of Ukraine (NBU) is pursuing supervisory and regulatory actions that should result in a more consolidated and resilient banking sector, and restart the flow of credit to the real sector in the medium run.</w:t>
      </w:r>
    </w:p>
    <w:p w:rsidR="008B68B0" w:rsidRPr="00A34668" w:rsidDel="00513FAF" w:rsidRDefault="008B68B0" w:rsidP="008B68B0">
      <w:pPr>
        <w:pStyle w:val="Default"/>
        <w:spacing w:after="240"/>
        <w:jc w:val="both"/>
        <w:rPr>
          <w:b/>
          <w:color w:val="auto"/>
        </w:rPr>
      </w:pPr>
      <w:r w:rsidRPr="00A34668" w:rsidDel="00513FAF">
        <w:rPr>
          <w:b/>
          <w:bCs/>
        </w:rPr>
        <w:t xml:space="preserve">The </w:t>
      </w:r>
      <w:r>
        <w:rPr>
          <w:b/>
          <w:bCs/>
        </w:rPr>
        <w:t>authorities</w:t>
      </w:r>
      <w:r w:rsidRPr="00A34668" w:rsidDel="00513FAF">
        <w:rPr>
          <w:b/>
          <w:bCs/>
        </w:rPr>
        <w:t>’ banking sector stabilization</w:t>
      </w:r>
      <w:r w:rsidDel="00513FAF">
        <w:rPr>
          <w:b/>
          <w:bCs/>
        </w:rPr>
        <w:t xml:space="preserve"> and restructuring</w:t>
      </w:r>
      <w:r w:rsidRPr="00A34668" w:rsidDel="00513FAF">
        <w:rPr>
          <w:b/>
          <w:bCs/>
        </w:rPr>
        <w:t xml:space="preserve"> program focuses on five areas: </w:t>
      </w:r>
      <w:r w:rsidRPr="00A34668" w:rsidDel="00513FAF">
        <w:rPr>
          <w:bCs/>
        </w:rPr>
        <w:t>(</w:t>
      </w:r>
      <w:proofErr w:type="spellStart"/>
      <w:r w:rsidRPr="00A34668" w:rsidDel="00513FAF">
        <w:rPr>
          <w:bCs/>
        </w:rPr>
        <w:t>i</w:t>
      </w:r>
      <w:proofErr w:type="spellEnd"/>
      <w:r w:rsidRPr="00A34668" w:rsidDel="00513FAF">
        <w:rPr>
          <w:bCs/>
        </w:rPr>
        <w:t xml:space="preserve">) maintaining adequate liquidity via NBU instruments; (ii) </w:t>
      </w:r>
      <w:r w:rsidDel="00513FAF">
        <w:rPr>
          <w:bCs/>
        </w:rPr>
        <w:t xml:space="preserve">conducting </w:t>
      </w:r>
      <w:r w:rsidRPr="00A34668" w:rsidDel="00513FAF">
        <w:rPr>
          <w:bCs/>
        </w:rPr>
        <w:t xml:space="preserve">independent diagnostic studies </w:t>
      </w:r>
      <w:r w:rsidDel="00513FAF">
        <w:rPr>
          <w:bCs/>
        </w:rPr>
        <w:t xml:space="preserve">of </w:t>
      </w:r>
      <w:r w:rsidRPr="00A34668" w:rsidDel="00513FAF">
        <w:rPr>
          <w:bCs/>
        </w:rPr>
        <w:t xml:space="preserve">large and medium-sized banks to determine their financial condition; (iii) enforcing recapitalization /restructuring of banks that have capital shortfalls or other deficiencies based on the diagnostic studies; (iv) undertaking resolution of unviable banks through </w:t>
      </w:r>
      <w:r w:rsidDel="00513FAF">
        <w:rPr>
          <w:bCs/>
        </w:rPr>
        <w:t xml:space="preserve">a </w:t>
      </w:r>
      <w:r>
        <w:rPr>
          <w:bCs/>
        </w:rPr>
        <w:t>properly resourced Deposit Guarantee Fund (DGF)</w:t>
      </w:r>
      <w:r w:rsidRPr="00A34668" w:rsidDel="00513FAF">
        <w:rPr>
          <w:bCs/>
        </w:rPr>
        <w:t>; and (v) strengthening the  legal and supervisory framework</w:t>
      </w:r>
      <w:r w:rsidDel="00513FAF">
        <w:rPr>
          <w:bCs/>
        </w:rPr>
        <w:t xml:space="preserve"> to make the sector more resilient to future shocks.</w:t>
      </w:r>
      <w:r w:rsidRPr="00A34668" w:rsidDel="00513FAF">
        <w:rPr>
          <w:bCs/>
        </w:rPr>
        <w:t xml:space="preserve"> Although the program has not been recorded in a single policy document, its various elements have been articulated in decisions and </w:t>
      </w:r>
      <w:r w:rsidRPr="00A34668" w:rsidDel="00513FAF">
        <w:rPr>
          <w:bCs/>
        </w:rPr>
        <w:lastRenderedPageBreak/>
        <w:t xml:space="preserve">regulations issued by </w:t>
      </w:r>
      <w:r w:rsidDel="00513FAF">
        <w:rPr>
          <w:bCs/>
        </w:rPr>
        <w:t xml:space="preserve">the </w:t>
      </w:r>
      <w:r w:rsidRPr="00A34668" w:rsidDel="00513FAF">
        <w:rPr>
          <w:bCs/>
        </w:rPr>
        <w:t xml:space="preserve">NBU, DGF, and </w:t>
      </w:r>
      <w:r w:rsidDel="00513FAF">
        <w:rPr>
          <w:bCs/>
        </w:rPr>
        <w:t>the Ministry of Finance (MO</w:t>
      </w:r>
      <w:r w:rsidRPr="00A34668" w:rsidDel="00513FAF">
        <w:rPr>
          <w:bCs/>
        </w:rPr>
        <w:t>F</w:t>
      </w:r>
      <w:r w:rsidDel="00513FAF">
        <w:rPr>
          <w:bCs/>
        </w:rPr>
        <w:t>)</w:t>
      </w:r>
      <w:r w:rsidRPr="00A34668" w:rsidDel="00513FAF">
        <w:rPr>
          <w:bCs/>
        </w:rPr>
        <w:t xml:space="preserve">, and </w:t>
      </w:r>
      <w:r w:rsidDel="00513FAF">
        <w:rPr>
          <w:bCs/>
        </w:rPr>
        <w:t xml:space="preserve">are </w:t>
      </w:r>
      <w:r w:rsidRPr="00A34668" w:rsidDel="00513FAF">
        <w:rPr>
          <w:bCs/>
        </w:rPr>
        <w:t xml:space="preserve">presented in the </w:t>
      </w:r>
      <w:r w:rsidDel="00513FAF">
        <w:rPr>
          <w:bCs/>
        </w:rPr>
        <w:t xml:space="preserve">draft </w:t>
      </w:r>
      <w:r w:rsidRPr="00A34668" w:rsidDel="00513FAF">
        <w:rPr>
          <w:bCs/>
        </w:rPr>
        <w:t>Letter of Development Policy a</w:t>
      </w:r>
      <w:r>
        <w:rPr>
          <w:bCs/>
        </w:rPr>
        <w:t>ttached to this document.</w:t>
      </w:r>
    </w:p>
    <w:p w:rsidR="002C452B" w:rsidRDefault="002C452B" w:rsidP="00F86758">
      <w:pPr>
        <w:pStyle w:val="Default"/>
        <w:jc w:val="both"/>
        <w:rPr>
          <w:rFonts w:ascii="Tms Rmn" w:hAnsi="Tms Rmn" w:cs="Tms Rmn"/>
        </w:rPr>
      </w:pPr>
    </w:p>
    <w:p w:rsidR="003103C4" w:rsidRDefault="003103C4" w:rsidP="003103C4">
      <w:pPr>
        <w:numPr>
          <w:ilvl w:val="0"/>
          <w:numId w:val="24"/>
        </w:numPr>
        <w:rPr>
          <w:b/>
        </w:rPr>
      </w:pPr>
      <w:r w:rsidRPr="008D1059">
        <w:rPr>
          <w:b/>
        </w:rPr>
        <w:t>Proposed</w:t>
      </w:r>
      <w:r>
        <w:rPr>
          <w:b/>
        </w:rPr>
        <w:t xml:space="preserve"> O</w:t>
      </w:r>
      <w:r w:rsidRPr="008D1059">
        <w:rPr>
          <w:b/>
        </w:rPr>
        <w:t>bjective(s)</w:t>
      </w:r>
    </w:p>
    <w:p w:rsidR="00F86758" w:rsidRDefault="00F86758" w:rsidP="00671A99">
      <w:pPr>
        <w:pStyle w:val="CM1"/>
        <w:ind w:left="720"/>
        <w:rPr>
          <w:i/>
        </w:rPr>
      </w:pPr>
    </w:p>
    <w:p w:rsidR="008B68B0" w:rsidRPr="007E530A" w:rsidRDefault="008B68B0" w:rsidP="008B68B0">
      <w:pPr>
        <w:pStyle w:val="Default"/>
        <w:spacing w:after="240"/>
        <w:jc w:val="both"/>
        <w:rPr>
          <w:color w:val="auto"/>
        </w:rPr>
      </w:pPr>
      <w:r w:rsidRPr="000F3EDC">
        <w:rPr>
          <w:b/>
          <w:color w:val="auto"/>
        </w:rPr>
        <w:t xml:space="preserve">The First Programmatic Financial Sector Development Policy Loan (FSDPL1) supports a program of high-priority reform measures in the banking sector, and is a part of the </w:t>
      </w:r>
      <w:r>
        <w:rPr>
          <w:b/>
          <w:color w:val="auto"/>
        </w:rPr>
        <w:t>World Bank Group’s</w:t>
      </w:r>
      <w:r w:rsidRPr="000F3EDC">
        <w:rPr>
          <w:b/>
          <w:color w:val="auto"/>
        </w:rPr>
        <w:t xml:space="preserve"> broader crisis</w:t>
      </w:r>
      <w:r>
        <w:rPr>
          <w:b/>
          <w:color w:val="auto"/>
        </w:rPr>
        <w:t xml:space="preserve">-response </w:t>
      </w:r>
      <w:r w:rsidRPr="000F3EDC">
        <w:rPr>
          <w:b/>
          <w:color w:val="auto"/>
        </w:rPr>
        <w:t>support package for Ukraine.</w:t>
      </w:r>
      <w:r w:rsidRPr="000F3EDC">
        <w:rPr>
          <w:color w:val="auto"/>
        </w:rPr>
        <w:t xml:space="preserve"> The proposed FSDPL1 is the first in a series of two operations and is in the amount of US$500 million. </w:t>
      </w:r>
      <w:r w:rsidRPr="00F03C31">
        <w:t xml:space="preserve">The objective of </w:t>
      </w:r>
      <w:r>
        <w:t xml:space="preserve">the </w:t>
      </w:r>
      <w:r w:rsidRPr="00F03C31">
        <w:t xml:space="preserve">proposed FSDPL series </w:t>
      </w:r>
      <w:r>
        <w:t>is</w:t>
      </w:r>
      <w:r w:rsidRPr="00F03C31">
        <w:t xml:space="preserve"> to assist </w:t>
      </w:r>
      <w:r>
        <w:t xml:space="preserve">the </w:t>
      </w:r>
      <w:r w:rsidRPr="00F03C31">
        <w:t xml:space="preserve">authorities </w:t>
      </w:r>
      <w:r>
        <w:t>in: (</w:t>
      </w:r>
      <w:proofErr w:type="spellStart"/>
      <w:r>
        <w:t>i</w:t>
      </w:r>
      <w:proofErr w:type="spellEnd"/>
      <w:r>
        <w:t xml:space="preserve">) strengthening </w:t>
      </w:r>
      <w:r w:rsidRPr="0016285A">
        <w:t xml:space="preserve">the operational, financial and regulatory capacity of </w:t>
      </w:r>
      <w:r>
        <w:t xml:space="preserve">the </w:t>
      </w:r>
      <w:r w:rsidRPr="0016285A">
        <w:t>Deposit Guarantee Fund (DGF)</w:t>
      </w:r>
      <w:r>
        <w:t xml:space="preserve"> for the resolution of insolvent banks</w:t>
      </w:r>
      <w:r w:rsidRPr="0016285A">
        <w:t>; (ii) i</w:t>
      </w:r>
      <w:r>
        <w:rPr>
          <w:bCs/>
          <w:iCs/>
        </w:rPr>
        <w:t>mproving</w:t>
      </w:r>
      <w:r w:rsidRPr="0016285A">
        <w:rPr>
          <w:bCs/>
          <w:iCs/>
        </w:rPr>
        <w:t xml:space="preserve"> the solvency of the banking system through implementation of </w:t>
      </w:r>
      <w:r>
        <w:rPr>
          <w:bCs/>
          <w:iCs/>
        </w:rPr>
        <w:t xml:space="preserve">bank </w:t>
      </w:r>
      <w:r w:rsidRPr="0016285A">
        <w:rPr>
          <w:bCs/>
          <w:iCs/>
        </w:rPr>
        <w:t>recapitalization/restructuring plans</w:t>
      </w:r>
      <w:r>
        <w:rPr>
          <w:bCs/>
          <w:iCs/>
        </w:rPr>
        <w:t xml:space="preserve"> and timely enforcement action</w:t>
      </w:r>
      <w:r>
        <w:t>; and (</w:t>
      </w:r>
      <w:r w:rsidRPr="00124E7E">
        <w:t xml:space="preserve">iii) </w:t>
      </w:r>
      <w:r>
        <w:t>s</w:t>
      </w:r>
      <w:r w:rsidRPr="00124E7E">
        <w:t>trengthen</w:t>
      </w:r>
      <w:r>
        <w:t>ing</w:t>
      </w:r>
      <w:r w:rsidRPr="00124E7E">
        <w:t xml:space="preserve"> the legal and institutional framework to improve resiliency and efficiency of the banking system</w:t>
      </w:r>
      <w:r>
        <w:t>.</w:t>
      </w:r>
    </w:p>
    <w:p w:rsidR="00A126FA" w:rsidRDefault="00A126FA" w:rsidP="00A126FA">
      <w:pPr>
        <w:rPr>
          <w:sz w:val="22"/>
          <w:szCs w:val="22"/>
        </w:rPr>
      </w:pPr>
    </w:p>
    <w:p w:rsidR="00A126FA" w:rsidRDefault="00A126FA" w:rsidP="00A126FA">
      <w:pPr>
        <w:numPr>
          <w:ilvl w:val="0"/>
          <w:numId w:val="24"/>
        </w:numPr>
        <w:rPr>
          <w:b/>
        </w:rPr>
      </w:pPr>
      <w:r w:rsidRPr="005B0352">
        <w:rPr>
          <w:b/>
        </w:rPr>
        <w:t>Preliminary Description</w:t>
      </w:r>
    </w:p>
    <w:p w:rsidR="00FF23CF" w:rsidRDefault="00FF23CF" w:rsidP="00FF23CF">
      <w:pPr>
        <w:ind w:firstLine="720"/>
        <w:rPr>
          <w:i/>
        </w:rPr>
      </w:pPr>
    </w:p>
    <w:p w:rsidR="008B68B0" w:rsidRPr="006C6132" w:rsidRDefault="008B68B0" w:rsidP="008B68B0">
      <w:pPr>
        <w:pStyle w:val="Default"/>
        <w:spacing w:after="240"/>
        <w:jc w:val="both"/>
        <w:rPr>
          <w:color w:val="auto"/>
        </w:rPr>
      </w:pPr>
      <w:r w:rsidRPr="006C6132">
        <w:rPr>
          <w:b/>
          <w:color w:val="auto"/>
        </w:rPr>
        <w:t xml:space="preserve">FSDPL1 is the first of two lending operations in a </w:t>
      </w:r>
      <w:r>
        <w:rPr>
          <w:b/>
          <w:color w:val="auto"/>
        </w:rPr>
        <w:t xml:space="preserve">programmatic </w:t>
      </w:r>
      <w:r w:rsidRPr="006C6132">
        <w:rPr>
          <w:b/>
          <w:color w:val="auto"/>
        </w:rPr>
        <w:t>series aimed at supporting high-priority</w:t>
      </w:r>
      <w:r>
        <w:rPr>
          <w:b/>
          <w:color w:val="auto"/>
        </w:rPr>
        <w:t xml:space="preserve"> financial sector</w:t>
      </w:r>
      <w:r w:rsidRPr="006C6132">
        <w:rPr>
          <w:b/>
          <w:color w:val="auto"/>
        </w:rPr>
        <w:t xml:space="preserve"> reform measures.</w:t>
      </w:r>
      <w:r w:rsidRPr="006C6132">
        <w:rPr>
          <w:color w:val="auto"/>
        </w:rPr>
        <w:t xml:space="preserve"> The operation is anchored in nine prior actions, structured around three pillars. </w:t>
      </w:r>
      <w:r>
        <w:rPr>
          <w:color w:val="auto"/>
        </w:rPr>
        <w:t xml:space="preserve">The first pillar focuses on </w:t>
      </w:r>
      <w:r w:rsidRPr="0005107A">
        <w:rPr>
          <w:color w:val="auto"/>
        </w:rPr>
        <w:t>urgent</w:t>
      </w:r>
      <w:r>
        <w:rPr>
          <w:color w:val="auto"/>
        </w:rPr>
        <w:t xml:space="preserve"> actions that are necessary to minimize the risk of a loss of depositor confidence, through ensuring that the DGF can adequately perform its critical bank resolution and insured deposit payout functions. The second pillar focuses on ensuring that adequate solvency of banking system is maintained through implementation of bank specific recapitalization/restructuring plans in the medium term. Finally, the third pillar supports legal and institutional </w:t>
      </w:r>
      <w:r w:rsidRPr="0005107A">
        <w:rPr>
          <w:color w:val="auto"/>
        </w:rPr>
        <w:t>r</w:t>
      </w:r>
      <w:r w:rsidRPr="0005107A">
        <w:rPr>
          <w:iCs/>
          <w:color w:val="auto"/>
        </w:rPr>
        <w:t>eforms</w:t>
      </w:r>
      <w:r w:rsidRPr="0039464C">
        <w:rPr>
          <w:iCs/>
          <w:color w:val="auto"/>
        </w:rPr>
        <w:t xml:space="preserve"> necessary to improve the </w:t>
      </w:r>
      <w:r w:rsidRPr="0039464C">
        <w:t>resiliency and efficiency of banking system</w:t>
      </w:r>
      <w:r>
        <w:t xml:space="preserve"> in the longer term.</w:t>
      </w:r>
    </w:p>
    <w:p w:rsidR="008B68B0" w:rsidRPr="00B71B23" w:rsidRDefault="008B68B0" w:rsidP="008B68B0">
      <w:pPr>
        <w:pStyle w:val="Default"/>
        <w:spacing w:after="240"/>
        <w:jc w:val="both"/>
        <w:rPr>
          <w:iCs/>
        </w:rPr>
      </w:pPr>
      <w:r>
        <w:rPr>
          <w:b/>
          <w:color w:val="auto"/>
        </w:rPr>
        <w:t xml:space="preserve">The design of FSDPL1 and the selection of prior actions are guided by the urgent need to stabilize the banking system. </w:t>
      </w:r>
      <w:r>
        <w:rPr>
          <w:color w:val="auto"/>
        </w:rPr>
        <w:t>Given the present security and exchange rate pressures, it is critical for the authorities to maintain the confidence of depositors in banks through sound liquidity management by the central bank, clear public communications, and adequate capacity to deal with any failing banks. With the IMF program already supporting the NBU’s efforts at liquidity management, FSDPL1 focuses heavily on strengthening the capacity of the DGF to handle insolvent banks in a timely and orderly fashion, with minimal disruption to public confidence. Besides the financial resources, the Bank’s support for the sector through FSDPL1 is expected to serve as an important confidence building measure. Following the initial stabilization, FSDPL2 (planned for</w:t>
      </w:r>
      <w:r w:rsidRPr="00401383">
        <w:t xml:space="preserve"> the </w:t>
      </w:r>
      <w:r>
        <w:t xml:space="preserve">end of the </w:t>
      </w:r>
      <w:r w:rsidRPr="00401383">
        <w:t>first quarter of calendar year 201</w:t>
      </w:r>
      <w:r>
        <w:t>5)</w:t>
      </w:r>
      <w:r>
        <w:rPr>
          <w:color w:val="auto"/>
        </w:rPr>
        <w:t xml:space="preserve"> will support the implementation of bank recapitalization and restructuring programs based on the findings of external diagnostic assessments initiated under the first operation. </w:t>
      </w:r>
    </w:p>
    <w:p w:rsidR="0097555D" w:rsidRDefault="0097555D" w:rsidP="00FF23CF">
      <w:pPr>
        <w:ind w:firstLine="720"/>
        <w:rPr>
          <w:b/>
        </w:rPr>
      </w:pPr>
    </w:p>
    <w:p w:rsidR="008B68B0" w:rsidRDefault="008B68B0" w:rsidP="00FF23CF">
      <w:pPr>
        <w:ind w:firstLine="720"/>
        <w:rPr>
          <w:b/>
        </w:rPr>
      </w:pPr>
    </w:p>
    <w:p w:rsidR="008B68B0" w:rsidRDefault="008B68B0" w:rsidP="00FF23CF">
      <w:pPr>
        <w:ind w:firstLine="720"/>
        <w:rPr>
          <w:b/>
        </w:rPr>
      </w:pPr>
    </w:p>
    <w:p w:rsidR="008B68B0" w:rsidRDefault="008B68B0" w:rsidP="00FF23CF">
      <w:pPr>
        <w:ind w:firstLine="720"/>
        <w:rPr>
          <w:b/>
        </w:rPr>
      </w:pPr>
    </w:p>
    <w:p w:rsidR="008B68B0" w:rsidRDefault="008B68B0" w:rsidP="00FF23CF">
      <w:pPr>
        <w:ind w:firstLine="720"/>
        <w:rPr>
          <w:b/>
        </w:rPr>
      </w:pPr>
    </w:p>
    <w:p w:rsidR="00AA5A30" w:rsidRDefault="00AA5A30" w:rsidP="00AA5A30">
      <w:pPr>
        <w:numPr>
          <w:ilvl w:val="0"/>
          <w:numId w:val="24"/>
        </w:numPr>
        <w:rPr>
          <w:b/>
        </w:rPr>
      </w:pPr>
      <w:r>
        <w:rPr>
          <w:b/>
        </w:rPr>
        <w:lastRenderedPageBreak/>
        <w:t>Poverty and Social Impacts and Environment Aspects</w:t>
      </w:r>
    </w:p>
    <w:p w:rsidR="0097555D" w:rsidRDefault="0097555D" w:rsidP="0097555D">
      <w:pPr>
        <w:pStyle w:val="CM4"/>
        <w:spacing w:line="253" w:lineRule="atLeast"/>
        <w:rPr>
          <w:i/>
          <w:iCs/>
          <w:sz w:val="22"/>
          <w:szCs w:val="22"/>
        </w:rPr>
      </w:pPr>
    </w:p>
    <w:p w:rsidR="00AA5A30" w:rsidRPr="002C452B" w:rsidRDefault="00AA5A30" w:rsidP="00AA5A30">
      <w:pPr>
        <w:pStyle w:val="CM4"/>
        <w:spacing w:after="252" w:line="253" w:lineRule="atLeast"/>
        <w:rPr>
          <w:i/>
          <w:iCs/>
          <w:sz w:val="22"/>
          <w:szCs w:val="22"/>
        </w:rPr>
      </w:pPr>
      <w:r w:rsidRPr="002C452B">
        <w:rPr>
          <w:i/>
          <w:iCs/>
          <w:sz w:val="22"/>
          <w:szCs w:val="22"/>
        </w:rPr>
        <w:t xml:space="preserve">Poverty and Social Impacts </w:t>
      </w:r>
    </w:p>
    <w:p w:rsidR="008B68B0" w:rsidRDefault="008B68B0" w:rsidP="008B68B0">
      <w:pPr>
        <w:pStyle w:val="Default"/>
        <w:spacing w:after="240"/>
        <w:jc w:val="both"/>
      </w:pPr>
      <w:r w:rsidRPr="00906E46">
        <w:rPr>
          <w:b/>
          <w:color w:val="auto"/>
        </w:rPr>
        <w:t>The</w:t>
      </w:r>
      <w:r w:rsidRPr="00906E46">
        <w:rPr>
          <w:b/>
        </w:rPr>
        <w:t xml:space="preserve"> measures supported by </w:t>
      </w:r>
      <w:r>
        <w:rPr>
          <w:b/>
        </w:rPr>
        <w:t>FS</w:t>
      </w:r>
      <w:r w:rsidRPr="00906E46">
        <w:rPr>
          <w:b/>
        </w:rPr>
        <w:t>DPL</w:t>
      </w:r>
      <w:r>
        <w:rPr>
          <w:b/>
        </w:rPr>
        <w:t xml:space="preserve">1 focus on urgent actions that are necessary to minimize the potential impact of a full-blown banking crisis that would lead to an increase in poverty in Ukraine. </w:t>
      </w:r>
      <w:r>
        <w:t xml:space="preserve">Based on current projections, the expected contraction of the economy by 5 percent in 2014 could lead to an increase in poverty of 2.1 </w:t>
      </w:r>
      <w:r w:rsidRPr="00906E46">
        <w:t>percentage points</w:t>
      </w:r>
      <w:r w:rsidRPr="00906E46">
        <w:rPr>
          <w:rStyle w:val="FootnoteReference"/>
        </w:rPr>
        <w:footnoteReference w:id="1"/>
      </w:r>
      <w:r w:rsidRPr="00906E46">
        <w:t xml:space="preserve"> (equivalent to more than 900</w:t>
      </w:r>
      <w:r>
        <w:t>,000</w:t>
      </w:r>
      <w:r w:rsidRPr="00906E46">
        <w:t xml:space="preserve"> people) if all households were equally expose</w:t>
      </w:r>
      <w:r>
        <w:t>d</w:t>
      </w:r>
      <w:r w:rsidRPr="00906E46">
        <w:t xml:space="preserve"> to a shock.</w:t>
      </w:r>
      <w:r>
        <w:t xml:space="preserve"> However, the increase in poverty would be much higher if </w:t>
      </w:r>
      <w:r w:rsidRPr="00906E46">
        <w:t>poorer groups are less able to protect themselves from macro-economic shocks.</w:t>
      </w:r>
      <w:r w:rsidRPr="00906E46">
        <w:rPr>
          <w:rStyle w:val="FootnoteReference"/>
        </w:rPr>
        <w:footnoteReference w:id="2"/>
      </w:r>
      <w:r>
        <w:t xml:space="preserve"> A banking crisis, if it were to occur, would cause economic conditions to further deteriorate and contribute to further increases in the poverty rate in Ukraine. Thus the policy measures supported in FSDPL1 that focus on urgent actions that are necessary to minimize the risk of a loss of depositor confidence are critical to containing an increase in poverty in 2014 and beyond. </w:t>
      </w:r>
    </w:p>
    <w:p w:rsidR="008B68B0" w:rsidRDefault="008B68B0" w:rsidP="008B68B0">
      <w:pPr>
        <w:pStyle w:val="Default"/>
        <w:spacing w:after="240"/>
        <w:jc w:val="both"/>
      </w:pPr>
      <w:r w:rsidRPr="00D5536B">
        <w:rPr>
          <w:b/>
        </w:rPr>
        <w:t xml:space="preserve">The measures supported the FSDPL series </w:t>
      </w:r>
      <w:r>
        <w:rPr>
          <w:b/>
        </w:rPr>
        <w:t xml:space="preserve">specifically </w:t>
      </w:r>
      <w:r w:rsidRPr="00D5536B">
        <w:rPr>
          <w:b/>
        </w:rPr>
        <w:t>aim to protect depositors by strength</w:t>
      </w:r>
      <w:r>
        <w:rPr>
          <w:b/>
        </w:rPr>
        <w:t>ening the DGF</w:t>
      </w:r>
      <w:r w:rsidRPr="00D5536B">
        <w:rPr>
          <w:b/>
        </w:rPr>
        <w:t xml:space="preserve"> that insures deposits up to a certain coverage limit in the case of a bank failure.</w:t>
      </w:r>
      <w:r>
        <w:t xml:space="preserve"> This is critical to minimizing the potential increase in poverty. Protecting deposits in the banking system will be especially important for those that are poor and among the bottom 40 percent as they are the most vulnerable if their savings were lost due to a bank failure. According to the 2012 Household Budget Survey, </w:t>
      </w:r>
      <w:r w:rsidRPr="00906E46">
        <w:t xml:space="preserve">19 percent of poor </w:t>
      </w:r>
      <w:r>
        <w:t>households have savings in a financial institution in Ukraine, with those who were saving reporting</w:t>
      </w:r>
      <w:r w:rsidRPr="00906E46">
        <w:t xml:space="preserve"> to be savi</w:t>
      </w:r>
      <w:r>
        <w:t>ng 16 percent of their income</w:t>
      </w:r>
      <w:r w:rsidRPr="00906E46">
        <w:t xml:space="preserve">. </w:t>
      </w:r>
      <w:r>
        <w:t>For the bottom 40 percent, 16 percent of households have savings in a financial institution, with those who were saving reporting that they saved 10 percent of their income. Data from the Global Financial Inclusion Database (FINDEX) for 2011 also highlights the crucial role that savings play in people’s livelihoods, with 15 percent of individuals saving for emergencies (with no significant gender differences in this respect)</w:t>
      </w:r>
      <w:r>
        <w:rPr>
          <w:rStyle w:val="FootnoteReference"/>
        </w:rPr>
        <w:footnoteReference w:id="3"/>
      </w:r>
      <w:r>
        <w:t xml:space="preserve">. </w:t>
      </w:r>
    </w:p>
    <w:p w:rsidR="008B68B0" w:rsidRPr="00A07E2F" w:rsidRDefault="008B68B0" w:rsidP="008B68B0">
      <w:pPr>
        <w:pStyle w:val="Default"/>
        <w:spacing w:after="240"/>
        <w:jc w:val="both"/>
        <w:rPr>
          <w:b/>
        </w:rPr>
      </w:pPr>
      <w:r w:rsidRPr="00D5536B">
        <w:rPr>
          <w:b/>
        </w:rPr>
        <w:t xml:space="preserve">The improvements in the resiliency and efficiency of the financial sector that are the primary focus of the policy measures supported by FSDPL2 are expected to, among other things, increase access to financial services and strengthen poor people’s livelihoods. </w:t>
      </w:r>
      <w:r w:rsidRPr="00906E46">
        <w:t>According to the latest household budget survey, access to financial services has increased for the population as a whole from 17 to 21 percent</w:t>
      </w:r>
      <w:r>
        <w:t xml:space="preserve"> from 2007 to 2012</w:t>
      </w:r>
      <w:r w:rsidRPr="00906E46">
        <w:t>.</w:t>
      </w:r>
      <w:r w:rsidRPr="00906E46">
        <w:rPr>
          <w:rStyle w:val="FootnoteReference"/>
        </w:rPr>
        <w:footnoteReference w:id="4"/>
      </w:r>
      <w:r w:rsidRPr="00D5536B">
        <w:t xml:space="preserve"> </w:t>
      </w:r>
      <w:r>
        <w:t xml:space="preserve">This </w:t>
      </w:r>
      <w:r w:rsidRPr="00906E46">
        <w:t xml:space="preserve">increase has also been recorded for the bottom </w:t>
      </w:r>
      <w:proofErr w:type="spellStart"/>
      <w:r w:rsidRPr="00906E46">
        <w:t>decile</w:t>
      </w:r>
      <w:proofErr w:type="spellEnd"/>
      <w:r w:rsidRPr="00906E46">
        <w:t xml:space="preserve"> (roughly equivalent to the poor) and for the bottom 40 percent: from 6 to 9 percent and from 10 to 14 percent, respectively. </w:t>
      </w:r>
      <w:r>
        <w:t xml:space="preserve">According to the survey data, </w:t>
      </w:r>
      <w:r w:rsidRPr="00906E46">
        <w:lastRenderedPageBreak/>
        <w:t>households who use these services spend a non-negligible part of their budg</w:t>
      </w:r>
      <w:r>
        <w:t>et on them (11 percent in 2012). Thus</w:t>
      </w:r>
      <w:r w:rsidRPr="00906E46">
        <w:t xml:space="preserve"> improving the </w:t>
      </w:r>
      <w:r>
        <w:t xml:space="preserve">resiliency and </w:t>
      </w:r>
      <w:r w:rsidRPr="00906E46">
        <w:t xml:space="preserve">efficiency of the financial sector could help </w:t>
      </w:r>
      <w:r>
        <w:t xml:space="preserve">to lower </w:t>
      </w:r>
      <w:r w:rsidRPr="00906E46">
        <w:t>costs and free resources that poor households could allocate to other necessities.</w:t>
      </w:r>
    </w:p>
    <w:p w:rsidR="008B68B0" w:rsidRDefault="008B68B0" w:rsidP="008B68B0">
      <w:pPr>
        <w:pStyle w:val="Default"/>
        <w:spacing w:after="240"/>
        <w:jc w:val="both"/>
      </w:pPr>
      <w:r w:rsidRPr="00C34078">
        <w:rPr>
          <w:b/>
        </w:rPr>
        <w:t xml:space="preserve">No actions requiring a gender angle were identified given the nature of the reforms and the </w:t>
      </w:r>
      <w:r w:rsidRPr="009B2BFA">
        <w:rPr>
          <w:b/>
        </w:rPr>
        <w:t>FS</w:t>
      </w:r>
      <w:r w:rsidRPr="006E1FE2">
        <w:rPr>
          <w:b/>
        </w:rPr>
        <w:t>DPL1</w:t>
      </w:r>
      <w:r w:rsidRPr="00C34078">
        <w:rPr>
          <w:b/>
        </w:rPr>
        <w:t xml:space="preserve"> targets</w:t>
      </w:r>
      <w:r>
        <w:t>;</w:t>
      </w:r>
      <w:r w:rsidRPr="00E9633B">
        <w:t xml:space="preserve"> nevertheless the team will monitor all available sources of data to ensure that the project impacts do not reinforce gender inequalities. </w:t>
      </w:r>
    </w:p>
    <w:p w:rsidR="00AA5A30" w:rsidRPr="002C452B" w:rsidRDefault="00AA5A30" w:rsidP="00AA5A30">
      <w:pPr>
        <w:pStyle w:val="CM4"/>
        <w:spacing w:after="252" w:line="253" w:lineRule="atLeast"/>
        <w:rPr>
          <w:i/>
          <w:iCs/>
          <w:sz w:val="22"/>
          <w:szCs w:val="22"/>
        </w:rPr>
      </w:pPr>
      <w:r w:rsidRPr="002C452B">
        <w:rPr>
          <w:i/>
          <w:iCs/>
          <w:sz w:val="22"/>
          <w:szCs w:val="22"/>
        </w:rPr>
        <w:t xml:space="preserve">Environment Aspects </w:t>
      </w:r>
    </w:p>
    <w:p w:rsidR="008B68B0" w:rsidRDefault="008B68B0" w:rsidP="008B68B0">
      <w:pPr>
        <w:pStyle w:val="Default"/>
        <w:jc w:val="both"/>
      </w:pPr>
      <w:r w:rsidRPr="00A84D11">
        <w:rPr>
          <w:b/>
        </w:rPr>
        <w:t>The proposed</w:t>
      </w:r>
      <w:r w:rsidRPr="00A84D11">
        <w:rPr>
          <w:b/>
          <w:bCs/>
        </w:rPr>
        <w:t xml:space="preserve"> </w:t>
      </w:r>
      <w:r>
        <w:rPr>
          <w:b/>
          <w:bCs/>
        </w:rPr>
        <w:t>FS</w:t>
      </w:r>
      <w:r w:rsidRPr="00A84D11">
        <w:rPr>
          <w:b/>
          <w:bCs/>
        </w:rPr>
        <w:t>DPL</w:t>
      </w:r>
      <w:r>
        <w:rPr>
          <w:b/>
          <w:bCs/>
        </w:rPr>
        <w:t>1</w:t>
      </w:r>
      <w:r w:rsidRPr="00A84D11">
        <w:rPr>
          <w:b/>
          <w:bCs/>
        </w:rPr>
        <w:t xml:space="preserve"> measures are not </w:t>
      </w:r>
      <w:r>
        <w:rPr>
          <w:b/>
          <w:bCs/>
        </w:rPr>
        <w:t>likely</w:t>
      </w:r>
      <w:r w:rsidRPr="00A84D11">
        <w:rPr>
          <w:b/>
          <w:bCs/>
        </w:rPr>
        <w:t xml:space="preserve"> to have any </w:t>
      </w:r>
      <w:r>
        <w:rPr>
          <w:b/>
          <w:bCs/>
        </w:rPr>
        <w:t xml:space="preserve">significant effects on the </w:t>
      </w:r>
      <w:r w:rsidRPr="00222C41">
        <w:rPr>
          <w:b/>
        </w:rPr>
        <w:t>environment</w:t>
      </w:r>
      <w:r>
        <w:rPr>
          <w:b/>
          <w:bCs/>
        </w:rPr>
        <w:t>, natural resources and forestry</w:t>
      </w:r>
      <w:r w:rsidRPr="00A84D11">
        <w:rPr>
          <w:b/>
          <w:bCs/>
        </w:rPr>
        <w:t xml:space="preserve">. </w:t>
      </w:r>
      <w:r>
        <w:t>The policy measures focus on legal, regulatory, and supervisory reforms to strengthen and further develop the financial sector, with no impact on the environment.</w:t>
      </w:r>
    </w:p>
    <w:p w:rsidR="008B68B0" w:rsidRPr="007425E2" w:rsidRDefault="008B68B0" w:rsidP="008B68B0">
      <w:pPr>
        <w:pStyle w:val="Default"/>
        <w:jc w:val="both"/>
      </w:pPr>
    </w:p>
    <w:p w:rsidR="00A126FA" w:rsidRPr="00B14B1C" w:rsidRDefault="00A126FA" w:rsidP="00A126FA">
      <w:pPr>
        <w:numPr>
          <w:ilvl w:val="0"/>
          <w:numId w:val="24"/>
        </w:numPr>
        <w:rPr>
          <w:b/>
        </w:rPr>
      </w:pPr>
      <w:r w:rsidRPr="00B14B1C">
        <w:rPr>
          <w:b/>
        </w:rPr>
        <w:t>Tentative financing</w:t>
      </w:r>
    </w:p>
    <w:p w:rsidR="00F34B6F" w:rsidRDefault="00F34B6F" w:rsidP="0059349F">
      <w:pPr>
        <w:ind w:firstLine="720"/>
      </w:pPr>
    </w:p>
    <w:tbl>
      <w:tblPr>
        <w:tblW w:w="0" w:type="auto"/>
        <w:tblLook w:val="0000" w:firstRow="0" w:lastRow="0" w:firstColumn="0" w:lastColumn="0" w:noHBand="0" w:noVBand="0"/>
      </w:tblPr>
      <w:tblGrid>
        <w:gridCol w:w="7488"/>
        <w:gridCol w:w="1980"/>
      </w:tblGrid>
      <w:tr w:rsidR="00A126FA" w:rsidTr="00F34B6F">
        <w:tc>
          <w:tcPr>
            <w:tcW w:w="7488" w:type="dxa"/>
          </w:tcPr>
          <w:p w:rsidR="00A126FA" w:rsidRDefault="00A126FA" w:rsidP="00A126FA">
            <w:r>
              <w:t>Source:</w:t>
            </w:r>
            <w:bookmarkStart w:id="12" w:name="FINANCINGTAB_PID"/>
            <w:bookmarkEnd w:id="12"/>
          </w:p>
        </w:tc>
        <w:tc>
          <w:tcPr>
            <w:tcW w:w="1980" w:type="dxa"/>
          </w:tcPr>
          <w:p w:rsidR="00A126FA" w:rsidRDefault="00A126FA" w:rsidP="00A126FA">
            <w:pPr>
              <w:tabs>
                <w:tab w:val="decimal" w:pos="252"/>
              </w:tabs>
              <w:jc w:val="center"/>
            </w:pPr>
            <w:r>
              <w:t>($m.)</w:t>
            </w:r>
          </w:p>
        </w:tc>
      </w:tr>
      <w:tr w:rsidR="007C2444" w:rsidTr="00F34B6F">
        <w:tc>
          <w:tcPr>
            <w:tcW w:w="7488" w:type="dxa"/>
          </w:tcPr>
          <w:p w:rsidR="007C2444" w:rsidRDefault="007C2444" w:rsidP="00A126FA">
            <w:pPr>
              <w:tabs>
                <w:tab w:val="right" w:pos="7200"/>
              </w:tabs>
            </w:pPr>
            <w:r>
              <w:t>Borrower</w:t>
            </w:r>
          </w:p>
        </w:tc>
        <w:tc>
          <w:tcPr>
            <w:tcW w:w="1980" w:type="dxa"/>
          </w:tcPr>
          <w:p w:rsidR="007C2444" w:rsidRDefault="007C2444" w:rsidP="00A126FA">
            <w:pPr>
              <w:tabs>
                <w:tab w:val="decimal" w:pos="252"/>
              </w:tabs>
              <w:jc w:val="center"/>
            </w:pPr>
            <w:r>
              <w:t>0</w:t>
            </w:r>
          </w:p>
        </w:tc>
      </w:tr>
      <w:tr w:rsidR="007C2444" w:rsidTr="00F34B6F">
        <w:tc>
          <w:tcPr>
            <w:tcW w:w="7488" w:type="dxa"/>
          </w:tcPr>
          <w:p w:rsidR="007C2444" w:rsidRDefault="007C2444" w:rsidP="00A126FA">
            <w:pPr>
              <w:tabs>
                <w:tab w:val="right" w:pos="7200"/>
              </w:tabs>
            </w:pPr>
            <w:r>
              <w:t>International Bank for Reconstruction and Development</w:t>
            </w:r>
          </w:p>
        </w:tc>
        <w:tc>
          <w:tcPr>
            <w:tcW w:w="1980" w:type="dxa"/>
          </w:tcPr>
          <w:p w:rsidR="007C2444" w:rsidRDefault="007C2444" w:rsidP="00A126FA">
            <w:pPr>
              <w:tabs>
                <w:tab w:val="decimal" w:pos="252"/>
              </w:tabs>
              <w:jc w:val="center"/>
            </w:pPr>
            <w:r>
              <w:t>500</w:t>
            </w:r>
          </w:p>
        </w:tc>
      </w:tr>
      <w:tr w:rsidR="00A126FA" w:rsidTr="00F34B6F">
        <w:tc>
          <w:tcPr>
            <w:tcW w:w="7488" w:type="dxa"/>
          </w:tcPr>
          <w:p w:rsidR="00A126FA" w:rsidRDefault="00A126FA" w:rsidP="00A126FA">
            <w:pPr>
              <w:tabs>
                <w:tab w:val="right" w:pos="7200"/>
              </w:tabs>
            </w:pPr>
            <w:r>
              <w:tab/>
              <w:t>Total</w:t>
            </w:r>
          </w:p>
        </w:tc>
        <w:tc>
          <w:tcPr>
            <w:tcW w:w="1980" w:type="dxa"/>
          </w:tcPr>
          <w:p w:rsidR="00A126FA" w:rsidRDefault="002C452B" w:rsidP="00A126FA">
            <w:pPr>
              <w:tabs>
                <w:tab w:val="decimal" w:pos="252"/>
              </w:tabs>
              <w:jc w:val="center"/>
            </w:pPr>
            <w:r>
              <w:t>500</w:t>
            </w:r>
          </w:p>
        </w:tc>
      </w:tr>
    </w:tbl>
    <w:p w:rsidR="00F34B6F" w:rsidRDefault="00F34B6F" w:rsidP="00F34B6F">
      <w:pPr>
        <w:ind w:left="720"/>
        <w:rPr>
          <w:b/>
        </w:rPr>
      </w:pPr>
    </w:p>
    <w:p w:rsidR="00A126FA" w:rsidRPr="003E3D6A" w:rsidRDefault="00A126FA" w:rsidP="00A126FA">
      <w:pPr>
        <w:numPr>
          <w:ilvl w:val="0"/>
          <w:numId w:val="24"/>
        </w:numPr>
        <w:rPr>
          <w:b/>
        </w:rPr>
      </w:pPr>
      <w:r w:rsidRPr="00B14B1C">
        <w:rPr>
          <w:b/>
        </w:rPr>
        <w:t>Contact point</w:t>
      </w:r>
    </w:p>
    <w:p w:rsidR="008F0B46" w:rsidRDefault="008F0B46" w:rsidP="008F0B46">
      <w:pPr>
        <w:pStyle w:val="ListParagraph"/>
        <w:ind w:left="0"/>
      </w:pPr>
      <w:r w:rsidRPr="00225112">
        <w:rPr>
          <w:b/>
        </w:rPr>
        <w:t>World Bank</w:t>
      </w:r>
      <w:r w:rsidR="00F34B6F">
        <w:rPr>
          <w:b/>
        </w:rPr>
        <w:t xml:space="preserve"> </w:t>
      </w:r>
    </w:p>
    <w:p w:rsidR="007C2444" w:rsidRDefault="007C2444" w:rsidP="008F0B46">
      <w:bookmarkStart w:id="13" w:name="ContactInfo"/>
      <w:r>
        <w:t xml:space="preserve">Contact: Alexander </w:t>
      </w:r>
      <w:proofErr w:type="spellStart"/>
      <w:r>
        <w:t>Pankov</w:t>
      </w:r>
      <w:proofErr w:type="spellEnd"/>
    </w:p>
    <w:p w:rsidR="007C2444" w:rsidRDefault="007C2444" w:rsidP="008F0B46">
      <w:r>
        <w:t>Title: Country Sector Coordinator</w:t>
      </w:r>
    </w:p>
    <w:p w:rsidR="007C2444" w:rsidRDefault="007C2444" w:rsidP="008F0B46">
      <w:r>
        <w:t xml:space="preserve">Tel: </w:t>
      </w:r>
      <w:r w:rsidR="001F793F" w:rsidRPr="00034C14">
        <w:rPr>
          <w:color w:val="000000"/>
        </w:rPr>
        <w:t>+38(044)490-66-71</w:t>
      </w:r>
    </w:p>
    <w:p w:rsidR="007C2444" w:rsidRDefault="007C2444" w:rsidP="008F0B46">
      <w:r>
        <w:t xml:space="preserve">Fax: </w:t>
      </w:r>
    </w:p>
    <w:p w:rsidR="007C2444" w:rsidRDefault="007C2444" w:rsidP="008F0B46">
      <w:r>
        <w:t>Email: Apankov@worldbank.org</w:t>
      </w:r>
    </w:p>
    <w:p w:rsidR="008F0B46" w:rsidRDefault="007C2444" w:rsidP="008F0B46">
      <w:r>
        <w:t>Location: Kyiv, Ukraine (IBRD)</w:t>
      </w:r>
      <w:bookmarkEnd w:id="13"/>
    </w:p>
    <w:p w:rsidR="008B68B0" w:rsidRDefault="008B68B0" w:rsidP="008F0B46">
      <w:pPr>
        <w:rPr>
          <w:b/>
        </w:rPr>
      </w:pPr>
    </w:p>
    <w:p w:rsidR="008F0B46" w:rsidRPr="00225112" w:rsidRDefault="008F0B46" w:rsidP="008F0B46">
      <w:pPr>
        <w:rPr>
          <w:b/>
        </w:rPr>
      </w:pPr>
      <w:r w:rsidRPr="00225112">
        <w:rPr>
          <w:b/>
        </w:rPr>
        <w:t>Borrower</w:t>
      </w:r>
    </w:p>
    <w:p w:rsidR="008F0B46" w:rsidRDefault="008F0B46" w:rsidP="008F0B46">
      <w:r w:rsidRPr="00A30F2B">
        <w:t>Contact</w:t>
      </w:r>
      <w:r>
        <w:t>:</w:t>
      </w:r>
      <w:r>
        <w:tab/>
      </w:r>
    </w:p>
    <w:p w:rsidR="008F0B46" w:rsidRDefault="008F0B46" w:rsidP="008F0B46">
      <w:r>
        <w:t>Title:</w:t>
      </w:r>
      <w:r>
        <w:tab/>
      </w:r>
      <w:r>
        <w:tab/>
      </w:r>
    </w:p>
    <w:p w:rsidR="008F0B46" w:rsidRDefault="008F0B46" w:rsidP="008F0B46">
      <w:r>
        <w:t>Tel:</w:t>
      </w:r>
      <w:r>
        <w:tab/>
      </w:r>
      <w:r>
        <w:tab/>
      </w:r>
      <w:r>
        <w:tab/>
      </w:r>
    </w:p>
    <w:p w:rsidR="008F0B46" w:rsidRDefault="008F0B46" w:rsidP="008F0B46">
      <w:r>
        <w:t>Email:</w:t>
      </w:r>
      <w:r>
        <w:tab/>
      </w:r>
      <w:r>
        <w:tab/>
      </w:r>
    </w:p>
    <w:p w:rsidR="0059349F" w:rsidRDefault="0059349F" w:rsidP="00A126FA"/>
    <w:p w:rsidR="0059349F" w:rsidRPr="0059349F" w:rsidRDefault="0059349F" w:rsidP="0059349F">
      <w:pPr>
        <w:numPr>
          <w:ilvl w:val="0"/>
          <w:numId w:val="24"/>
        </w:numPr>
        <w:rPr>
          <w:b/>
        </w:rPr>
      </w:pPr>
      <w:r w:rsidRPr="0059349F">
        <w:rPr>
          <w:b/>
        </w:rPr>
        <w:t>For more information contact:</w:t>
      </w:r>
    </w:p>
    <w:p w:rsidR="0059349F" w:rsidRPr="00C82216" w:rsidRDefault="0059349F" w:rsidP="008F0B46">
      <w:r w:rsidRPr="00C82216">
        <w:t xml:space="preserve">The </w:t>
      </w:r>
      <w:proofErr w:type="spellStart"/>
      <w:r w:rsidRPr="00C82216">
        <w:t>InfoShop</w:t>
      </w:r>
      <w:proofErr w:type="spellEnd"/>
    </w:p>
    <w:p w:rsidR="0059349F" w:rsidRPr="00C82216" w:rsidRDefault="0059349F" w:rsidP="008F0B46">
      <w:r w:rsidRPr="00C82216">
        <w:t>The World Bank</w:t>
      </w:r>
    </w:p>
    <w:p w:rsidR="0059349F" w:rsidRPr="00C82216" w:rsidRDefault="0059349F" w:rsidP="008F0B46">
      <w:r w:rsidRPr="00C82216">
        <w:t>1818 H Street, NW</w:t>
      </w:r>
    </w:p>
    <w:p w:rsidR="0059349F" w:rsidRPr="00C82216" w:rsidRDefault="0059349F" w:rsidP="008F0B46">
      <w:r w:rsidRPr="00C82216">
        <w:t>Washington, D.C. 20433</w:t>
      </w:r>
    </w:p>
    <w:p w:rsidR="0059349F" w:rsidRPr="00C82216" w:rsidRDefault="0059349F" w:rsidP="008F0B46">
      <w:r w:rsidRPr="00C82216">
        <w:t>Telephone:  (202) 458-</w:t>
      </w:r>
      <w:r w:rsidR="00C070C8">
        <w:t>4500</w:t>
      </w:r>
    </w:p>
    <w:p w:rsidR="0059349F" w:rsidRPr="00C82216" w:rsidRDefault="0059349F" w:rsidP="008F0B46">
      <w:r w:rsidRPr="00C82216">
        <w:t>Fax:  (202) 522-1500</w:t>
      </w:r>
    </w:p>
    <w:p w:rsidR="0059349F" w:rsidRPr="00C82216" w:rsidRDefault="0059349F" w:rsidP="008F0B46">
      <w:r w:rsidRPr="00C82216">
        <w:t>Web: http://www.worldbank.org/infoshop</w:t>
      </w:r>
    </w:p>
    <w:p w:rsidR="0059349F" w:rsidRPr="00A30F2B" w:rsidRDefault="0059349F" w:rsidP="00A126FA"/>
    <w:sectPr w:rsidR="0059349F" w:rsidRPr="00A30F2B" w:rsidSect="00731B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F5E" w:rsidRDefault="00CB6F5E">
      <w:r>
        <w:separator/>
      </w:r>
    </w:p>
  </w:endnote>
  <w:endnote w:type="continuationSeparator" w:id="0">
    <w:p w:rsidR="00CB6F5E" w:rsidRDefault="00CB6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F5E" w:rsidRDefault="00CB6F5E">
      <w:r>
        <w:separator/>
      </w:r>
    </w:p>
  </w:footnote>
  <w:footnote w:type="continuationSeparator" w:id="0">
    <w:p w:rsidR="00CB6F5E" w:rsidRDefault="00CB6F5E">
      <w:r>
        <w:continuationSeparator/>
      </w:r>
    </w:p>
  </w:footnote>
  <w:footnote w:id="1">
    <w:p w:rsidR="008B68B0" w:rsidRPr="001E45A9" w:rsidRDefault="008B68B0" w:rsidP="008B68B0">
      <w:pPr>
        <w:pStyle w:val="FootnoteText"/>
        <w:jc w:val="both"/>
        <w:rPr>
          <w:sz w:val="18"/>
          <w:szCs w:val="18"/>
        </w:rPr>
      </w:pPr>
      <w:r w:rsidRPr="001E45A9">
        <w:rPr>
          <w:rStyle w:val="FootnoteReference"/>
          <w:sz w:val="18"/>
          <w:szCs w:val="18"/>
        </w:rPr>
        <w:footnoteRef/>
      </w:r>
      <w:r w:rsidRPr="001E45A9">
        <w:rPr>
          <w:sz w:val="18"/>
          <w:szCs w:val="18"/>
        </w:rPr>
        <w:t xml:space="preserve"> This estimate is based on the 2012 absolute poverty line kept constant in real terms. Ukraine adopts multiple relative and absolute poverty lines, but this approach (anchoring in real terms the value of one of the official poverty lines) seemed the one which would most clearly capture the developments due to a shrinking economy.</w:t>
      </w:r>
    </w:p>
  </w:footnote>
  <w:footnote w:id="2">
    <w:p w:rsidR="008B68B0" w:rsidRPr="0057688B" w:rsidRDefault="008B68B0" w:rsidP="008B68B0">
      <w:pPr>
        <w:pStyle w:val="FootnoteText"/>
        <w:jc w:val="both"/>
        <w:rPr>
          <w:sz w:val="18"/>
          <w:szCs w:val="18"/>
        </w:rPr>
      </w:pPr>
      <w:r w:rsidRPr="001E45A9">
        <w:rPr>
          <w:rStyle w:val="FootnoteReference"/>
          <w:sz w:val="18"/>
          <w:szCs w:val="18"/>
        </w:rPr>
        <w:footnoteRef/>
      </w:r>
      <w:r w:rsidRPr="001E45A9">
        <w:rPr>
          <w:sz w:val="18"/>
          <w:szCs w:val="18"/>
        </w:rPr>
        <w:t xml:space="preserve"> Experience with this type of simulations shows that their findings are only indicative, particularly if households have access to coping strategies such as selling of assets or access to remittances, which can be countercyclical. As the economic contraction is protracted, or as the size of the macroeconomic shock increases, however, the effectiveness of these strategies diminishes. The continued uncertainty in the region might further contribute to deterioration in living standards. Based on currently available information these simulations are the best guess on future poverty trends.</w:t>
      </w:r>
      <w:r w:rsidRPr="0057688B">
        <w:rPr>
          <w:sz w:val="18"/>
          <w:szCs w:val="18"/>
        </w:rPr>
        <w:t xml:space="preserve"> </w:t>
      </w:r>
    </w:p>
  </w:footnote>
  <w:footnote w:id="3">
    <w:p w:rsidR="008B68B0" w:rsidRPr="00E9633B" w:rsidRDefault="008B68B0" w:rsidP="008B68B0">
      <w:pPr>
        <w:pStyle w:val="FootnoteText"/>
        <w:jc w:val="both"/>
        <w:rPr>
          <w:sz w:val="18"/>
          <w:szCs w:val="18"/>
        </w:rPr>
      </w:pPr>
      <w:r w:rsidRPr="00E9633B">
        <w:rPr>
          <w:rStyle w:val="FootnoteReference"/>
          <w:sz w:val="18"/>
          <w:szCs w:val="18"/>
        </w:rPr>
        <w:footnoteRef/>
      </w:r>
      <w:r w:rsidRPr="00E9633B">
        <w:rPr>
          <w:sz w:val="18"/>
          <w:szCs w:val="18"/>
        </w:rPr>
        <w:t xml:space="preserve"> </w:t>
      </w:r>
      <w:r>
        <w:rPr>
          <w:sz w:val="18"/>
          <w:szCs w:val="18"/>
        </w:rPr>
        <w:t>T</w:t>
      </w:r>
      <w:r w:rsidRPr="00E9633B">
        <w:rPr>
          <w:sz w:val="18"/>
          <w:szCs w:val="18"/>
        </w:rPr>
        <w:t xml:space="preserve">here </w:t>
      </w:r>
      <w:proofErr w:type="gramStart"/>
      <w:r w:rsidRPr="00E9633B">
        <w:rPr>
          <w:sz w:val="18"/>
          <w:szCs w:val="18"/>
        </w:rPr>
        <w:t>are</w:t>
      </w:r>
      <w:proofErr w:type="gramEnd"/>
      <w:r w:rsidRPr="00E9633B">
        <w:rPr>
          <w:sz w:val="18"/>
          <w:szCs w:val="18"/>
        </w:rPr>
        <w:t xml:space="preserve"> however gender differences in the pattern of usage of bank accounts, with for example women being more reliant than men on bank accounts to receive government transfers or remittances.</w:t>
      </w:r>
    </w:p>
  </w:footnote>
  <w:footnote w:id="4">
    <w:p w:rsidR="008B68B0" w:rsidRPr="0057688B" w:rsidRDefault="008B68B0" w:rsidP="008B68B0">
      <w:pPr>
        <w:pStyle w:val="FootnoteText"/>
        <w:jc w:val="both"/>
        <w:rPr>
          <w:sz w:val="18"/>
          <w:szCs w:val="18"/>
        </w:rPr>
      </w:pPr>
      <w:r w:rsidRPr="0057688B">
        <w:rPr>
          <w:rStyle w:val="FootnoteReference"/>
          <w:sz w:val="18"/>
          <w:szCs w:val="18"/>
        </w:rPr>
        <w:footnoteRef/>
      </w:r>
      <w:r w:rsidRPr="0057688B">
        <w:rPr>
          <w:sz w:val="18"/>
          <w:szCs w:val="18"/>
        </w:rPr>
        <w:t xml:space="preserve"> The survey presents information on cash expenses on financial services, and on cash expenses on purchases of shares, certificates, foreign currency and bank deposits. We report on the latter as more specific questions tend to provide more precise answers.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240"/>
    <w:multiLevelType w:val="hybridMultilevel"/>
    <w:tmpl w:val="FC38B6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EC5416"/>
    <w:multiLevelType w:val="hybridMultilevel"/>
    <w:tmpl w:val="11E85B56"/>
    <w:lvl w:ilvl="0" w:tplc="2AE893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2F2C6D"/>
    <w:multiLevelType w:val="hybridMultilevel"/>
    <w:tmpl w:val="37648210"/>
    <w:lvl w:ilvl="0" w:tplc="516C19B2">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7E67DA"/>
    <w:multiLevelType w:val="hybridMultilevel"/>
    <w:tmpl w:val="CD48F9AA"/>
    <w:lvl w:ilvl="0" w:tplc="3AECCFB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890280"/>
    <w:multiLevelType w:val="multilevel"/>
    <w:tmpl w:val="99CEE76E"/>
    <w:lvl w:ilvl="0">
      <w:start w:val="1"/>
      <w:numFmt w:val="upperRoman"/>
      <w:lvlText w:val="%1."/>
      <w:lvlJc w:val="left"/>
      <w:pPr>
        <w:tabs>
          <w:tab w:val="num" w:pos="720"/>
        </w:tabs>
        <w:ind w:left="720" w:hanging="720"/>
      </w:pPr>
      <w:rPr>
        <w:rFonts w:ascii="Times New Roman Bold" w:hAnsi="Times New Roman Bold" w:hint="default"/>
        <w:b/>
        <w:i w:val="0"/>
        <w:sz w:val="24"/>
        <w:szCs w:val="24"/>
      </w:rPr>
    </w:lvl>
    <w:lvl w:ilvl="1">
      <w:start w:val="1"/>
      <w:numFmt w:val="decimal"/>
      <w:lvlText w:val="%2."/>
      <w:lvlJc w:val="left"/>
      <w:pPr>
        <w:tabs>
          <w:tab w:val="num" w:pos="720"/>
        </w:tabs>
        <w:ind w:left="720" w:hanging="720"/>
      </w:pPr>
      <w:rPr>
        <w:rFonts w:hint="default"/>
        <w:b w:val="0"/>
        <w:i w:val="0"/>
        <w:sz w:val="24"/>
        <w:szCs w:val="24"/>
      </w:rPr>
    </w:lvl>
    <w:lvl w:ilvl="2">
      <w:start w:val="5"/>
      <w:numFmt w:val="decimal"/>
      <w:lvlText w:val="%3."/>
      <w:lvlJc w:val="left"/>
      <w:pPr>
        <w:tabs>
          <w:tab w:val="num" w:pos="720"/>
        </w:tabs>
        <w:ind w:left="720" w:hanging="720"/>
      </w:pPr>
      <w:rPr>
        <w:rFonts w:hint="default"/>
        <w:b w:val="0"/>
        <w:i w:val="0"/>
        <w:sz w:val="24"/>
        <w:szCs w:val="24"/>
      </w:rPr>
    </w:lvl>
    <w:lvl w:ilvl="3">
      <w:start w:val="1"/>
      <w:numFmt w:val="lowerLetter"/>
      <w:lvlText w:val="%4."/>
      <w:lvlJc w:val="left"/>
      <w:pPr>
        <w:tabs>
          <w:tab w:val="num" w:pos="1080"/>
        </w:tabs>
        <w:ind w:left="1080" w:hanging="360"/>
      </w:pPr>
      <w:rPr>
        <w:rFonts w:hint="default"/>
        <w:b w:val="0"/>
        <w:i w:val="0"/>
        <w:sz w:val="24"/>
        <w:szCs w:val="24"/>
      </w:rPr>
    </w:lvl>
    <w:lvl w:ilvl="4">
      <w:start w:val="1"/>
      <w:numFmt w:val="lowerRoman"/>
      <w:lvlText w:val="(%5)"/>
      <w:lvlJc w:val="left"/>
      <w:pPr>
        <w:tabs>
          <w:tab w:val="num" w:pos="2160"/>
        </w:tabs>
        <w:ind w:left="2160" w:hanging="720"/>
      </w:pPr>
      <w:rPr>
        <w:rFonts w:hint="default"/>
        <w:b w:val="0"/>
        <w:i w:val="0"/>
        <w:sz w:val="24"/>
        <w:szCs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78573C1"/>
    <w:multiLevelType w:val="hybridMultilevel"/>
    <w:tmpl w:val="FFA4E436"/>
    <w:lvl w:ilvl="0" w:tplc="F602485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2F6023"/>
    <w:multiLevelType w:val="hybridMultilevel"/>
    <w:tmpl w:val="EFA2C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AD1EC3"/>
    <w:multiLevelType w:val="hybridMultilevel"/>
    <w:tmpl w:val="9D38E54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B72C36"/>
    <w:multiLevelType w:val="hybridMultilevel"/>
    <w:tmpl w:val="95B816F8"/>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43649E"/>
    <w:multiLevelType w:val="hybridMultilevel"/>
    <w:tmpl w:val="7F660714"/>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19439E6"/>
    <w:multiLevelType w:val="multilevel"/>
    <w:tmpl w:val="65669098"/>
    <w:lvl w:ilvl="0">
      <w:start w:val="1"/>
      <w:numFmt w:val="none"/>
      <w:pStyle w:val="Heading1a"/>
      <w:suff w:val="nothing"/>
      <w:lvlText w:val="%1"/>
      <w:lvlJc w:val="left"/>
      <w:pPr>
        <w:ind w:left="0" w:firstLine="0"/>
      </w:pPr>
      <w:rPr>
        <w:rFonts w:hint="default"/>
      </w:rPr>
    </w:lvl>
    <w:lvl w:ilvl="1">
      <w:start w:val="1"/>
      <w:numFmt w:val="decimal"/>
      <w:lvlText w:val="%2."/>
      <w:lvlJc w:val="left"/>
      <w:pPr>
        <w:tabs>
          <w:tab w:val="num" w:pos="720"/>
        </w:tabs>
        <w:ind w:left="720" w:hanging="720"/>
      </w:pPr>
      <w:rPr>
        <w:rFonts w:hint="default"/>
      </w:rPr>
    </w:lvl>
    <w:lvl w:ilvl="2">
      <w:start w:val="1"/>
      <w:numFmt w:val="lowerLetter"/>
      <w:lvlText w:val="(%3)"/>
      <w:lvlJc w:val="left"/>
      <w:pPr>
        <w:tabs>
          <w:tab w:val="num" w:pos="1080"/>
        </w:tabs>
        <w:ind w:left="720" w:hanging="360"/>
      </w:pPr>
      <w:rPr>
        <w:rFonts w:hint="default"/>
      </w:rPr>
    </w:lvl>
    <w:lvl w:ilvl="3">
      <w:start w:val="1"/>
      <w:numFmt w:val="lowerRoman"/>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4846D13"/>
    <w:multiLevelType w:val="hybridMultilevel"/>
    <w:tmpl w:val="7A1E68AA"/>
    <w:lvl w:ilvl="0" w:tplc="B066C178">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7155CD0"/>
    <w:multiLevelType w:val="hybridMultilevel"/>
    <w:tmpl w:val="B0147E7C"/>
    <w:lvl w:ilvl="0" w:tplc="2A2E7AB6">
      <w:start w:val="1"/>
      <w:numFmt w:val="bullet"/>
      <w:lvlText w:val=""/>
      <w:lvlJc w:val="left"/>
      <w:pPr>
        <w:tabs>
          <w:tab w:val="num" w:pos="360"/>
        </w:tabs>
        <w:ind w:left="360" w:hanging="360"/>
      </w:pPr>
      <w:rPr>
        <w:rFonts w:ascii="Symbol" w:hAnsi="Symbol" w:hint="default"/>
      </w:rPr>
    </w:lvl>
    <w:lvl w:ilvl="1" w:tplc="121AB9A0">
      <w:start w:val="1"/>
      <w:numFmt w:val="lowerLetter"/>
      <w:lvlText w:val="%2."/>
      <w:lvlJc w:val="left"/>
      <w:pPr>
        <w:tabs>
          <w:tab w:val="num" w:pos="1440"/>
        </w:tabs>
        <w:ind w:left="1368" w:hanging="288"/>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156FA8"/>
    <w:multiLevelType w:val="hybridMultilevel"/>
    <w:tmpl w:val="B6F4579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A7314D1"/>
    <w:multiLevelType w:val="hybridMultilevel"/>
    <w:tmpl w:val="A39660A8"/>
    <w:lvl w:ilvl="0" w:tplc="74AC854E">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1F80BE6"/>
    <w:multiLevelType w:val="hybridMultilevel"/>
    <w:tmpl w:val="5EAA3448"/>
    <w:lvl w:ilvl="0" w:tplc="38BCDD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7990A89"/>
    <w:multiLevelType w:val="hybridMultilevel"/>
    <w:tmpl w:val="A7B8CFC4"/>
    <w:lvl w:ilvl="0" w:tplc="DA56D010">
      <w:start w:val="3"/>
      <w:numFmt w:val="decimal"/>
      <w:lvlText w:val="%1."/>
      <w:lvlJc w:val="left"/>
      <w:pPr>
        <w:tabs>
          <w:tab w:val="num" w:pos="360"/>
        </w:tabs>
        <w:ind w:left="288" w:hanging="288"/>
      </w:pPr>
      <w:rPr>
        <w:rFonts w:hint="default"/>
      </w:rPr>
    </w:lvl>
    <w:lvl w:ilvl="1" w:tplc="121AB9A0">
      <w:start w:val="1"/>
      <w:numFmt w:val="lowerLetter"/>
      <w:lvlText w:val="%2."/>
      <w:lvlJc w:val="left"/>
      <w:pPr>
        <w:tabs>
          <w:tab w:val="num" w:pos="1440"/>
        </w:tabs>
        <w:ind w:left="1368" w:hanging="28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DE92C30"/>
    <w:multiLevelType w:val="hybridMultilevel"/>
    <w:tmpl w:val="F49C954C"/>
    <w:lvl w:ilvl="0" w:tplc="3AECCFB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F9F5877"/>
    <w:multiLevelType w:val="hybridMultilevel"/>
    <w:tmpl w:val="AA948E64"/>
    <w:lvl w:ilvl="0" w:tplc="A07AFBA0">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3778CF"/>
    <w:multiLevelType w:val="hybridMultilevel"/>
    <w:tmpl w:val="61880A9C"/>
    <w:lvl w:ilvl="0" w:tplc="545E059A">
      <w:start w:val="12"/>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8684E9D"/>
    <w:multiLevelType w:val="hybridMultilevel"/>
    <w:tmpl w:val="4ABC9A9C"/>
    <w:lvl w:ilvl="0" w:tplc="09AA25A8">
      <w:start w:val="1"/>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B150CF4"/>
    <w:multiLevelType w:val="hybridMultilevel"/>
    <w:tmpl w:val="52C84FC2"/>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F3839BF"/>
    <w:multiLevelType w:val="hybridMultilevel"/>
    <w:tmpl w:val="44306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624AC9"/>
    <w:multiLevelType w:val="hybridMultilevel"/>
    <w:tmpl w:val="99CEE76E"/>
    <w:lvl w:ilvl="0" w:tplc="BE3EE3F6">
      <w:start w:val="1"/>
      <w:numFmt w:val="upperRoman"/>
      <w:lvlText w:val="%1."/>
      <w:lvlJc w:val="left"/>
      <w:pPr>
        <w:tabs>
          <w:tab w:val="num" w:pos="720"/>
        </w:tabs>
        <w:ind w:left="720" w:hanging="720"/>
      </w:pPr>
      <w:rPr>
        <w:rFonts w:ascii="Times New Roman Bold" w:hAnsi="Times New Roman Bold" w:hint="default"/>
        <w:b/>
        <w:i w:val="0"/>
        <w:sz w:val="24"/>
        <w:szCs w:val="24"/>
      </w:rPr>
    </w:lvl>
    <w:lvl w:ilvl="1" w:tplc="09AA25A8">
      <w:start w:val="1"/>
      <w:numFmt w:val="decimal"/>
      <w:lvlText w:val="%2."/>
      <w:lvlJc w:val="left"/>
      <w:pPr>
        <w:tabs>
          <w:tab w:val="num" w:pos="720"/>
        </w:tabs>
        <w:ind w:left="720" w:hanging="720"/>
      </w:pPr>
      <w:rPr>
        <w:rFonts w:hint="default"/>
        <w:b w:val="0"/>
        <w:i w:val="0"/>
        <w:sz w:val="24"/>
        <w:szCs w:val="24"/>
      </w:rPr>
    </w:lvl>
    <w:lvl w:ilvl="2" w:tplc="0CE071D6">
      <w:start w:val="5"/>
      <w:numFmt w:val="decimal"/>
      <w:lvlText w:val="%3."/>
      <w:lvlJc w:val="left"/>
      <w:pPr>
        <w:tabs>
          <w:tab w:val="num" w:pos="720"/>
        </w:tabs>
        <w:ind w:left="720" w:hanging="720"/>
      </w:pPr>
      <w:rPr>
        <w:rFonts w:hint="default"/>
        <w:b w:val="0"/>
        <w:i w:val="0"/>
        <w:sz w:val="24"/>
        <w:szCs w:val="24"/>
      </w:rPr>
    </w:lvl>
    <w:lvl w:ilvl="3" w:tplc="9210D27A">
      <w:start w:val="1"/>
      <w:numFmt w:val="lowerLetter"/>
      <w:lvlText w:val="%4."/>
      <w:lvlJc w:val="left"/>
      <w:pPr>
        <w:tabs>
          <w:tab w:val="num" w:pos="1080"/>
        </w:tabs>
        <w:ind w:left="1080" w:hanging="360"/>
      </w:pPr>
      <w:rPr>
        <w:rFonts w:hint="default"/>
        <w:b w:val="0"/>
        <w:i w:val="0"/>
        <w:sz w:val="24"/>
        <w:szCs w:val="24"/>
      </w:rPr>
    </w:lvl>
    <w:lvl w:ilvl="4" w:tplc="465A5734">
      <w:start w:val="1"/>
      <w:numFmt w:val="lowerRoman"/>
      <w:lvlText w:val="(%5)"/>
      <w:lvlJc w:val="left"/>
      <w:pPr>
        <w:tabs>
          <w:tab w:val="num" w:pos="2160"/>
        </w:tabs>
        <w:ind w:left="2160" w:hanging="720"/>
      </w:pPr>
      <w:rPr>
        <w:rFonts w:hint="default"/>
        <w:b w:val="0"/>
        <w:i w:val="0"/>
        <w:sz w:val="24"/>
        <w:szCs w:val="24"/>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3C11663"/>
    <w:multiLevelType w:val="multilevel"/>
    <w:tmpl w:val="94A882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080" w:hanging="360"/>
      </w:pPr>
      <w:rPr>
        <w:rFonts w:hint="default"/>
      </w:rPr>
    </w:lvl>
    <w:lvl w:ilvl="3">
      <w:start w:val="1"/>
      <w:numFmt w:val="lowerRoman"/>
      <w:lvlText w:val="(%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25">
    <w:nsid w:val="773D2F0C"/>
    <w:multiLevelType w:val="hybridMultilevel"/>
    <w:tmpl w:val="74B021AC"/>
    <w:lvl w:ilvl="0" w:tplc="BD46BA2E">
      <w:start w:val="1"/>
      <w:numFmt w:val="upperRoman"/>
      <w:lvlText w:val="%1."/>
      <w:lvlJc w:val="left"/>
      <w:pPr>
        <w:tabs>
          <w:tab w:val="num" w:pos="720"/>
        </w:tabs>
        <w:ind w:left="720" w:hanging="720"/>
      </w:pPr>
      <w:rPr>
        <w:rFonts w:ascii="Times New Roman Bold" w:hAnsi="Times New Roman Bold" w:hint="default"/>
        <w:b/>
        <w:i w:val="0"/>
        <w:sz w:val="24"/>
        <w:szCs w:val="24"/>
      </w:rPr>
    </w:lvl>
    <w:lvl w:ilvl="1" w:tplc="54FCD87A">
      <w:start w:val="1"/>
      <w:numFmt w:val="lowerLetter"/>
      <w:lvlText w:val="%2."/>
      <w:lvlJc w:val="left"/>
      <w:pPr>
        <w:tabs>
          <w:tab w:val="num" w:pos="1440"/>
        </w:tabs>
        <w:ind w:left="1440" w:hanging="720"/>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896538E"/>
    <w:multiLevelType w:val="hybridMultilevel"/>
    <w:tmpl w:val="6B90D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ED6383F"/>
    <w:multiLevelType w:val="hybridMultilevel"/>
    <w:tmpl w:val="09E86072"/>
    <w:lvl w:ilvl="0" w:tplc="E94A50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FE30505"/>
    <w:multiLevelType w:val="hybridMultilevel"/>
    <w:tmpl w:val="25E07446"/>
    <w:lvl w:ilvl="0" w:tplc="FFFFFFFF">
      <w:start w:val="1"/>
      <w:numFmt w:val="bullet"/>
      <w:pStyle w:val="Bullet"/>
      <w:lvlText w:val=""/>
      <w:lvlJc w:val="left"/>
      <w:pPr>
        <w:tabs>
          <w:tab w:val="num" w:pos="1440"/>
        </w:tabs>
        <w:ind w:left="144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27"/>
  </w:num>
  <w:num w:numId="4">
    <w:abstractNumId w:val="1"/>
  </w:num>
  <w:num w:numId="5">
    <w:abstractNumId w:val="14"/>
  </w:num>
  <w:num w:numId="6">
    <w:abstractNumId w:val="0"/>
  </w:num>
  <w:num w:numId="7">
    <w:abstractNumId w:val="21"/>
  </w:num>
  <w:num w:numId="8">
    <w:abstractNumId w:val="8"/>
  </w:num>
  <w:num w:numId="9">
    <w:abstractNumId w:val="16"/>
  </w:num>
  <w:num w:numId="10">
    <w:abstractNumId w:val="2"/>
  </w:num>
  <w:num w:numId="11">
    <w:abstractNumId w:val="11"/>
  </w:num>
  <w:num w:numId="12">
    <w:abstractNumId w:val="15"/>
  </w:num>
  <w:num w:numId="13">
    <w:abstractNumId w:val="10"/>
  </w:num>
  <w:num w:numId="14">
    <w:abstractNumId w:val="24"/>
  </w:num>
  <w:num w:numId="15">
    <w:abstractNumId w:val="28"/>
  </w:num>
  <w:num w:numId="16">
    <w:abstractNumId w:val="9"/>
  </w:num>
  <w:num w:numId="17">
    <w:abstractNumId w:val="12"/>
  </w:num>
  <w:num w:numId="18">
    <w:abstractNumId w:val="26"/>
  </w:num>
  <w:num w:numId="19">
    <w:abstractNumId w:val="17"/>
  </w:num>
  <w:num w:numId="20">
    <w:abstractNumId w:val="3"/>
  </w:num>
  <w:num w:numId="21">
    <w:abstractNumId w:val="23"/>
  </w:num>
  <w:num w:numId="22">
    <w:abstractNumId w:val="19"/>
  </w:num>
  <w:num w:numId="23">
    <w:abstractNumId w:val="5"/>
  </w:num>
  <w:num w:numId="24">
    <w:abstractNumId w:val="25"/>
  </w:num>
  <w:num w:numId="25">
    <w:abstractNumId w:val="20"/>
  </w:num>
  <w:num w:numId="26">
    <w:abstractNumId w:val="4"/>
  </w:num>
  <w:num w:numId="27">
    <w:abstractNumId w:val="18"/>
  </w:num>
  <w:num w:numId="28">
    <w:abstractNumId w:val="22"/>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6FA"/>
    <w:rsid w:val="00007917"/>
    <w:rsid w:val="00030402"/>
    <w:rsid w:val="00034C14"/>
    <w:rsid w:val="00071B65"/>
    <w:rsid w:val="000736A2"/>
    <w:rsid w:val="00086692"/>
    <w:rsid w:val="000D2D1B"/>
    <w:rsid w:val="00101C42"/>
    <w:rsid w:val="00134F9E"/>
    <w:rsid w:val="001527BE"/>
    <w:rsid w:val="00171E5D"/>
    <w:rsid w:val="00182A0D"/>
    <w:rsid w:val="001936A8"/>
    <w:rsid w:val="001A4469"/>
    <w:rsid w:val="001D607D"/>
    <w:rsid w:val="001E638A"/>
    <w:rsid w:val="001F793F"/>
    <w:rsid w:val="002229CD"/>
    <w:rsid w:val="0023692D"/>
    <w:rsid w:val="002428DC"/>
    <w:rsid w:val="00283684"/>
    <w:rsid w:val="00295C39"/>
    <w:rsid w:val="002B0650"/>
    <w:rsid w:val="002C452B"/>
    <w:rsid w:val="003103C4"/>
    <w:rsid w:val="00335C23"/>
    <w:rsid w:val="00337CE7"/>
    <w:rsid w:val="003723D9"/>
    <w:rsid w:val="00383CBB"/>
    <w:rsid w:val="003E3E86"/>
    <w:rsid w:val="003F02CA"/>
    <w:rsid w:val="004C6525"/>
    <w:rsid w:val="004D6196"/>
    <w:rsid w:val="004F0F64"/>
    <w:rsid w:val="00577870"/>
    <w:rsid w:val="00586A53"/>
    <w:rsid w:val="0059349F"/>
    <w:rsid w:val="00671A99"/>
    <w:rsid w:val="00674243"/>
    <w:rsid w:val="0067697E"/>
    <w:rsid w:val="00690F9A"/>
    <w:rsid w:val="006C5D18"/>
    <w:rsid w:val="006F3FC6"/>
    <w:rsid w:val="00701460"/>
    <w:rsid w:val="007150F6"/>
    <w:rsid w:val="007178FE"/>
    <w:rsid w:val="00731BC4"/>
    <w:rsid w:val="00742B5B"/>
    <w:rsid w:val="007863D3"/>
    <w:rsid w:val="00787B7C"/>
    <w:rsid w:val="00793D7D"/>
    <w:rsid w:val="007B4438"/>
    <w:rsid w:val="007B7DB3"/>
    <w:rsid w:val="007C2444"/>
    <w:rsid w:val="008451FE"/>
    <w:rsid w:val="008B68B0"/>
    <w:rsid w:val="008C34DD"/>
    <w:rsid w:val="008F0B46"/>
    <w:rsid w:val="008F3831"/>
    <w:rsid w:val="00914E33"/>
    <w:rsid w:val="00915DAE"/>
    <w:rsid w:val="00921E31"/>
    <w:rsid w:val="00923AC9"/>
    <w:rsid w:val="00933891"/>
    <w:rsid w:val="00963593"/>
    <w:rsid w:val="00967126"/>
    <w:rsid w:val="009703CE"/>
    <w:rsid w:val="0097555D"/>
    <w:rsid w:val="00996EEB"/>
    <w:rsid w:val="009B1BF2"/>
    <w:rsid w:val="009B6060"/>
    <w:rsid w:val="009F5E4D"/>
    <w:rsid w:val="00A05BC0"/>
    <w:rsid w:val="00A126FA"/>
    <w:rsid w:val="00A176AA"/>
    <w:rsid w:val="00A25C56"/>
    <w:rsid w:val="00AA5A30"/>
    <w:rsid w:val="00AB0F65"/>
    <w:rsid w:val="00B17C5F"/>
    <w:rsid w:val="00B677C4"/>
    <w:rsid w:val="00C070C8"/>
    <w:rsid w:val="00C63E52"/>
    <w:rsid w:val="00C67E15"/>
    <w:rsid w:val="00C96CBF"/>
    <w:rsid w:val="00CB6F5E"/>
    <w:rsid w:val="00CE7CF4"/>
    <w:rsid w:val="00D2365D"/>
    <w:rsid w:val="00D545E4"/>
    <w:rsid w:val="00DE739D"/>
    <w:rsid w:val="00E528E0"/>
    <w:rsid w:val="00EC042A"/>
    <w:rsid w:val="00F0622C"/>
    <w:rsid w:val="00F34A55"/>
    <w:rsid w:val="00F34B6F"/>
    <w:rsid w:val="00F41703"/>
    <w:rsid w:val="00F7168A"/>
    <w:rsid w:val="00F86758"/>
    <w:rsid w:val="00FF2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1BC4"/>
    <w:rPr>
      <w:sz w:val="24"/>
      <w:szCs w:val="24"/>
    </w:rPr>
  </w:style>
  <w:style w:type="paragraph" w:styleId="Heading1">
    <w:name w:val="heading 1"/>
    <w:basedOn w:val="Normal"/>
    <w:next w:val="Normal"/>
    <w:qFormat/>
    <w:rsid w:val="00731BC4"/>
    <w:pPr>
      <w:keepNext/>
      <w:outlineLvl w:val="0"/>
    </w:pPr>
    <w:rPr>
      <w:b/>
      <w:bCs/>
    </w:rPr>
  </w:style>
  <w:style w:type="paragraph" w:styleId="Heading2">
    <w:name w:val="heading 2"/>
    <w:basedOn w:val="Normal"/>
    <w:next w:val="Normal"/>
    <w:qFormat/>
    <w:rsid w:val="00731BC4"/>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31BC4"/>
    <w:pPr>
      <w:ind w:left="-108"/>
      <w:jc w:val="both"/>
    </w:pPr>
  </w:style>
  <w:style w:type="character" w:styleId="CommentReference">
    <w:name w:val="annotation reference"/>
    <w:basedOn w:val="DefaultParagraphFont"/>
    <w:semiHidden/>
    <w:rsid w:val="00731BC4"/>
    <w:rPr>
      <w:sz w:val="16"/>
      <w:szCs w:val="16"/>
    </w:rPr>
  </w:style>
  <w:style w:type="paragraph" w:styleId="CommentText">
    <w:name w:val="annotation text"/>
    <w:basedOn w:val="Normal"/>
    <w:semiHidden/>
    <w:rsid w:val="00731BC4"/>
    <w:rPr>
      <w:sz w:val="20"/>
      <w:szCs w:val="20"/>
    </w:rPr>
  </w:style>
  <w:style w:type="paragraph" w:styleId="BalloonText">
    <w:name w:val="Balloon Text"/>
    <w:basedOn w:val="Normal"/>
    <w:semiHidden/>
    <w:rsid w:val="00731BC4"/>
    <w:rPr>
      <w:rFonts w:ascii="Tahoma" w:hAnsi="Tahoma" w:cs="Tahoma"/>
      <w:sz w:val="16"/>
      <w:szCs w:val="16"/>
    </w:rPr>
  </w:style>
  <w:style w:type="paragraph" w:customStyle="1" w:styleId="Heading1a">
    <w:name w:val="Heading 1a"/>
    <w:basedOn w:val="Normal"/>
    <w:next w:val="Normal"/>
    <w:rsid w:val="00731BC4"/>
    <w:pPr>
      <w:keepNext/>
      <w:keepLines/>
      <w:numPr>
        <w:numId w:val="13"/>
      </w:numPr>
      <w:spacing w:before="1440" w:after="240"/>
      <w:jc w:val="center"/>
      <w:outlineLvl w:val="0"/>
    </w:pPr>
    <w:rPr>
      <w:b/>
      <w:caps/>
      <w:sz w:val="32"/>
    </w:rPr>
  </w:style>
  <w:style w:type="paragraph" w:customStyle="1" w:styleId="MainParanoChapter">
    <w:name w:val="Main Para no Chapter #"/>
    <w:basedOn w:val="Normal"/>
    <w:rsid w:val="00731BC4"/>
    <w:pPr>
      <w:spacing w:after="240"/>
      <w:outlineLvl w:val="1"/>
    </w:pPr>
  </w:style>
  <w:style w:type="paragraph" w:customStyle="1" w:styleId="Sub-Para1underX">
    <w:name w:val="Sub-Para 1 under X."/>
    <w:basedOn w:val="Normal"/>
    <w:rsid w:val="00731BC4"/>
    <w:pPr>
      <w:spacing w:after="240"/>
      <w:ind w:left="1440" w:hanging="720"/>
      <w:outlineLvl w:val="2"/>
    </w:pPr>
  </w:style>
  <w:style w:type="paragraph" w:customStyle="1" w:styleId="Sub-Para2underX">
    <w:name w:val="Sub-Para 2 under X."/>
    <w:basedOn w:val="Normal"/>
    <w:rsid w:val="00731BC4"/>
    <w:pPr>
      <w:spacing w:after="240"/>
      <w:ind w:left="2160" w:hanging="720"/>
      <w:outlineLvl w:val="3"/>
    </w:pPr>
  </w:style>
  <w:style w:type="paragraph" w:customStyle="1" w:styleId="Sub-Para3underX">
    <w:name w:val="Sub-Para 3 under X."/>
    <w:basedOn w:val="Normal"/>
    <w:rsid w:val="00731BC4"/>
    <w:pPr>
      <w:numPr>
        <w:ilvl w:val="4"/>
        <w:numId w:val="13"/>
      </w:numPr>
      <w:tabs>
        <w:tab w:val="clear" w:pos="1440"/>
      </w:tabs>
      <w:spacing w:after="240"/>
      <w:ind w:left="2880" w:hanging="720"/>
      <w:outlineLvl w:val="4"/>
    </w:pPr>
  </w:style>
  <w:style w:type="paragraph" w:customStyle="1" w:styleId="Sub-Para4underX">
    <w:name w:val="Sub-Para 4 under X."/>
    <w:basedOn w:val="Normal"/>
    <w:rsid w:val="00731BC4"/>
    <w:pPr>
      <w:numPr>
        <w:ilvl w:val="5"/>
        <w:numId w:val="13"/>
      </w:numPr>
      <w:tabs>
        <w:tab w:val="clear" w:pos="2160"/>
      </w:tabs>
      <w:spacing w:after="240"/>
      <w:ind w:left="3600" w:hanging="720"/>
      <w:outlineLvl w:val="5"/>
    </w:pPr>
  </w:style>
  <w:style w:type="paragraph" w:customStyle="1" w:styleId="Bullet">
    <w:name w:val="Bullet"/>
    <w:basedOn w:val="Normal"/>
    <w:rsid w:val="00731BC4"/>
    <w:pPr>
      <w:numPr>
        <w:numId w:val="15"/>
      </w:numPr>
      <w:tabs>
        <w:tab w:val="clear" w:pos="1440"/>
      </w:tabs>
    </w:pPr>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Знак сноски 1,Ciae niinee 1,fr"/>
    <w:basedOn w:val="DefaultParagraphFont"/>
    <w:link w:val="BVIfnr"/>
    <w:uiPriority w:val="99"/>
    <w:rsid w:val="00731BC4"/>
    <w:rPr>
      <w:vertAlign w:val="superscript"/>
    </w:rPr>
  </w:style>
  <w:style w:type="paragraph" w:styleId="FootnoteText">
    <w:name w:val="footnote text"/>
    <w:aliases w:val="FOOTNOTES,fn,single space,footnote text,Footnote text,ft,ADB,ADB Char,single space Char Char,Fußnotentext Char,Footnote Text Char2 Char,Footnote Text Char1 Char Char,Footnote Text Char2 Char Char Char,Footno,Footnote,Footnote Text Char1"/>
    <w:basedOn w:val="Normal"/>
    <w:link w:val="FootnoteTextChar"/>
    <w:uiPriority w:val="99"/>
    <w:qFormat/>
    <w:rsid w:val="00731BC4"/>
    <w:rPr>
      <w:sz w:val="20"/>
      <w:szCs w:val="20"/>
    </w:rPr>
  </w:style>
  <w:style w:type="table" w:styleId="TableGrid">
    <w:name w:val="Table Grid"/>
    <w:basedOn w:val="TableNormal"/>
    <w:rsid w:val="00A126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41703"/>
    <w:rPr>
      <w:color w:val="0000FF"/>
      <w:u w:val="single"/>
    </w:rPr>
  </w:style>
  <w:style w:type="character" w:customStyle="1" w:styleId="FootnoteTextChar">
    <w:name w:val="Footnote Text Char"/>
    <w:aliases w:val="FOOTNOTES Char,fn Char,single space Char,footnote text Char,Footnote text Char,ft Char,ADB Char1,ADB Char Char,single space Char Char Char,Fußnotentext Char Char,Footnote Text Char2 Char Char,Footnote Text Char1 Char Char Char"/>
    <w:basedOn w:val="DefaultParagraphFont"/>
    <w:link w:val="FootnoteText"/>
    <w:uiPriority w:val="99"/>
    <w:rsid w:val="00F41703"/>
    <w:rPr>
      <w:lang w:val="en-US" w:eastAsia="en-US" w:bidi="ar-SA"/>
    </w:rPr>
  </w:style>
  <w:style w:type="character" w:styleId="FollowedHyperlink">
    <w:name w:val="FollowedHyperlink"/>
    <w:basedOn w:val="DefaultParagraphFont"/>
    <w:rsid w:val="001527BE"/>
    <w:rPr>
      <w:color w:val="800080"/>
      <w:u w:val="single"/>
    </w:rPr>
  </w:style>
  <w:style w:type="paragraph" w:styleId="ListParagraph">
    <w:name w:val="List Paragraph"/>
    <w:basedOn w:val="Normal"/>
    <w:link w:val="ListParagraphChar"/>
    <w:uiPriority w:val="34"/>
    <w:qFormat/>
    <w:rsid w:val="00FF23CF"/>
    <w:pPr>
      <w:ind w:left="720"/>
      <w:contextualSpacing/>
    </w:pPr>
  </w:style>
  <w:style w:type="paragraph" w:customStyle="1" w:styleId="CM3">
    <w:name w:val="CM3"/>
    <w:basedOn w:val="Normal"/>
    <w:next w:val="Normal"/>
    <w:uiPriority w:val="99"/>
    <w:rsid w:val="00671A99"/>
    <w:pPr>
      <w:widowControl w:val="0"/>
      <w:autoSpaceDE w:val="0"/>
      <w:autoSpaceDN w:val="0"/>
      <w:adjustRightInd w:val="0"/>
    </w:pPr>
    <w:rPr>
      <w:rFonts w:eastAsiaTheme="minorEastAsia"/>
    </w:rPr>
  </w:style>
  <w:style w:type="paragraph" w:customStyle="1" w:styleId="CM1">
    <w:name w:val="CM1"/>
    <w:basedOn w:val="Normal"/>
    <w:next w:val="Normal"/>
    <w:uiPriority w:val="99"/>
    <w:rsid w:val="00671A99"/>
    <w:pPr>
      <w:widowControl w:val="0"/>
      <w:autoSpaceDE w:val="0"/>
      <w:autoSpaceDN w:val="0"/>
      <w:adjustRightInd w:val="0"/>
      <w:spacing w:line="253" w:lineRule="atLeast"/>
    </w:pPr>
    <w:rPr>
      <w:rFonts w:eastAsiaTheme="minorEastAsia"/>
    </w:rPr>
  </w:style>
  <w:style w:type="paragraph" w:customStyle="1" w:styleId="CM4">
    <w:name w:val="CM4"/>
    <w:basedOn w:val="Normal"/>
    <w:next w:val="Normal"/>
    <w:uiPriority w:val="99"/>
    <w:rsid w:val="00AA5A30"/>
    <w:pPr>
      <w:widowControl w:val="0"/>
      <w:autoSpaceDE w:val="0"/>
      <w:autoSpaceDN w:val="0"/>
      <w:adjustRightInd w:val="0"/>
    </w:pPr>
    <w:rPr>
      <w:rFonts w:eastAsiaTheme="minorEastAsia"/>
    </w:rPr>
  </w:style>
  <w:style w:type="paragraph" w:customStyle="1" w:styleId="Default">
    <w:name w:val="Default"/>
    <w:rsid w:val="00F86758"/>
    <w:pPr>
      <w:widowControl w:val="0"/>
      <w:autoSpaceDE w:val="0"/>
      <w:autoSpaceDN w:val="0"/>
      <w:adjustRightInd w:val="0"/>
    </w:pPr>
    <w:rPr>
      <w:color w:val="000000"/>
      <w:sz w:val="24"/>
      <w:szCs w:val="24"/>
    </w:rPr>
  </w:style>
  <w:style w:type="character" w:customStyle="1" w:styleId="ListParagraphChar">
    <w:name w:val="List Paragraph Char"/>
    <w:basedOn w:val="DefaultParagraphFont"/>
    <w:link w:val="ListParagraph"/>
    <w:uiPriority w:val="34"/>
    <w:locked/>
    <w:rsid w:val="00F86758"/>
    <w:rPr>
      <w:sz w:val="24"/>
      <w:szCs w:val="24"/>
    </w:rPr>
  </w:style>
  <w:style w:type="paragraph" w:customStyle="1" w:styleId="BVIfnr">
    <w:name w:val="BVI fnr"/>
    <w:aliases w:val="BVI fnr Car Car,BVI fnr Car,BVI fnr Car Car Car Car Char"/>
    <w:basedOn w:val="Normal"/>
    <w:link w:val="FootnoteReference"/>
    <w:rsid w:val="002C452B"/>
    <w:pPr>
      <w:spacing w:after="160" w:line="240" w:lineRule="exact"/>
    </w:pPr>
    <w:rPr>
      <w:sz w:val="20"/>
      <w:szCs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1BC4"/>
    <w:rPr>
      <w:sz w:val="24"/>
      <w:szCs w:val="24"/>
    </w:rPr>
  </w:style>
  <w:style w:type="paragraph" w:styleId="Heading1">
    <w:name w:val="heading 1"/>
    <w:basedOn w:val="Normal"/>
    <w:next w:val="Normal"/>
    <w:qFormat/>
    <w:rsid w:val="00731BC4"/>
    <w:pPr>
      <w:keepNext/>
      <w:outlineLvl w:val="0"/>
    </w:pPr>
    <w:rPr>
      <w:b/>
      <w:bCs/>
    </w:rPr>
  </w:style>
  <w:style w:type="paragraph" w:styleId="Heading2">
    <w:name w:val="heading 2"/>
    <w:basedOn w:val="Normal"/>
    <w:next w:val="Normal"/>
    <w:qFormat/>
    <w:rsid w:val="00731BC4"/>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31BC4"/>
    <w:pPr>
      <w:ind w:left="-108"/>
      <w:jc w:val="both"/>
    </w:pPr>
  </w:style>
  <w:style w:type="character" w:styleId="CommentReference">
    <w:name w:val="annotation reference"/>
    <w:basedOn w:val="DefaultParagraphFont"/>
    <w:semiHidden/>
    <w:rsid w:val="00731BC4"/>
    <w:rPr>
      <w:sz w:val="16"/>
      <w:szCs w:val="16"/>
    </w:rPr>
  </w:style>
  <w:style w:type="paragraph" w:styleId="CommentText">
    <w:name w:val="annotation text"/>
    <w:basedOn w:val="Normal"/>
    <w:semiHidden/>
    <w:rsid w:val="00731BC4"/>
    <w:rPr>
      <w:sz w:val="20"/>
      <w:szCs w:val="20"/>
    </w:rPr>
  </w:style>
  <w:style w:type="paragraph" w:styleId="BalloonText">
    <w:name w:val="Balloon Text"/>
    <w:basedOn w:val="Normal"/>
    <w:semiHidden/>
    <w:rsid w:val="00731BC4"/>
    <w:rPr>
      <w:rFonts w:ascii="Tahoma" w:hAnsi="Tahoma" w:cs="Tahoma"/>
      <w:sz w:val="16"/>
      <w:szCs w:val="16"/>
    </w:rPr>
  </w:style>
  <w:style w:type="paragraph" w:customStyle="1" w:styleId="Heading1a">
    <w:name w:val="Heading 1a"/>
    <w:basedOn w:val="Normal"/>
    <w:next w:val="Normal"/>
    <w:rsid w:val="00731BC4"/>
    <w:pPr>
      <w:keepNext/>
      <w:keepLines/>
      <w:numPr>
        <w:numId w:val="13"/>
      </w:numPr>
      <w:spacing w:before="1440" w:after="240"/>
      <w:jc w:val="center"/>
      <w:outlineLvl w:val="0"/>
    </w:pPr>
    <w:rPr>
      <w:b/>
      <w:caps/>
      <w:sz w:val="32"/>
    </w:rPr>
  </w:style>
  <w:style w:type="paragraph" w:customStyle="1" w:styleId="MainParanoChapter">
    <w:name w:val="Main Para no Chapter #"/>
    <w:basedOn w:val="Normal"/>
    <w:rsid w:val="00731BC4"/>
    <w:pPr>
      <w:spacing w:after="240"/>
      <w:outlineLvl w:val="1"/>
    </w:pPr>
  </w:style>
  <w:style w:type="paragraph" w:customStyle="1" w:styleId="Sub-Para1underX">
    <w:name w:val="Sub-Para 1 under X."/>
    <w:basedOn w:val="Normal"/>
    <w:rsid w:val="00731BC4"/>
    <w:pPr>
      <w:spacing w:after="240"/>
      <w:ind w:left="1440" w:hanging="720"/>
      <w:outlineLvl w:val="2"/>
    </w:pPr>
  </w:style>
  <w:style w:type="paragraph" w:customStyle="1" w:styleId="Sub-Para2underX">
    <w:name w:val="Sub-Para 2 under X."/>
    <w:basedOn w:val="Normal"/>
    <w:rsid w:val="00731BC4"/>
    <w:pPr>
      <w:spacing w:after="240"/>
      <w:ind w:left="2160" w:hanging="720"/>
      <w:outlineLvl w:val="3"/>
    </w:pPr>
  </w:style>
  <w:style w:type="paragraph" w:customStyle="1" w:styleId="Sub-Para3underX">
    <w:name w:val="Sub-Para 3 under X."/>
    <w:basedOn w:val="Normal"/>
    <w:rsid w:val="00731BC4"/>
    <w:pPr>
      <w:numPr>
        <w:ilvl w:val="4"/>
        <w:numId w:val="13"/>
      </w:numPr>
      <w:tabs>
        <w:tab w:val="clear" w:pos="1440"/>
      </w:tabs>
      <w:spacing w:after="240"/>
      <w:ind w:left="2880" w:hanging="720"/>
      <w:outlineLvl w:val="4"/>
    </w:pPr>
  </w:style>
  <w:style w:type="paragraph" w:customStyle="1" w:styleId="Sub-Para4underX">
    <w:name w:val="Sub-Para 4 under X."/>
    <w:basedOn w:val="Normal"/>
    <w:rsid w:val="00731BC4"/>
    <w:pPr>
      <w:numPr>
        <w:ilvl w:val="5"/>
        <w:numId w:val="13"/>
      </w:numPr>
      <w:tabs>
        <w:tab w:val="clear" w:pos="2160"/>
      </w:tabs>
      <w:spacing w:after="240"/>
      <w:ind w:left="3600" w:hanging="720"/>
      <w:outlineLvl w:val="5"/>
    </w:pPr>
  </w:style>
  <w:style w:type="paragraph" w:customStyle="1" w:styleId="Bullet">
    <w:name w:val="Bullet"/>
    <w:basedOn w:val="Normal"/>
    <w:rsid w:val="00731BC4"/>
    <w:pPr>
      <w:numPr>
        <w:numId w:val="15"/>
      </w:numPr>
      <w:tabs>
        <w:tab w:val="clear" w:pos="1440"/>
      </w:tabs>
    </w:pPr>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Знак сноски 1,Ciae niinee 1,fr"/>
    <w:basedOn w:val="DefaultParagraphFont"/>
    <w:link w:val="BVIfnr"/>
    <w:uiPriority w:val="99"/>
    <w:rsid w:val="00731BC4"/>
    <w:rPr>
      <w:vertAlign w:val="superscript"/>
    </w:rPr>
  </w:style>
  <w:style w:type="paragraph" w:styleId="FootnoteText">
    <w:name w:val="footnote text"/>
    <w:aliases w:val="FOOTNOTES,fn,single space,footnote text,Footnote text,ft,ADB,ADB Char,single space Char Char,Fußnotentext Char,Footnote Text Char2 Char,Footnote Text Char1 Char Char,Footnote Text Char2 Char Char Char,Footno,Footnote,Footnote Text Char1"/>
    <w:basedOn w:val="Normal"/>
    <w:link w:val="FootnoteTextChar"/>
    <w:uiPriority w:val="99"/>
    <w:qFormat/>
    <w:rsid w:val="00731BC4"/>
    <w:rPr>
      <w:sz w:val="20"/>
      <w:szCs w:val="20"/>
    </w:rPr>
  </w:style>
  <w:style w:type="table" w:styleId="TableGrid">
    <w:name w:val="Table Grid"/>
    <w:basedOn w:val="TableNormal"/>
    <w:rsid w:val="00A126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41703"/>
    <w:rPr>
      <w:color w:val="0000FF"/>
      <w:u w:val="single"/>
    </w:rPr>
  </w:style>
  <w:style w:type="character" w:customStyle="1" w:styleId="FootnoteTextChar">
    <w:name w:val="Footnote Text Char"/>
    <w:aliases w:val="FOOTNOTES Char,fn Char,single space Char,footnote text Char,Footnote text Char,ft Char,ADB Char1,ADB Char Char,single space Char Char Char,Fußnotentext Char Char,Footnote Text Char2 Char Char,Footnote Text Char1 Char Char Char"/>
    <w:basedOn w:val="DefaultParagraphFont"/>
    <w:link w:val="FootnoteText"/>
    <w:uiPriority w:val="99"/>
    <w:rsid w:val="00F41703"/>
    <w:rPr>
      <w:lang w:val="en-US" w:eastAsia="en-US" w:bidi="ar-SA"/>
    </w:rPr>
  </w:style>
  <w:style w:type="character" w:styleId="FollowedHyperlink">
    <w:name w:val="FollowedHyperlink"/>
    <w:basedOn w:val="DefaultParagraphFont"/>
    <w:rsid w:val="001527BE"/>
    <w:rPr>
      <w:color w:val="800080"/>
      <w:u w:val="single"/>
    </w:rPr>
  </w:style>
  <w:style w:type="paragraph" w:styleId="ListParagraph">
    <w:name w:val="List Paragraph"/>
    <w:basedOn w:val="Normal"/>
    <w:link w:val="ListParagraphChar"/>
    <w:uiPriority w:val="34"/>
    <w:qFormat/>
    <w:rsid w:val="00FF23CF"/>
    <w:pPr>
      <w:ind w:left="720"/>
      <w:contextualSpacing/>
    </w:pPr>
  </w:style>
  <w:style w:type="paragraph" w:customStyle="1" w:styleId="CM3">
    <w:name w:val="CM3"/>
    <w:basedOn w:val="Normal"/>
    <w:next w:val="Normal"/>
    <w:uiPriority w:val="99"/>
    <w:rsid w:val="00671A99"/>
    <w:pPr>
      <w:widowControl w:val="0"/>
      <w:autoSpaceDE w:val="0"/>
      <w:autoSpaceDN w:val="0"/>
      <w:adjustRightInd w:val="0"/>
    </w:pPr>
    <w:rPr>
      <w:rFonts w:eastAsiaTheme="minorEastAsia"/>
    </w:rPr>
  </w:style>
  <w:style w:type="paragraph" w:customStyle="1" w:styleId="CM1">
    <w:name w:val="CM1"/>
    <w:basedOn w:val="Normal"/>
    <w:next w:val="Normal"/>
    <w:uiPriority w:val="99"/>
    <w:rsid w:val="00671A99"/>
    <w:pPr>
      <w:widowControl w:val="0"/>
      <w:autoSpaceDE w:val="0"/>
      <w:autoSpaceDN w:val="0"/>
      <w:adjustRightInd w:val="0"/>
      <w:spacing w:line="253" w:lineRule="atLeast"/>
    </w:pPr>
    <w:rPr>
      <w:rFonts w:eastAsiaTheme="minorEastAsia"/>
    </w:rPr>
  </w:style>
  <w:style w:type="paragraph" w:customStyle="1" w:styleId="CM4">
    <w:name w:val="CM4"/>
    <w:basedOn w:val="Normal"/>
    <w:next w:val="Normal"/>
    <w:uiPriority w:val="99"/>
    <w:rsid w:val="00AA5A30"/>
    <w:pPr>
      <w:widowControl w:val="0"/>
      <w:autoSpaceDE w:val="0"/>
      <w:autoSpaceDN w:val="0"/>
      <w:adjustRightInd w:val="0"/>
    </w:pPr>
    <w:rPr>
      <w:rFonts w:eastAsiaTheme="minorEastAsia"/>
    </w:rPr>
  </w:style>
  <w:style w:type="paragraph" w:customStyle="1" w:styleId="Default">
    <w:name w:val="Default"/>
    <w:rsid w:val="00F86758"/>
    <w:pPr>
      <w:widowControl w:val="0"/>
      <w:autoSpaceDE w:val="0"/>
      <w:autoSpaceDN w:val="0"/>
      <w:adjustRightInd w:val="0"/>
    </w:pPr>
    <w:rPr>
      <w:color w:val="000000"/>
      <w:sz w:val="24"/>
      <w:szCs w:val="24"/>
    </w:rPr>
  </w:style>
  <w:style w:type="character" w:customStyle="1" w:styleId="ListParagraphChar">
    <w:name w:val="List Paragraph Char"/>
    <w:basedOn w:val="DefaultParagraphFont"/>
    <w:link w:val="ListParagraph"/>
    <w:uiPriority w:val="34"/>
    <w:locked/>
    <w:rsid w:val="00F86758"/>
    <w:rPr>
      <w:sz w:val="24"/>
      <w:szCs w:val="24"/>
    </w:rPr>
  </w:style>
  <w:style w:type="paragraph" w:customStyle="1" w:styleId="BVIfnr">
    <w:name w:val="BVI fnr"/>
    <w:aliases w:val="BVI fnr Car Car,BVI fnr Car,BVI fnr Car Car Car Car Char"/>
    <w:basedOn w:val="Normal"/>
    <w:link w:val="FootnoteReference"/>
    <w:rsid w:val="002C452B"/>
    <w:pPr>
      <w:spacing w:after="160" w:line="240" w:lineRule="exact"/>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F1AF7-1F10-4F3A-BF54-36D699F71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1463</Words>
  <Characters>8266</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PROJECT INFORMATION DOCUMENT (PID)</vt:lpstr>
    </vt:vector>
  </TitlesOfParts>
  <Company>World Bank Group</Company>
  <LinksUpToDate>false</LinksUpToDate>
  <CharactersWithSpaces>9710</CharactersWithSpaces>
  <SharedDoc>false</SharedDoc>
  <HLinks>
    <vt:vector size="108" baseType="variant">
      <vt:variant>
        <vt:i4>3145827</vt:i4>
      </vt:variant>
      <vt:variant>
        <vt:i4>51</vt:i4>
      </vt:variant>
      <vt:variant>
        <vt:i4>0</vt:i4>
      </vt:variant>
      <vt:variant>
        <vt:i4>5</vt:i4>
      </vt:variant>
      <vt:variant>
        <vt:lpwstr>http://intresources.worldbank.org/INTSAFEPOL/Resources/Project0Inform1cument1Concept0Stage.doc</vt:lpwstr>
      </vt:variant>
      <vt:variant>
        <vt:lpwstr/>
      </vt:variant>
      <vt:variant>
        <vt:i4>3145827</vt:i4>
      </vt:variant>
      <vt:variant>
        <vt:i4>48</vt:i4>
      </vt:variant>
      <vt:variant>
        <vt:i4>0</vt:i4>
      </vt:variant>
      <vt:variant>
        <vt:i4>5</vt:i4>
      </vt:variant>
      <vt:variant>
        <vt:lpwstr>http://intresources.worldbank.org/INTSAFEPOL/Resources/Project0Inform1cument1Concept0Stage.doc</vt:lpwstr>
      </vt:variant>
      <vt:variant>
        <vt:lpwstr/>
      </vt:variant>
      <vt:variant>
        <vt:i4>4259851</vt:i4>
      </vt:variant>
      <vt:variant>
        <vt:i4>45</vt:i4>
      </vt:variant>
      <vt:variant>
        <vt:i4>0</vt:i4>
      </vt:variant>
      <vt:variant>
        <vt:i4>5</vt:i4>
      </vt:variant>
      <vt:variant>
        <vt:lpwstr>http://wbln0011.worldbank.org/Institutional/Manuals/OpManual.nsf/BProw/47D35C1186367F338525672C007D07AE?OpenDocument</vt:lpwstr>
      </vt:variant>
      <vt:variant>
        <vt:lpwstr/>
      </vt:variant>
      <vt:variant>
        <vt:i4>524300</vt:i4>
      </vt:variant>
      <vt:variant>
        <vt:i4>42</vt:i4>
      </vt:variant>
      <vt:variant>
        <vt:i4>0</vt:i4>
      </vt:variant>
      <vt:variant>
        <vt:i4>5</vt:i4>
      </vt:variant>
      <vt:variant>
        <vt:lpwstr>http://wbln0011.worldbank.org/Institutional/Manuals/OpManual.nsf/OPolw/5F511C57E7F3A3DD8525672C007D07A2?OpenDocument</vt:lpwstr>
      </vt:variant>
      <vt:variant>
        <vt:lpwstr/>
      </vt:variant>
      <vt:variant>
        <vt:i4>1310812</vt:i4>
      </vt:variant>
      <vt:variant>
        <vt:i4>39</vt:i4>
      </vt:variant>
      <vt:variant>
        <vt:i4>0</vt:i4>
      </vt:variant>
      <vt:variant>
        <vt:i4>5</vt:i4>
      </vt:variant>
      <vt:variant>
        <vt:lpwstr>http://wbln0011.worldbank.org/Institutional/Manuals/OpManual.nsf/BProw/5DB8B30312AD33108525672C007D0788?OpenDocument</vt:lpwstr>
      </vt:variant>
      <vt:variant>
        <vt:lpwstr/>
      </vt:variant>
      <vt:variant>
        <vt:i4>6160465</vt:i4>
      </vt:variant>
      <vt:variant>
        <vt:i4>36</vt:i4>
      </vt:variant>
      <vt:variant>
        <vt:i4>0</vt:i4>
      </vt:variant>
      <vt:variant>
        <vt:i4>5</vt:i4>
      </vt:variant>
      <vt:variant>
        <vt:lpwstr>http://wbln0011.worldbank.org/Institutional/Manuals/OpManual.nsf/OPolw/72CC6840FC533D508525672C007D076B?OpenDocument</vt:lpwstr>
      </vt:variant>
      <vt:variant>
        <vt:lpwstr/>
      </vt:variant>
      <vt:variant>
        <vt:i4>4718598</vt:i4>
      </vt:variant>
      <vt:variant>
        <vt:i4>33</vt:i4>
      </vt:variant>
      <vt:variant>
        <vt:i4>0</vt:i4>
      </vt:variant>
      <vt:variant>
        <vt:i4>5</vt:i4>
      </vt:variant>
      <vt:variant>
        <vt:lpwstr>http://wbln0011.worldbank.org/Institutional/Manuals/OpManual.nsf/BProw/D3448207C94C92628525672C007D0733?OpenDocument</vt:lpwstr>
      </vt:variant>
      <vt:variant>
        <vt:lpwstr/>
      </vt:variant>
      <vt:variant>
        <vt:i4>917588</vt:i4>
      </vt:variant>
      <vt:variant>
        <vt:i4>30</vt:i4>
      </vt:variant>
      <vt:variant>
        <vt:i4>0</vt:i4>
      </vt:variant>
      <vt:variant>
        <vt:i4>5</vt:i4>
      </vt:variant>
      <vt:variant>
        <vt:lpwstr>http://wbln0011.worldbank.org/Institutional/Manuals/OpManual.nsf/OPolw/C12766B6C9D109548525672C007D07B9?OpenDocument</vt:lpwstr>
      </vt:variant>
      <vt:variant>
        <vt:lpwstr/>
      </vt:variant>
      <vt:variant>
        <vt:i4>1507330</vt:i4>
      </vt:variant>
      <vt:variant>
        <vt:i4>27</vt:i4>
      </vt:variant>
      <vt:variant>
        <vt:i4>0</vt:i4>
      </vt:variant>
      <vt:variant>
        <vt:i4>5</vt:i4>
      </vt:variant>
      <vt:variant>
        <vt:lpwstr>http://wbln0011.worldbank.org/Institutional/Manuals/OpManual.nsf/GPraw/97FA41A3D754DE318525672C007D07EB?OpenDocument</vt:lpwstr>
      </vt:variant>
      <vt:variant>
        <vt:lpwstr/>
      </vt:variant>
      <vt:variant>
        <vt:i4>458833</vt:i4>
      </vt:variant>
      <vt:variant>
        <vt:i4>24</vt:i4>
      </vt:variant>
      <vt:variant>
        <vt:i4>0</vt:i4>
      </vt:variant>
      <vt:variant>
        <vt:i4>5</vt:i4>
      </vt:variant>
      <vt:variant>
        <vt:lpwstr>http://wbln0011.worldbank.org/Institutional/Manuals/OpManual.nsf/OPolw/C972D5438F4D1FB78525672C007D077A?OpenDocument</vt:lpwstr>
      </vt:variant>
      <vt:variant>
        <vt:lpwstr/>
      </vt:variant>
      <vt:variant>
        <vt:i4>2031707</vt:i4>
      </vt:variant>
      <vt:variant>
        <vt:i4>21</vt:i4>
      </vt:variant>
      <vt:variant>
        <vt:i4>0</vt:i4>
      </vt:variant>
      <vt:variant>
        <vt:i4>5</vt:i4>
      </vt:variant>
      <vt:variant>
        <vt:lpwstr>http://wbln0011.worldbank.org/Institutional/Manuals/OpManual.nsf/bytype/383197ED73D421A385256B180072D46D?OpenDocument</vt:lpwstr>
      </vt:variant>
      <vt:variant>
        <vt:lpwstr/>
      </vt:variant>
      <vt:variant>
        <vt:i4>4653139</vt:i4>
      </vt:variant>
      <vt:variant>
        <vt:i4>18</vt:i4>
      </vt:variant>
      <vt:variant>
        <vt:i4>0</vt:i4>
      </vt:variant>
      <vt:variant>
        <vt:i4>5</vt:i4>
      </vt:variant>
      <vt:variant>
        <vt:lpwstr>http://wbln0011.worldbank.org/Institutional/Manuals/OpManual.nsf/bytype/AA37778A8BCF64A585256B1800645AC5?OpenDocument</vt:lpwstr>
      </vt:variant>
      <vt:variant>
        <vt:lpwstr/>
      </vt:variant>
      <vt:variant>
        <vt:i4>852049</vt:i4>
      </vt:variant>
      <vt:variant>
        <vt:i4>15</vt:i4>
      </vt:variant>
      <vt:variant>
        <vt:i4>0</vt:i4>
      </vt:variant>
      <vt:variant>
        <vt:i4>5</vt:i4>
      </vt:variant>
      <vt:variant>
        <vt:lpwstr>http://wbln0011.worldbank.org/Institutional/Manuals/OpManual.nsf/OPolw/665DA6CA847982168525672C007D07A3?OpenDocument</vt:lpwstr>
      </vt:variant>
      <vt:variant>
        <vt:lpwstr/>
      </vt:variant>
      <vt:variant>
        <vt:i4>5177358</vt:i4>
      </vt:variant>
      <vt:variant>
        <vt:i4>12</vt:i4>
      </vt:variant>
      <vt:variant>
        <vt:i4>0</vt:i4>
      </vt:variant>
      <vt:variant>
        <vt:i4>5</vt:i4>
      </vt:variant>
      <vt:variant>
        <vt:lpwstr>http://wbln0011.worldbank.org/Institutional/Manuals/OpManual.nsf/BProw/62B0042EF3FBA64D8525672C007D0773?OpenDocument</vt:lpwstr>
      </vt:variant>
      <vt:variant>
        <vt:lpwstr/>
      </vt:variant>
      <vt:variant>
        <vt:i4>5898323</vt:i4>
      </vt:variant>
      <vt:variant>
        <vt:i4>9</vt:i4>
      </vt:variant>
      <vt:variant>
        <vt:i4>0</vt:i4>
      </vt:variant>
      <vt:variant>
        <vt:i4>5</vt:i4>
      </vt:variant>
      <vt:variant>
        <vt:lpwstr>http://wbln0011.worldbank.org/Institutional/Manuals/OpManual.nsf/OPolw/71432937FA0B753F8525672C007D07AA?OpenDocument</vt:lpwstr>
      </vt:variant>
      <vt:variant>
        <vt:lpwstr/>
      </vt:variant>
      <vt:variant>
        <vt:i4>4194313</vt:i4>
      </vt:variant>
      <vt:variant>
        <vt:i4>6</vt:i4>
      </vt:variant>
      <vt:variant>
        <vt:i4>0</vt:i4>
      </vt:variant>
      <vt:variant>
        <vt:i4>5</vt:i4>
      </vt:variant>
      <vt:variant>
        <vt:lpwstr>http://wbln0011.worldbank.org/Institutional/Manuals/OpManual.nsf/BProw/C4241D657823FD818525672C007D096E?OpenDocument</vt:lpwstr>
      </vt:variant>
      <vt:variant>
        <vt:lpwstr/>
      </vt:variant>
      <vt:variant>
        <vt:i4>5374035</vt:i4>
      </vt:variant>
      <vt:variant>
        <vt:i4>3</vt:i4>
      </vt:variant>
      <vt:variant>
        <vt:i4>0</vt:i4>
      </vt:variant>
      <vt:variant>
        <vt:i4>5</vt:i4>
      </vt:variant>
      <vt:variant>
        <vt:lpwstr>http://wbln0011.worldbank.org/Institutional/Manuals/OpManual.nsf/OPolw/9367A2A9D9DAEED38525672C007D0972?OpenDocument</vt:lpwstr>
      </vt:variant>
      <vt:variant>
        <vt:lpwstr/>
      </vt:variant>
      <vt:variant>
        <vt:i4>5111876</vt:i4>
      </vt:variant>
      <vt:variant>
        <vt:i4>0</vt:i4>
      </vt:variant>
      <vt:variant>
        <vt:i4>0</vt:i4>
      </vt:variant>
      <vt:variant>
        <vt:i4>5</vt:i4>
      </vt:variant>
      <vt:variant>
        <vt:lpwstr>http://www.worldbank.org/environmentalassessment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 DOCUMENT (PID)</dc:title>
  <dc:creator>Jason Mayfield</dc:creator>
  <cp:lastModifiedBy>Jaya Karki</cp:lastModifiedBy>
  <cp:revision>2</cp:revision>
  <cp:lastPrinted>2014-06-05T15:17:00Z</cp:lastPrinted>
  <dcterms:created xsi:type="dcterms:W3CDTF">2014-07-10T13:16:00Z</dcterms:created>
  <dcterms:modified xsi:type="dcterms:W3CDTF">2014-07-10T13:16:00Z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No">
    <vt:lpwstr>AB7566</vt:lpwstr>
  </property>
  <property fmtid="{D5CDD505-2E9C-101B-9397-08002B2CF9AE}" pid="3" name="TEAMLEADER">
    <vt:lpwstr>Mr Alexander Pankov</vt:lpwstr>
  </property>
</Properties>
</file>