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D5" w:rsidRPr="009F7EAE" w:rsidRDefault="00670DD5">
      <w:pPr>
        <w:rPr>
          <w:rFonts w:ascii="Times New Roman" w:hAnsi="Times New Roman" w:cs="Times New Roman"/>
          <w:color w:val="auto"/>
        </w:rPr>
      </w:pPr>
    </w:p>
    <w:tbl>
      <w:tblPr>
        <w:tblW w:w="9362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87"/>
        <w:gridCol w:w="94"/>
        <w:gridCol w:w="94"/>
        <w:gridCol w:w="2153"/>
        <w:gridCol w:w="468"/>
        <w:gridCol w:w="1779"/>
        <w:gridCol w:w="2153"/>
        <w:gridCol w:w="187"/>
        <w:gridCol w:w="1030"/>
        <w:gridCol w:w="281"/>
        <w:gridCol w:w="936"/>
      </w:tblGrid>
      <w:tr w:rsidR="009F7EAE" w:rsidRPr="009F7EAE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2"/>
                <w:szCs w:val="2"/>
              </w:rPr>
            </w:pPr>
            <w:r w:rsidRPr="009F7EAE">
              <w:rPr>
                <w:rFonts w:ascii="Times" w:hAnsi="Times" w:cs="Times"/>
                <w:color w:val="auto"/>
                <w:sz w:val="2"/>
                <w:szCs w:val="2"/>
              </w:rPr>
              <w:t>.</w:t>
            </w:r>
          </w:p>
        </w:tc>
      </w:tr>
      <w:tr w:rsidR="009F7EAE" w:rsidRPr="00DB4EA1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FE580C" w:rsidP="00FE580C">
            <w:pPr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DOCUMENT D’INFORMATION SUR LE PROJET </w:t>
            </w:r>
            <w:r w:rsidR="00567688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(PID)</w:t>
            </w:r>
          </w:p>
        </w:tc>
      </w:tr>
      <w:tr w:rsidR="009F7EAE" w:rsidRPr="009F7EAE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FE580C" w:rsidP="00FE58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PHASE D’ÉVALUATION </w:t>
            </w:r>
          </w:p>
        </w:tc>
      </w:tr>
      <w:tr w:rsidR="009F7EAE" w:rsidRPr="009F7EAE" w:rsidTr="00DB4EA1">
        <w:tc>
          <w:tcPr>
            <w:tcW w:w="8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EE4ADB" w:rsidP="00FE580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F7EAE">
              <w:rPr>
                <w:rFonts w:ascii="Times New Roman" w:hAnsi="Times New Roman" w:cs="Times New Roman"/>
                <w:color w:val="auto"/>
              </w:rPr>
              <w:t>Rapport n</w:t>
            </w:r>
            <w:r w:rsidR="00FE580C" w:rsidRPr="009F7EAE">
              <w:rPr>
                <w:rFonts w:ascii="Times New Roman" w:hAnsi="Times New Roman" w:cs="Times New Roman"/>
                <w:color w:val="auto"/>
                <w:vertAlign w:val="superscript"/>
              </w:rPr>
              <w:t>o</w:t>
            </w:r>
            <w:r w:rsidR="00FE580C" w:rsidRPr="009F7EAE">
              <w:rPr>
                <w:rFonts w:ascii="Times New Roman" w:hAnsi="Times New Roman" w:cs="Times New Roman"/>
                <w:color w:val="auto"/>
              </w:rPr>
              <w:t xml:space="preserve"> : </w:t>
            </w:r>
            <w:bookmarkStart w:id="0" w:name="_GoBack"/>
            <w:r w:rsidR="00567688" w:rsidRPr="009F7EAE">
              <w:rPr>
                <w:rFonts w:ascii="Times New Roman" w:hAnsi="Times New Roman" w:cs="Times New Roman"/>
                <w:color w:val="auto"/>
              </w:rPr>
              <w:t>PIDA34556</w:t>
            </w:r>
            <w:bookmarkEnd w:id="0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7EAE" w:rsidRPr="009F7EAE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2"/>
                <w:szCs w:val="2"/>
              </w:rPr>
            </w:pPr>
            <w:r w:rsidRPr="009F7EAE">
              <w:rPr>
                <w:rFonts w:ascii="Times" w:hAnsi="Times" w:cs="Times"/>
                <w:color w:val="auto"/>
                <w:sz w:val="2"/>
                <w:szCs w:val="2"/>
              </w:rPr>
              <w:t>.</w:t>
            </w:r>
          </w:p>
        </w:tc>
      </w:tr>
      <w:tr w:rsidR="009F7EAE" w:rsidRPr="00DB4EA1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FE580C" w:rsidP="00FE58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Intitulé du projet 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FE580C" w:rsidP="00FE58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Tunisie : </w:t>
            </w:r>
            <w:r w:rsidR="00DB4EA1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Projet enseignement supérieur pour l’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employabilité </w:t>
            </w:r>
            <w:r w:rsidR="0056768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(P151059)</w:t>
            </w:r>
          </w:p>
        </w:tc>
      </w:tr>
      <w:tr w:rsidR="009F7EAE" w:rsidRPr="00DB4EA1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FE58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Ré</w:t>
            </w:r>
            <w:r w:rsidR="00567688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gion</w:t>
            </w:r>
            <w:proofErr w:type="spellEnd"/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FE580C" w:rsidP="00FE58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Moyen-Orient et Afrique du Nord </w:t>
            </w:r>
          </w:p>
        </w:tc>
      </w:tr>
      <w:tr w:rsidR="009F7EAE" w:rsidRPr="009F7EAE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FE580C" w:rsidP="00FE58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Pays 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FE58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Tunisie</w:t>
            </w:r>
            <w:proofErr w:type="spellEnd"/>
          </w:p>
        </w:tc>
      </w:tr>
      <w:tr w:rsidR="009F7EAE" w:rsidRPr="00DB4EA1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FE580C" w:rsidP="00FE58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Secteur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(s) 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FE580C" w:rsidP="0057508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Enseignement supérieur (80 %), </w:t>
            </w:r>
            <w:r w:rsidR="005750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formation professionnelle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(10 %) et autres services sociaux (10 %) </w:t>
            </w:r>
          </w:p>
        </w:tc>
      </w:tr>
      <w:tr w:rsidR="009F7EAE" w:rsidRPr="00DB4EA1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 w:rsidP="00FE58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Th</w:t>
            </w:r>
            <w:r w:rsidR="00FE580C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ème</w:t>
            </w:r>
            <w:proofErr w:type="spellEnd"/>
            <w:r w:rsidR="00FE580C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(s) 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FE580C" w:rsidP="0057508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Éducation </w:t>
            </w:r>
            <w:r w:rsidR="005750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pour la promotion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l’économie du savoir (80 %), développement du marché </w:t>
            </w:r>
            <w:r w:rsidR="00FB4DA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du travail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(20 %) </w:t>
            </w:r>
          </w:p>
        </w:tc>
      </w:tr>
      <w:tr w:rsidR="009F7EAE" w:rsidRPr="009F7EAE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FE580C" w:rsidP="00FE58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Instrument de prêt 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FE580C" w:rsidP="00FE58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Financeme</w:t>
            </w:r>
            <w:r w:rsidR="003B4AF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nt des projets d’investissement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</w:tr>
      <w:tr w:rsidR="009F7EAE" w:rsidRPr="009F7EAE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FE580C" w:rsidP="00FE58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Identification du projet 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P151059</w:t>
            </w:r>
          </w:p>
        </w:tc>
      </w:tr>
      <w:tr w:rsidR="009F7EAE" w:rsidRPr="00DB4EA1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AC0845" w:rsidP="00AC08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Emprunte</w:t>
            </w:r>
            <w:r w:rsidR="00312F3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</w:t>
            </w: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(s)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 w:rsidP="00FB4DA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Minist</w:t>
            </w:r>
            <w:r w:rsidR="00FB4DA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ère du Développement et de la Coopération international</w:t>
            </w:r>
            <w:r w:rsidR="00312F33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</w:t>
            </w:r>
            <w:r w:rsidR="00FB4DA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</w:tr>
      <w:tr w:rsidR="009F7EAE" w:rsidRPr="00DB4EA1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45AAE" w:rsidP="00545A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Organisme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0845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d’exécution</w:t>
            </w:r>
            <w:proofErr w:type="spellEnd"/>
            <w:r w:rsidR="00AC0845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AC0845" w:rsidP="007A071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Ministère de l’</w:t>
            </w:r>
            <w:r w:rsidR="005C0D4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Enseignement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supérieur, de la </w:t>
            </w:r>
            <w:r w:rsidR="005C0D4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Recherche </w:t>
            </w:r>
            <w:r w:rsidR="000D0B61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scientifique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et de</w:t>
            </w:r>
            <w:r w:rsidR="007A071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5C0D4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Technologie</w:t>
            </w:r>
            <w:r w:rsidR="007A071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</w:t>
            </w:r>
            <w:r w:rsidR="002761D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l’Information et de la Communication</w:t>
            </w:r>
            <w:r w:rsidR="005C0D4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</w:tr>
      <w:tr w:rsidR="009F7EAE" w:rsidRPr="009F7EAE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AC0845" w:rsidP="00AC08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Catégorie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45AAE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d’évaluation</w:t>
            </w:r>
            <w:proofErr w:type="spellEnd"/>
            <w:r w:rsidR="00545AAE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environnementale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AC0845" w:rsidP="00AC08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 – Non </w:t>
            </w: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requis</w:t>
            </w:r>
            <w:proofErr w:type="spellEnd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F7EAE" w:rsidRPr="009F7EAE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45AAE" w:rsidP="00545AA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Date d’élaboration</w:t>
            </w:r>
            <w:r w:rsidR="00AC0845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/mise à jour du PID 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 w:rsidP="00AC084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19</w:t>
            </w:r>
            <w:r w:rsidR="007F2A77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novembre</w:t>
            </w:r>
            <w:r w:rsidR="00AC084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2015</w:t>
            </w:r>
          </w:p>
        </w:tc>
      </w:tr>
      <w:tr w:rsidR="009F7EAE" w:rsidRPr="009F7EAE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AC0845" w:rsidP="00AC084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Date d’approbation/diffusion du PID 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 w:rsidP="007F2A7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25</w:t>
            </w:r>
            <w:r w:rsidR="005750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7F2A77" w:rsidRPr="007F2A77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novembre</w:t>
            </w:r>
            <w:r w:rsidR="00AC084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2015</w:t>
            </w:r>
          </w:p>
        </w:tc>
      </w:tr>
      <w:tr w:rsidR="009F7EAE" w:rsidRPr="009F7EAE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AC0845" w:rsidP="00545AA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Date </w:t>
            </w:r>
            <w:r w:rsidR="00545AAE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estimative d’</w:t>
            </w: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approbation </w:t>
            </w:r>
            <w:r w:rsidR="00575087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par le</w:t>
            </w: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 Conseil 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 w:rsidP="007F2A7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25</w:t>
            </w:r>
            <w:r w:rsidR="005750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févr</w:t>
            </w:r>
            <w:r w:rsidR="007F2A77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ier</w:t>
            </w:r>
            <w:r w:rsidR="00AC084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2016</w:t>
            </w:r>
          </w:p>
        </w:tc>
      </w:tr>
      <w:tr w:rsidR="009F7EAE" w:rsidRPr="00DB4EA1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AC0845" w:rsidP="007007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D</w:t>
            </w:r>
            <w:r w:rsidR="004E0B01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é</w:t>
            </w: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cision d</w:t>
            </w:r>
            <w:r w:rsidR="007007CD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e l</w:t>
            </w: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’examen d’évaluation </w:t>
            </w:r>
            <w:r w:rsidR="00567688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(</w:t>
            </w: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à partir de la Note</w:t>
            </w:r>
            <w:r w:rsidR="0010093E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 de décision</w:t>
            </w: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9F7EAE" w:rsidRPr="009F7EAE" w:rsidTr="00DB4EA1"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AC0845" w:rsidP="00AC084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Autre décision </w:t>
            </w:r>
          </w:p>
        </w:tc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9F7EAE" w:rsidRPr="009F7EAE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8"/>
                <w:szCs w:val="8"/>
                <w:lang w:val="fr-FR"/>
              </w:rPr>
            </w:pPr>
            <w:r w:rsidRPr="009F7EAE">
              <w:rPr>
                <w:rFonts w:ascii="Times" w:hAnsi="Times" w:cs="Times"/>
                <w:color w:val="auto"/>
                <w:sz w:val="8"/>
                <w:szCs w:val="8"/>
                <w:lang w:val="fr-FR"/>
              </w:rPr>
              <w:t>.</w:t>
            </w:r>
          </w:p>
        </w:tc>
      </w:tr>
      <w:tr w:rsidR="009F7EAE" w:rsidRPr="009F7EAE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ED5763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I. </w:t>
            </w:r>
            <w:r w:rsidR="00ED5763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Contexte du projet </w:t>
            </w:r>
          </w:p>
        </w:tc>
      </w:tr>
      <w:tr w:rsidR="009F7EAE" w:rsidRPr="009F7EAE" w:rsidTr="00DB4EA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ED5763" w:rsidP="001065D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Contexte </w:t>
            </w:r>
            <w:r w:rsidR="001065DD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national</w:t>
            </w: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</w:tr>
      <w:tr w:rsidR="009F7EAE" w:rsidRPr="00DB4EA1" w:rsidTr="00DB4EA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7007CD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Depuis janvier 2011, la Tunisie </w:t>
            </w:r>
            <w:r w:rsidR="00ED576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est </w:t>
            </w:r>
            <w:r w:rsidR="00DC5D7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engagée</w:t>
            </w:r>
            <w:r w:rsidR="00ED576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dans une transition démocratique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 – processus entamé avec la révolution inédite qui a déclenché le « printemps arabe » – avec </w:t>
            </w:r>
            <w:r w:rsidR="00ED576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l’élection d’une Assemblée constituante en </w:t>
            </w:r>
            <w:r w:rsidR="00DC5D7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octobre</w:t>
            </w:r>
            <w:r w:rsidR="00ED576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2011 et l’adoption d’une nouvelle constitution inclusiv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 le 26 janvier 2014</w:t>
            </w:r>
            <w:r w:rsidR="00312F33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qui protège</w:t>
            </w:r>
            <w:r w:rsidR="00ED576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les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libertés fondamentales</w:t>
            </w:r>
            <w:r w:rsidR="00ED576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à l’instar de la liberté de religion, l’égalité des </w:t>
            </w:r>
            <w:r w:rsidR="00DC5D7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</w:t>
            </w:r>
            <w:r w:rsidR="00ED576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exes </w:t>
            </w:r>
            <w:r w:rsidR="004B501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 droits et devoirs</w:t>
            </w:r>
            <w:r w:rsidR="00312F33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</w:t>
            </w:r>
            <w:r w:rsidR="004B501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et consacre</w:t>
            </w:r>
            <w:r w:rsidR="00ED576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la </w:t>
            </w:r>
            <w:r w:rsidR="00DC5D7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décentralisation</w:t>
            </w:r>
            <w:r w:rsidR="00C4663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et </w:t>
            </w:r>
            <w:r w:rsidR="00ED576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l’autonomisation des administrations locales. En décembre 2014, la Tunisie a franchi une autre étape </w:t>
            </w:r>
            <w:r w:rsidR="00DC5D7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majeure </w:t>
            </w:r>
            <w:r w:rsidR="007F2A77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 </w:t>
            </w:r>
            <w:r w:rsidR="008B57E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sa transition vers</w:t>
            </w:r>
            <w:r w:rsidR="007F2A77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85238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le statut de</w:t>
            </w:r>
            <w:r w:rsidR="007F2A77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nation totalement démocratique</w:t>
            </w:r>
            <w:r w:rsidR="0085238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</w:t>
            </w:r>
            <w:r w:rsidR="00DC5D7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grâce à l’élection de son premier président</w:t>
            </w:r>
            <w:r w:rsidR="00146C1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</w:t>
            </w:r>
            <w:r w:rsidR="00DC5D7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suivi</w:t>
            </w:r>
            <w:r w:rsidR="00312F33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</w:t>
            </w:r>
            <w:r w:rsidR="003B4AF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en février 2015 de la nomination</w:t>
            </w:r>
            <w:r w:rsidR="00DC5D7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d’un nouveau gouvernement.</w:t>
            </w:r>
            <w:r w:rsidR="0056768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 </w:t>
            </w:r>
          </w:p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670DD5" w:rsidRPr="009F7EAE" w:rsidRDefault="005533C0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Toutefois, le pays c</w:t>
            </w:r>
            <w:r w:rsidR="00F67E3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ontinue à faire face à des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606D8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défis</w:t>
            </w:r>
            <w:r w:rsidR="00F67E3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sans précédent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</w:t>
            </w:r>
            <w:r w:rsidR="00F67E3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Au lendemain de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la révolution, l’économie tunisienne</w:t>
            </w:r>
            <w:r w:rsidR="00F67E3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s’est considérablement détériorée juste au moment où</w:t>
            </w:r>
            <w:r w:rsidR="00D802F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à la fin 2010,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le pays se relevait de </w:t>
            </w:r>
            <w:r w:rsidR="00F67E3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</w:t>
            </w:r>
            <w:r w:rsidR="00D802F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 crise financière mondiale et des conséquences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 la chute des prix du carburant et des </w:t>
            </w:r>
            <w:r w:rsidR="00F67E3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denrées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606D8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alimentaires</w:t>
            </w:r>
            <w:r w:rsidR="000D4A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sur le marché mondial. Le chômage, en particulier </w:t>
            </w:r>
            <w:r w:rsidR="00DC54F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au sein de</w:t>
            </w:r>
            <w:r w:rsidR="00606D8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la population jeune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instruite, reste un défi majeur pour le pays. Les prévisions de l’OCDE (2014) situent la </w:t>
            </w:r>
            <w:r w:rsidR="000D4A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durée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moyenne de la transi</w:t>
            </w:r>
            <w:r w:rsidR="000D4A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tion entre l’école et l’emploi (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c’est-à-dire</w:t>
            </w:r>
            <w:r w:rsidR="000D4A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le temps qu’il faut à un jeune pour trouver du travail après </w:t>
            </w:r>
            <w:r w:rsidR="00B642D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avoir quitté les institutions d’enseignement) à six ans, avec</w:t>
            </w:r>
            <w:r w:rsidR="000D4A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une variation significative entre les</w:t>
            </w:r>
            <w:r w:rsidR="00B642D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région</w:t>
            </w:r>
            <w:r w:rsidR="000D4A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</w:t>
            </w:r>
            <w:r w:rsidR="00B642D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 l’intervalle le plus court étant enregistré dans le Grand Tunis (quatre ans). Le chômage</w:t>
            </w:r>
            <w:r w:rsidR="000D4A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</w:t>
            </w:r>
            <w:r w:rsidR="00D802F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facteur décisif</w:t>
            </w:r>
            <w:r w:rsidR="000D4A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du</w:t>
            </w:r>
            <w:r w:rsidR="00B642D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sentiment de frustration de la jeunesse qui a conduit à </w:t>
            </w:r>
            <w:r w:rsidR="000D4A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</w:t>
            </w:r>
            <w:r w:rsidR="00B642D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 révolution</w:t>
            </w:r>
            <w:r w:rsidR="00B92E0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janvier </w:t>
            </w:r>
            <w:r w:rsidR="00B642D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2011, a augmenté en 2011 et </w:t>
            </w:r>
            <w:r w:rsidR="00D802F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r</w:t>
            </w:r>
            <w:r w:rsidR="00B642D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est</w:t>
            </w:r>
            <w:r w:rsidR="00D802F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</w:t>
            </w:r>
            <w:r w:rsidR="00B642D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très élevé </w:t>
            </w:r>
            <w:r w:rsidR="00DC54F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chez </w:t>
            </w:r>
            <w:r w:rsidR="00B642D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les jeunes instruits. La montée en puissance des groupes extrémistes tels que l’</w:t>
            </w:r>
            <w:r w:rsidR="00606D8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</w:t>
            </w:r>
            <w:r w:rsidR="00B642D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tat islamique (EI) pose de nouvelles menaces à la cohésion sociale et à l’économie du pays comme</w:t>
            </w:r>
            <w:r w:rsidR="000D4A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en témoignent</w:t>
            </w:r>
            <w:r w:rsidR="00B642D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les </w:t>
            </w:r>
            <w:r w:rsidR="00606D8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deux dernières attaques contre d</w:t>
            </w:r>
            <w:r w:rsidR="000D4A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es touristes en mars et </w:t>
            </w:r>
            <w:r w:rsidR="00B642D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juin 2</w:t>
            </w:r>
            <w:r w:rsidR="00D802F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015. Le recrutement des jeunes t</w:t>
            </w:r>
            <w:r w:rsidR="00B642D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unisie</w:t>
            </w:r>
            <w:r w:rsidR="00606D8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ns par les groupes extrémistes actifs dans</w:t>
            </w:r>
            <w:r w:rsidR="000D4A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les conflits à travers la région</w:t>
            </w:r>
            <w:r w:rsidR="00606D8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couplé au niveau élevé du chômage des jeunes est une </w:t>
            </w:r>
            <w:r w:rsidR="00C512E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préoccupation </w:t>
            </w:r>
            <w:r w:rsidR="00D802F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majeure, notamment face à la perspective d’un retour de c</w:t>
            </w:r>
            <w:r w:rsidR="000D4A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es combattants</w:t>
            </w:r>
            <w:r w:rsidR="00D802F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6E02A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 Tunisie. Toutefois</w:t>
            </w:r>
            <w:r w:rsidR="00C512E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</w:t>
            </w:r>
            <w:r w:rsidR="006E02A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même lorsque l</w:t>
            </w:r>
            <w:r w:rsidR="00C512E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 chômage ne conduit pas à la radicalisation, il </w:t>
            </w:r>
            <w:r w:rsidR="006E02A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crée les conditions d’</w:t>
            </w:r>
            <w:r w:rsidR="00C512E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une précarité de la jeunesse qui affecte leurs moyens de subsistance et leurs carrières futures. </w:t>
            </w:r>
          </w:p>
          <w:p w:rsidR="00670DD5" w:rsidRPr="009F7EAE" w:rsidRDefault="00670DD5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670DD5" w:rsidRPr="009F7EAE" w:rsidRDefault="00C512E6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Nombre de diplômés d</w:t>
            </w:r>
            <w:r w:rsidR="00F7379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 s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upérieur </w:t>
            </w:r>
            <w:r w:rsidR="004A5B3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ne sont pas bien lotis sur le marché du travail. Le taux de chômage des diplômés de l’enseignement supérieur 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âgés</w:t>
            </w:r>
            <w:r w:rsidR="004A5B3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15 à 64 ans en 2011 était de 29,2 %</w:t>
            </w:r>
            <w:r w:rsidR="00F7379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 un chiffre</w:t>
            </w:r>
            <w:r w:rsidR="004A5B3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plus 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élevé</w:t>
            </w:r>
            <w:r w:rsidR="004A5B3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que celui </w:t>
            </w:r>
            <w:r w:rsidR="00F7379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 </w:t>
            </w:r>
            <w:r w:rsidR="004A5B3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toute autre catégorie 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 </w:t>
            </w:r>
            <w:r w:rsidR="0029748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personnes 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scola</w:t>
            </w:r>
            <w:r w:rsidR="00F7379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risé</w:t>
            </w:r>
            <w:r w:rsidR="0029748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</w:t>
            </w:r>
            <w:r w:rsidR="00F7379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 et en hausse par rapport aux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13,3 % </w:t>
            </w:r>
            <w:r w:rsidR="00F7379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enregistrés 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 2005. Bien plus, l</w:t>
            </w:r>
            <w:r w:rsidR="00DA1A8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 chômage de longue durée touche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pa</w:t>
            </w:r>
            <w:r w:rsidR="006A430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rticulièrement les personnes</w:t>
            </w:r>
            <w:r w:rsidR="00DA1A8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qui ont reçu une formation 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supérieur</w:t>
            </w:r>
            <w:r w:rsidR="00DA1A8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 : 46,4 % des chômeurs de longue durée avai</w:t>
            </w:r>
            <w:r w:rsidR="00CA7D1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t </w:t>
            </w:r>
            <w:r w:rsidR="00CA7D1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un niveau d’études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supérieur</w:t>
            </w:r>
            <w:r w:rsidR="00CA7D1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es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en 2011. </w:t>
            </w:r>
            <w:r w:rsidR="0029748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Si l’on s’attend à </w:t>
            </w:r>
            <w:r w:rsidR="00C50B2A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une reprise progressive de la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croissance </w:t>
            </w:r>
            <w:r w:rsidR="00C50B2A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qui devrait at</w:t>
            </w:r>
            <w:r w:rsidR="00441A7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</w:t>
            </w:r>
            <w:r w:rsidR="00C50B2A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eindre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3,5 % en 2015 (</w:t>
            </w:r>
            <w:r w:rsidR="006A430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par rapport à 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2,7 % en 2014), </w:t>
            </w:r>
            <w:r w:rsidR="0029748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il reste que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ce ta</w:t>
            </w:r>
            <w:r w:rsidR="006A430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ux ne sera pas suffisamment robuste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pour absorber la crois</w:t>
            </w:r>
            <w:r w:rsidR="006A430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sance rapide de l’offre de main-</w:t>
            </w:r>
            <w:r w:rsidR="00D9052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d’œuvre formelle qualifiée. Les récentes attaques terroristes pourraient davantage compromettre les perspectives de croissance du pays. </w:t>
            </w:r>
          </w:p>
          <w:p w:rsidR="00670DD5" w:rsidRPr="009F7EAE" w:rsidRDefault="00670DD5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670DD5" w:rsidRPr="009F7EAE" w:rsidRDefault="00505A20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Le taux de chômage élevé cache </w:t>
            </w:r>
            <w:r w:rsidR="0029748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</w:t>
            </w:r>
            <w:r w:rsidR="00404F1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grande</w:t>
            </w:r>
            <w:r w:rsidR="0029748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</w:t>
            </w:r>
            <w:r w:rsidR="00404F1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disparité</w:t>
            </w:r>
            <w:r w:rsidR="0029748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</w:t>
            </w:r>
            <w:r w:rsidR="00404F1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entre les régions</w:t>
            </w:r>
            <w:r w:rsidR="00E32AE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 le</w:t>
            </w:r>
            <w:r w:rsidR="0029748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E32AE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Nord-Ouest et le Sud-Est </w:t>
            </w:r>
            <w:r w:rsidR="0029748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affichant des niveaux supérieurs à</w:t>
            </w:r>
            <w:r w:rsidR="00404F1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la moyenne nationale. </w:t>
            </w:r>
            <w:r w:rsidR="005478B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Par </w:t>
            </w:r>
            <w:r w:rsidR="00404F1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exemple, alors que le taux de chômage était de 13,3 % dans l’ensemble du pays en 2013, </w:t>
            </w:r>
            <w:r w:rsidR="0029748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il</w:t>
            </w:r>
            <w:r w:rsidR="00404F1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se situait à 37 % dans le gouvernorat de Tataouine. De même, le taux de pauvreté </w:t>
            </w:r>
            <w:r w:rsidR="005478B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moyen </w:t>
            </w:r>
            <w:r w:rsidR="0029748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reste supérieur de </w:t>
            </w:r>
            <w:r w:rsidR="00404F1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quatre fois dans </w:t>
            </w:r>
            <w:r w:rsidR="005478B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les régions de l’intérieur</w:t>
            </w:r>
            <w:r w:rsidR="0029748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comparé aux </w:t>
            </w:r>
            <w:r w:rsidR="00404F1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zones côtières plus riches. Les disparités régionales ont attisé les protestations politiques, la révolution de 2011 a</w:t>
            </w:r>
            <w:r w:rsidR="005478B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yant</w:t>
            </w:r>
            <w:r w:rsidR="00404F1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démarré dans les villes et gouvernorats défavorisés et les zones les plus touchées par le chômage.  </w:t>
            </w:r>
          </w:p>
          <w:p w:rsidR="00670DD5" w:rsidRPr="009F7EAE" w:rsidRDefault="00567688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  <w:p w:rsidR="00670DD5" w:rsidRPr="009F7EAE" w:rsidRDefault="00404F13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En dépit de ces défis, la transition politique a créé des </w:t>
            </w:r>
            <w:r w:rsidR="007F217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opportunités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</w:t>
            </w:r>
            <w:r w:rsidR="00BF52C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ermettant au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pays de </w:t>
            </w:r>
            <w:r w:rsidR="00C55ABD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se donner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une nouvelle vision </w:t>
            </w:r>
            <w:r w:rsidR="005478B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économique et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</w:t>
            </w:r>
            <w:r w:rsidR="007F217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définir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les réformes </w:t>
            </w:r>
            <w:r w:rsidR="00BF52C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fondamentales par ordre de priorité</w:t>
            </w:r>
            <w:r w:rsidR="007F217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Le nouveau </w:t>
            </w:r>
            <w:r w:rsidR="00EA059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Gouvernement </w:t>
            </w:r>
            <w:r w:rsidR="007F217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tunisien est c</w:t>
            </w:r>
            <w:r w:rsidR="00EA059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onscient de l’urgence </w:t>
            </w:r>
            <w:r w:rsidR="007F217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à promouvoir la relance économique </w:t>
            </w:r>
            <w:r w:rsidR="0064170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et </w:t>
            </w:r>
            <w:r w:rsidR="00EA059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la </w:t>
            </w:r>
            <w:r w:rsidR="007F217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croissance</w:t>
            </w:r>
            <w:r w:rsidR="0064170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partagée</w:t>
            </w:r>
            <w:r w:rsidR="00EA059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et aussi </w:t>
            </w:r>
            <w:r w:rsidR="00BF52C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 répondre </w:t>
            </w:r>
            <w:r w:rsidR="00EA059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à</w:t>
            </w:r>
            <w:r w:rsidR="007F217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BF52C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sa </w:t>
            </w:r>
            <w:r w:rsidR="007F217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jeunesse </w:t>
            </w:r>
            <w:r w:rsidR="00BF52C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qui demande plus d’inclusion aux plans </w:t>
            </w:r>
            <w:r w:rsidR="00D16B9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politique, social et économique. </w:t>
            </w:r>
            <w:r w:rsidR="003734B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Le taux </w:t>
            </w:r>
            <w:r w:rsidR="00BF52C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 </w:t>
            </w:r>
            <w:r w:rsidR="003734B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chômage </w:t>
            </w:r>
            <w:r w:rsidR="00BF52C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élevé, en </w:t>
            </w:r>
            <w:r w:rsidR="003734B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particulier </w:t>
            </w:r>
            <w:r w:rsidR="00BF52C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parmi les jeunes, accentue</w:t>
            </w:r>
            <w:r w:rsidR="003734B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la nécessité de prendre des mesures énergiques afin d’accélérer et d’ap</w:t>
            </w:r>
            <w:r w:rsidR="00FC372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profondir les réformes en cours dans le</w:t>
            </w:r>
            <w:r w:rsidR="003734B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secteur de l’éducation. </w:t>
            </w:r>
            <w:r w:rsidR="00BF52C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L’une</w:t>
            </w:r>
            <w:r w:rsidR="003734B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ces mesures porte sur l’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établissement</w:t>
            </w:r>
            <w:r w:rsidR="00BF52C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</w:t>
            </w:r>
            <w:r w:rsidR="003734B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partenariats plus étroi</w:t>
            </w:r>
            <w:r w:rsidR="00EB67DC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ts avec le</w:t>
            </w:r>
            <w:r w:rsidR="00484BB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 entreprises</w:t>
            </w:r>
            <w:r w:rsidR="00EB67DC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privé</w:t>
            </w:r>
            <w:r w:rsidR="00484BB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es</w:t>
            </w:r>
            <w:r w:rsidR="00EB67DC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dans</w:t>
            </w:r>
            <w:r w:rsidR="00EB67DC" w:rsidRPr="00EB67DC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les secteurs </w:t>
            </w:r>
            <w:r w:rsidR="00EB67DC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à</w:t>
            </w:r>
            <w:r w:rsidR="00EB67DC" w:rsidRPr="00EB67DC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fort potentiel </w:t>
            </w:r>
            <w:r w:rsidR="00EB67DC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 création d’</w:t>
            </w:r>
            <w:r w:rsidR="00EB67DC" w:rsidRPr="00EB67DC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emplois à haute intensité de main-d’œuvre</w:t>
            </w:r>
            <w:r w:rsidR="00EB67DC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en particulier, </w:t>
            </w:r>
            <w:r w:rsidR="00864F4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une démarche</w:t>
            </w:r>
            <w:r w:rsidR="00BF52C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nécessaire pour </w:t>
            </w:r>
            <w:r w:rsidR="003734B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assurer que les programmes d’études correspondent aux </w:t>
            </w:r>
            <w:r w:rsidR="00BF52C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besoins</w:t>
            </w:r>
            <w:r w:rsidR="003734B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D65FB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du marché de l’emploi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</w:t>
            </w:r>
            <w:r w:rsidR="00C913A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ne</w:t>
            </w:r>
            <w:r w:rsidR="00C913A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récente étude de la Banque mondiale (2014) montre </w:t>
            </w:r>
            <w:r w:rsidR="00C913A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par exemple que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la Tunisie dispose d’un avantage comparatif </w:t>
            </w:r>
            <w:r w:rsidR="00484BB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qui devrait permettre</w:t>
            </w:r>
            <w:r w:rsidR="00EB67DC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au pays de</w:t>
            </w:r>
            <w:r w:rsidR="00C913A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promouvoir </w:t>
            </w:r>
            <w:r w:rsidR="00EB67DC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avec succès </w:t>
            </w:r>
            <w:r w:rsidR="00C913A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les filières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à forte valeur ajoutée dans certains secteurs de</w:t>
            </w:r>
            <w:r w:rsidR="00FE04F5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services</w:t>
            </w:r>
            <w:r w:rsidR="00FE04F5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tels que les technologies de l’information et de la communication (TIC) et les </w:t>
            </w:r>
            <w:r w:rsidR="00DC54F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délocalisations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les services 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lastRenderedPageBreak/>
              <w:t>professionne</w:t>
            </w:r>
            <w:r w:rsidR="001D66E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ls, les télécommunications, le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tra</w:t>
            </w:r>
            <w:r w:rsidR="001D66E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nsport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et </w:t>
            </w:r>
            <w:r w:rsidR="001D66E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la 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logistique, le tourisme, les services de santé</w:t>
            </w:r>
            <w:r w:rsidR="001D66E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 ainsi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que certains secteurs </w:t>
            </w:r>
            <w:r w:rsidR="008D416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 production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comme</w:t>
            </w:r>
            <w:r w:rsidR="000032C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le textile et les vêtements, la maroquinerie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et les chaussures, l’industrie électrique, l’industrie chimique, la v</w:t>
            </w:r>
            <w:r w:rsidR="00F421E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errerie, la fonderie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 les matériaux métalliques pour la construction et l’</w:t>
            </w:r>
            <w:r w:rsidR="009E2BF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industrie mécanique, et l</w:t>
            </w:r>
            <w:r w:rsidR="00B63A9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 mobilier</w:t>
            </w:r>
            <w:r w:rsidR="009E2BF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d’intérieur</w:t>
            </w:r>
            <w:r w:rsidR="00B63A9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et l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es sanitaires. Toutefois, le pays devra former le capital humain </w:t>
            </w:r>
            <w:r w:rsidR="00881BC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requis et 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hautement qualifié pour </w:t>
            </w:r>
            <w:r w:rsidR="007B2B5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intégrer</w:t>
            </w:r>
            <w:r w:rsidR="00FA03F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ces filières</w:t>
            </w:r>
            <w:r w:rsidR="0072292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à forte valeur ajoutée</w:t>
            </w:r>
            <w:r w:rsidR="00E42B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</w:t>
            </w:r>
          </w:p>
        </w:tc>
      </w:tr>
      <w:tr w:rsidR="009F7EAE" w:rsidRPr="009F7EAE" w:rsidTr="00DB4EA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E2BFF" w:rsidP="009E2B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Context</w:t>
            </w:r>
            <w:r w:rsidR="0026511D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sectoriel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et </w:t>
            </w: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institutionnel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9F7EAE" w:rsidRPr="00DB4EA1" w:rsidTr="00DB4EA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722924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La Tunisie a connu un développement</w:t>
            </w:r>
            <w:r w:rsidR="009E2BF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rapide de </w:t>
            </w:r>
            <w:r w:rsidR="00FE04F5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</w:t>
            </w:r>
            <w:r w:rsidR="009E2BF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’enseignement supérieur. L’éducation constitue l’un des princ</w:t>
            </w:r>
            <w:r w:rsidR="0026511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ipaux piliers de la stratégie d</w:t>
            </w:r>
            <w:r w:rsidR="009E2BF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</w:t>
            </w:r>
            <w:r w:rsidR="0026511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développement du pays</w:t>
            </w:r>
            <w:r w:rsidR="009E2BF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depuis son </w:t>
            </w:r>
            <w:r w:rsidR="0016073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indé</w:t>
            </w:r>
            <w:r w:rsidR="009E2BF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pendance à la fin d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es années </w:t>
            </w:r>
            <w:r w:rsidR="009E2BF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50. La Tunisie a généralisé l’accès universel à l’enseigne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ment primaire dans les années </w:t>
            </w:r>
            <w:r w:rsidR="009E2BF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90 et le taux brut de scolarisation (TBS) dans le secondaire a atteint 91 % en 2011, </w:t>
            </w:r>
            <w:r w:rsidR="00FE04F5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contre</w:t>
            </w:r>
            <w:r w:rsidR="001D794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52 % au début des années </w:t>
            </w:r>
            <w:r w:rsidR="009E2BF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90. La population estudiantine des </w:t>
            </w:r>
            <w:r w:rsidR="00484BB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institutions</w:t>
            </w:r>
            <w:r w:rsidR="009E2BF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publi</w:t>
            </w:r>
            <w:r w:rsidR="00484BBF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que</w:t>
            </w:r>
            <w:r w:rsidR="00FE04F5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 d</w:t>
            </w:r>
            <w:r w:rsidR="009E2BF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’enseignement supérieur </w:t>
            </w:r>
            <w:r w:rsidR="0016073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 aussi augmenté rapidement entre 1995</w:t>
            </w:r>
            <w:r w:rsidR="001D794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et 2005, passant de 102 000 à </w:t>
            </w:r>
            <w:r w:rsidR="0016073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330 000, et par conséquent, le TBS </w:t>
            </w:r>
            <w:r w:rsidR="00FE04F5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dans le</w:t>
            </w:r>
            <w:r w:rsidR="0016073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</w:t>
            </w:r>
            <w:r w:rsidR="0026511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upérieur est passé de 8 % au dé</w:t>
            </w:r>
            <w:r w:rsidR="001D794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but des années </w:t>
            </w:r>
            <w:r w:rsidR="0016073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90 à 29 % en 2004 et 35 % en 2011 (UIS). Ce processus a </w:t>
            </w:r>
            <w:r w:rsidR="00FE04F5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cependant </w:t>
            </w:r>
            <w:r w:rsidR="0016073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ralenti depuis 2006 : la population estudiantine a augmenté en moyenne de 2 % </w:t>
            </w:r>
            <w:r w:rsidR="00FE04F5" w:rsidRPr="00FE04F5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seulement </w:t>
            </w:r>
            <w:r w:rsidR="0016073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par an sur la pé</w:t>
            </w:r>
            <w:r w:rsidR="00E41C7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riode 2006-2009 et les effectifs</w:t>
            </w:r>
            <w:r w:rsidR="00A4039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 ainsi que</w:t>
            </w:r>
            <w:r w:rsidR="0016073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le nombre de diplômés a </w:t>
            </w:r>
            <w:r w:rsidR="00FE04F5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continué de baisser</w:t>
            </w:r>
            <w:r w:rsidR="0016073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depuis 2009, </w:t>
            </w:r>
            <w:r w:rsidR="00FE04F5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exacerbé en cela 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par une baisse de la population</w:t>
            </w:r>
            <w:r w:rsidR="0016073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</w:t>
            </w:r>
            <w:r w:rsidR="00C968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En résumé, et eu égard aux acquis </w:t>
            </w:r>
            <w:r w:rsidR="007320A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enregistrés </w:t>
            </w:r>
            <w:r w:rsidR="00E82B0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dans le secteur </w:t>
            </w:r>
            <w:r w:rsidR="00C968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 l’éducation en général, la Tunisie compte une population jeune de plus en plus bien </w:t>
            </w:r>
            <w:r w:rsidR="00337DE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scolarisée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</w:t>
            </w:r>
            <w:r w:rsidR="00C968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qui aspire à l’enseignement supérieur. 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S’il</w:t>
            </w:r>
            <w:r w:rsidR="0026511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est vrai que </w:t>
            </w:r>
            <w:r w:rsidR="00753233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le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besoin de</w:t>
            </w:r>
            <w:r w:rsidR="007F51B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26511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réforme </w:t>
            </w:r>
            <w:r w:rsidR="001732D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ne se limite pas </w:t>
            </w:r>
            <w:r w:rsidR="007F51B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à </w:t>
            </w:r>
            <w:r w:rsidR="001732D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l’enseignem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ent supérieur</w:t>
            </w:r>
            <w:r w:rsidR="0026511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</w:t>
            </w:r>
            <w:r w:rsidR="008C773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il reste que </w:t>
            </w:r>
            <w:r w:rsidR="008C773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les </w:t>
            </w:r>
            <w:r w:rsidR="00C968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autres sous-secteurs de l’éducation </w:t>
            </w:r>
            <w:r w:rsidR="0026511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ont bénéficié d’un </w:t>
            </w:r>
            <w:r w:rsidR="00C968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appui </w:t>
            </w:r>
            <w:r w:rsidR="008C773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accru </w:t>
            </w:r>
            <w:r w:rsidR="00C968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des organisations internationales et multilatérales telles que l’Union européenne, la Deutsche Gesellschaft </w:t>
            </w:r>
            <w:proofErr w:type="spellStart"/>
            <w:r w:rsidR="00C968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für</w:t>
            </w:r>
            <w:proofErr w:type="spellEnd"/>
            <w:r w:rsidR="00C968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Internationale </w:t>
            </w:r>
            <w:proofErr w:type="spellStart"/>
            <w:r w:rsidR="00C968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Zusammenarbeit</w:t>
            </w:r>
            <w:proofErr w:type="spellEnd"/>
            <w:r w:rsidR="00C968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8C773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(GIZ) et l’Agence française de d</w:t>
            </w:r>
            <w:r w:rsidR="00C968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éveloppement (AFD), </w:t>
            </w:r>
            <w:r w:rsidR="0026511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ce qui n’est pas le cas de</w:t>
            </w:r>
            <w:r w:rsidR="00C9688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l’enseignement supérieur.  </w:t>
            </w:r>
          </w:p>
          <w:p w:rsidR="00670DD5" w:rsidRPr="009F7EAE" w:rsidRDefault="00670DD5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670DD5" w:rsidRPr="009F7EAE" w:rsidRDefault="00A97822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</w:t>
            </w:r>
            <w:r w:rsidR="004D410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nombre de</w:t>
            </w:r>
            <w:r w:rsidR="004D410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femmes qui entrent à l’université est élevé et </w:t>
            </w:r>
            <w:r w:rsidR="007F18D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les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diplômées du supérieur </w:t>
            </w:r>
            <w:r w:rsidR="007F18D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sont plus nombreuses à rejoindre la population active que les </w:t>
            </w:r>
            <w:r w:rsidR="00C12EB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femmes moins</w:t>
            </w:r>
            <w:r w:rsidR="004D410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scolarisées. En 2011, 60 % de diplôm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</w:t>
            </w:r>
            <w:r w:rsidR="004D410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es de l’enseignement supérieur 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</w:t>
            </w:r>
            <w:r w:rsidR="004D410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taient de sexe 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féminin</w:t>
            </w:r>
            <w:r w:rsidR="004D410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En outre, la participation de la 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main</w:t>
            </w:r>
            <w:r w:rsidR="00C12EB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-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d’œuvre féminine </w:t>
            </w:r>
            <w:r w:rsidR="00C12EB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diplômée du supérieur </w:t>
            </w:r>
            <w:r w:rsidR="004D410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est de 53 %, légèrem</w:t>
            </w:r>
            <w:r w:rsidR="009A3E7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ent en deçà du pourcentage des </w:t>
            </w:r>
            <w:r w:rsidR="004D410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pays </w:t>
            </w:r>
            <w:r w:rsidR="00C12EB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développés </w:t>
            </w:r>
            <w:r w:rsidR="004D410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plus riches, et </w:t>
            </w:r>
            <w:r w:rsidR="009416F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bien </w:t>
            </w:r>
            <w:r w:rsidR="005D37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supérieur à </w:t>
            </w:r>
            <w:r w:rsidR="004D410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celui des femmes qui n’ont pas 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</w:t>
            </w:r>
            <w:r w:rsidR="004D410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 diplôme universitaire ; 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la participation </w:t>
            </w:r>
            <w:r w:rsidR="009416F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moyenne de la main-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d’œuvre féminine était de 27 % dans tous </w:t>
            </w:r>
            <w:r w:rsidR="009416F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les </w:t>
            </w:r>
            <w:r w:rsidR="005D37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groupes d’éducation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. Toutefois, 40,8 % de</w:t>
            </w:r>
            <w:r w:rsidR="0050157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ces diplômées sont sans emploi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</w:t>
            </w:r>
            <w:r w:rsidR="0093789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soit 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environ le double du taux de chômage de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l’en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emble des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diplômés (21,2 %). Ces différences flagrantes entre 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hommes et femmes diplômés</w:t>
            </w:r>
            <w:r w:rsidR="0093789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 l’enseignement supérieur </w:t>
            </w:r>
            <w:r w:rsidR="0093789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soulève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nt</w:t>
            </w:r>
            <w:r w:rsidR="0093789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es questions 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dépassant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la problématique de l’offre d’enseignement supérieur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 : des 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aspects 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liés à 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l’offre d</w:t>
            </w:r>
            <w:r w:rsidR="00A24F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 main-d’</w:t>
            </w:r>
            <w:r w:rsidR="00F30AC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œuvre 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et des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facteurs culturels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doivent probablement être pris en compte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La question du niveau 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chômage 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élevé 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des diplômées pourrait </w:t>
            </w:r>
            <w:r w:rsidR="009201E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davantage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ê</w:t>
            </w:r>
            <w:r w:rsidR="009201E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tre liée </w:t>
            </w:r>
            <w:r w:rsidR="001C06B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au</w:t>
            </w:r>
            <w:r w:rsidR="009201E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phénomène 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des</w:t>
            </w:r>
            <w:r w:rsidR="00BD17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listes</w:t>
            </w:r>
            <w:r w:rsidR="00F24C90" w:rsidRP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d’attente 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</w:t>
            </w:r>
            <w:r w:rsidR="00F24C90" w:rsidRP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la fonction publique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un problème bien courant du </w:t>
            </w:r>
            <w:r w:rsidR="00BD17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marché de l’emploi 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tunisien</w:t>
            </w:r>
            <w:r w:rsidR="00082E3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</w:t>
            </w:r>
          </w:p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670DD5" w:rsidRPr="009F7EAE" w:rsidRDefault="00893F6C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Il semble que l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 promesse implicite du contrat social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BD17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Tunisie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d’offrir 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des emplois de bonne qualité dans le secteur public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détourne le flux de talents du secteur privé.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167C3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Dans cette logique,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un sondage d’opinion réalisé en Tunisie révèle qu’envi</w:t>
            </w:r>
            <w:r w:rsidR="009318B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ron 45 % de jeunes ayant reçu une formation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supérieur</w:t>
            </w:r>
            <w:r w:rsidR="009318B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préfèrent trouver un emploi dans la fonction publique. </w:t>
            </w:r>
            <w:r w:rsidR="009318B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 même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 seul</w:t>
            </w:r>
            <w:r w:rsidR="009318B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10 % </w:t>
            </w:r>
            <w:r w:rsidR="00F0321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environ 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 jeunes préfèrent un emplo</w:t>
            </w:r>
            <w:r w:rsidR="00BD173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dans le privé et l’écart de </w:t>
            </w:r>
            <w:r w:rsidR="0051215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préférence</w:t>
            </w:r>
            <w:r w:rsidR="009318B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est plus grand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DC54F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chez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les jeunes que </w:t>
            </w:r>
            <w:r w:rsidR="00DC54F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chez</w:t>
            </w:r>
            <w:r w:rsidR="009318B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FB71F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leurs parents. En eff</w:t>
            </w:r>
            <w:r w:rsidR="00D841C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et, 55 % des travailleurs </w:t>
            </w:r>
            <w:r w:rsidR="009318B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ayant</w:t>
            </w:r>
            <w:r w:rsidR="00D841C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un niveau d’études </w:t>
            </w:r>
            <w:r w:rsidR="009318B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posts</w:t>
            </w:r>
            <w:r w:rsidR="00D841C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econdaires étaient employés par le secteur public en 2012 (57 % en 2010</w:t>
            </w:r>
            <w:r w:rsidR="009318B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 ;</w:t>
            </w:r>
            <w:r w:rsidR="00D841C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61 % en 2008) (ENPE 2008, 2010, 2012). 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Bien</w:t>
            </w:r>
            <w:r w:rsidR="00D841C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que la majorité des travailleurs a</w:t>
            </w:r>
            <w:r w:rsidR="009318B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yant un niveau d’études post</w:t>
            </w:r>
            <w:r w:rsidR="00D841C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secondaires se trouve </w:t>
            </w:r>
            <w:r w:rsidR="0051215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dans</w:t>
            </w:r>
            <w:r w:rsidR="00D841C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le secteur public</w:t>
            </w:r>
            <w:r w:rsidR="006E01A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 cette proportion est en recul. Le secteu</w:t>
            </w:r>
            <w:r w:rsidR="00830EA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r privé employait quant à lui</w:t>
            </w:r>
            <w:r w:rsidR="009318B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45</w:t>
            </w:r>
            <w:r w:rsidR="006E01A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 % </w:t>
            </w:r>
            <w:r w:rsidR="008D31A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des travailleurs de niveau postsecondaire</w:t>
            </w:r>
            <w:r w:rsidR="006E01A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en 2012 ave</w:t>
            </w:r>
            <w:r w:rsidR="00E143C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 une tendance à la hausse et une</w:t>
            </w:r>
            <w:r w:rsidR="006E01A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récente analyse de la </w:t>
            </w:r>
            <w:r w:rsidR="00BC774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Banque </w:t>
            </w:r>
            <w:r w:rsidR="006E01A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mondiale r</w:t>
            </w:r>
            <w:r w:rsidR="0051215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évèle que le secteur privé (hôtels</w:t>
            </w:r>
            <w:r w:rsidR="006E01A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 services financiers et transport/communication</w:t>
            </w:r>
            <w:r w:rsidR="00E143C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) a créé 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(théoriquement)</w:t>
            </w:r>
            <w:r w:rsidR="00E143C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plus d’emplois </w:t>
            </w:r>
            <w:r w:rsidR="00E143C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lastRenderedPageBreak/>
              <w:t>pour l</w:t>
            </w:r>
            <w:r w:rsidR="006E01A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es travailleurs hautement qualifiés que le secteur public. La majorité de</w:t>
            </w:r>
            <w:r w:rsidR="00E143C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ce</w:t>
            </w:r>
            <w:r w:rsidR="006E01A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 employés du </w:t>
            </w:r>
            <w:r w:rsidR="0051215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secteur</w:t>
            </w:r>
            <w:r w:rsidR="006E01A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privé a</w:t>
            </w:r>
            <w:r w:rsidR="00E143C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yant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un niveau d’</w:t>
            </w:r>
            <w:r w:rsidR="0051215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éduc</w:t>
            </w:r>
            <w:r w:rsidR="00E143C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ation postsecondaire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étaient recrutés dans les secteurs des services (67 %)</w:t>
            </w:r>
            <w:r w:rsidR="00E143C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suivi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l’industrie (24 %). </w:t>
            </w:r>
            <w:r w:rsidR="00E143C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Certes, 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le </w:t>
            </w:r>
            <w:r w:rsidR="0051215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rôle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E143C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(encore) 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décisif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du secteur public </w:t>
            </w:r>
            <w:r w:rsidR="00D74F9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comme pourvoyeur d’emploi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apparaît principalement comme une </w:t>
            </w:r>
            <w:r w:rsidR="00D74F9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question liée à la demande 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</w:t>
            </w:r>
            <w:r w:rsidR="00D74F9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main-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d’œuvre, mais les 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établissements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d’enseignement devront contribuer à corriger cette situation en promouvant une culture </w:t>
            </w:r>
            <w:r w:rsidR="00CF7AF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d’entrepreneurs et l’esprit d’entreprise </w:t>
            </w:r>
            <w:r w:rsidR="00D74F9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chez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les jeunes</w:t>
            </w:r>
            <w:r w:rsidR="00CF7AF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Ils devront également 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déve</w:t>
            </w:r>
            <w:r w:rsidR="00CF7AF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lopper d</w:t>
            </w:r>
            <w:r w:rsidR="00CE519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es compétences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 nature à attirer </w:t>
            </w:r>
            <w:r w:rsidR="009A19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le secteur privé.  </w:t>
            </w:r>
          </w:p>
          <w:p w:rsidR="00670DD5" w:rsidRPr="009F7EAE" w:rsidRDefault="00670DD5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670DD5" w:rsidRPr="009F7EAE" w:rsidRDefault="00294333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Toutefois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, la hausse nette des effectifs dan</w:t>
            </w:r>
            <w:r w:rsidR="00C573F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 l’enseignement supérieur s’est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accompagnée de la </w:t>
            </w:r>
            <w:r w:rsidR="0030541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création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nouvelles institutions et de structures connexes, la priorité étant accordée aux </w:t>
            </w:r>
            <w:r w:rsidR="0030541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études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moins coû</w:t>
            </w:r>
            <w:r w:rsidR="005A1013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teuses et plus faciles à développer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. Ac</w:t>
            </w:r>
            <w:r w:rsidR="00F24C90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tuellement, le système d’enseign</w:t>
            </w:r>
            <w:r w:rsidR="00F24C90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ement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supérieur </w:t>
            </w:r>
            <w:r w:rsidR="00CF7AF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compte au 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total </w:t>
            </w:r>
            <w:r w:rsidR="00E5359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13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université</w:t>
            </w:r>
            <w:r w:rsidR="00015DA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 publiques (dont une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E5359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spécialisée dans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l’enseignement à dis</w:t>
            </w:r>
            <w:r w:rsidR="0048627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tance), 198 institutions publiques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d’en</w:t>
            </w:r>
            <w:r w:rsidR="00EB6C7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seignement supérieur, dont 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25 instituts </w:t>
            </w:r>
            <w:r w:rsidR="00CF7AF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supérieurs des études </w:t>
            </w:r>
            <w:r w:rsidR="008C3FE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techn</w:t>
            </w:r>
            <w:r w:rsidR="0051215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ologiqu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es (ISET) placés sous la tutelle directe du ministère de l’Enseignement supérieur et de la Recherche scientifique (MESRS). L</w:t>
            </w:r>
            <w:r w:rsidR="00BD39E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 développement 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du secteur d</w:t>
            </w:r>
            <w:r w:rsidR="002B592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 l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’enseignem</w:t>
            </w:r>
            <w:r w:rsidR="002B592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ent supérieur public s’est fait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progressivement après 1986 et </w:t>
            </w:r>
            <w:r w:rsidR="002B592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cet ordre d’enseignement a accueilli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en 2012-2013 approximativement 315 513 étudiants. Les ISET sont </w:t>
            </w:r>
            <w:r w:rsidR="002B592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aussi 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un phénomène relativement récent puisque les </w:t>
            </w:r>
            <w:r w:rsidR="00CF7AF9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premiers établissements de ce réseau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n’ont ouvert leurs portes qu’en 1992. Toutefois, </w:t>
            </w:r>
            <w:r w:rsidR="00AB40A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depuis</w:t>
            </w:r>
            <w:r w:rsidR="00241A99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2009, le nombre total d’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étudiants des ISET a commencé à </w:t>
            </w:r>
            <w:r w:rsidR="008B5DF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baisser et a atteint 27 559 inscrits en 2012-</w:t>
            </w:r>
            <w:r w:rsidR="00EC23F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2013. 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Les institutions privées d’enseignement supérieur se dé</w:t>
            </w:r>
            <w:r w:rsidR="008B5DF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veloppent rapidement et en 2012-</w:t>
            </w:r>
            <w:r w:rsidR="007B1174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2013, </w:t>
            </w:r>
            <w:r w:rsidR="0030541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44 établissements privés </w:t>
            </w:r>
            <w:r w:rsidR="00E17E24" w:rsidRPr="00E17E2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accueillaient </w:t>
            </w:r>
            <w:r w:rsidR="000672F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6,5</w:t>
            </w:r>
            <w:r w:rsidR="0030541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 % d</w:t>
            </w:r>
            <w:r w:rsidR="00EC23F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’</w:t>
            </w:r>
            <w:r w:rsidR="0030541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</w:t>
            </w:r>
            <w:r w:rsidR="00EC23F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nviron</w:t>
            </w:r>
            <w:r w:rsidR="0030541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340 000 étudiants inscrits dans les </w:t>
            </w:r>
            <w:r w:rsidR="008C3FE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universités</w:t>
            </w:r>
            <w:r w:rsidR="0030541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tunisiennes.</w:t>
            </w:r>
          </w:p>
          <w:p w:rsidR="00670DD5" w:rsidRPr="009F7EAE" w:rsidRDefault="00567688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  <w:p w:rsidR="00670DD5" w:rsidRPr="009F7EAE" w:rsidRDefault="008C3FE5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La </w:t>
            </w:r>
            <w:r w:rsidR="0019430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législation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régissant l’introduction</w:t>
            </w:r>
            <w:r w:rsidR="000672F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d’une structure de diplôme de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0672F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l’enseignement supérieur inspiré</w:t>
            </w:r>
            <w:r w:rsidR="00D1789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du modèle du Processus de Bologne a été adopté, mais son application est loin d’être complète. </w:t>
            </w:r>
            <w:r w:rsidR="00D1789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Bien que n’étant pas elle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-même signataire du P</w:t>
            </w:r>
            <w:r w:rsidR="00A66C0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r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ocessus de Bologne, la T</w:t>
            </w:r>
            <w:r w:rsidR="00D1789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unisie a adopté le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système </w:t>
            </w:r>
            <w:r w:rsidR="00E17E24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LMD (licence, master, doctorat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) avec des licences qui consistent en 180 </w:t>
            </w:r>
            <w:r w:rsidR="00BF428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crédits </w:t>
            </w:r>
            <w:r w:rsidR="008F6557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ECTS (système européen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transfert et d’accumulation de crédi</w:t>
            </w:r>
            <w:r w:rsidR="00BF428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ts) (équivalent à trois années d’études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à plein temps)</w:t>
            </w:r>
            <w:r w:rsidR="0019430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et les diplômes de master de 120 crédits ECTS (deux ans </w:t>
            </w:r>
            <w:r w:rsidR="00BF428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à plein temps</w:t>
            </w:r>
            <w:r w:rsidR="0019430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). Toutefois, la mise en œuvre </w:t>
            </w:r>
            <w:r w:rsidR="001E0DA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totale</w:t>
            </w:r>
            <w:r w:rsidR="00097CC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19430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 ce système est loin d’être achevée. </w:t>
            </w:r>
            <w:r w:rsidR="00097CC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Par </w:t>
            </w:r>
            <w:r w:rsidR="007A502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exemple, l’ECTS es</w:t>
            </w:r>
            <w:r w:rsidR="001E0DA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 utilisé dans plus de 75 % d’</w:t>
            </w:r>
            <w:r w:rsidR="007A502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institutions et </w:t>
            </w:r>
            <w:r w:rsidR="001E0DA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de </w:t>
            </w:r>
            <w:r w:rsidR="007A502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programmes, mais </w:t>
            </w:r>
            <w:r w:rsidR="009870D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dans la pratique, </w:t>
            </w:r>
            <w:r w:rsidR="00541F5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les crédits se basent principalement sur l</w:t>
            </w:r>
            <w:r w:rsidR="007A502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es heures de contact (he</w:t>
            </w:r>
            <w:r w:rsidR="00CB0C1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ures passées par les étudiants</w:t>
            </w:r>
            <w:r w:rsidR="005D4951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7A502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sur les activités dirigées </w:t>
            </w:r>
            <w:r w:rsidR="00CB0C1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par le personnel enseignant, c’est-à-dire,</w:t>
            </w:r>
            <w:r w:rsidR="007A502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selon une approche centrée sur l’enseignant) ou une combinaison </w:t>
            </w:r>
            <w:r w:rsidR="00CB0C1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d’</w:t>
            </w:r>
            <w:r w:rsidR="007A502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heures de contact et de</w:t>
            </w:r>
            <w:r w:rsidR="00CB0C1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la charge de travail de</w:t>
            </w:r>
            <w:r w:rsidR="00E631E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l’</w:t>
            </w:r>
            <w:r w:rsidR="00CB0C1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étudiant</w:t>
            </w:r>
            <w:r w:rsidR="007A502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plutôt que </w:t>
            </w:r>
            <w:r w:rsidR="00E631ED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sur </w:t>
            </w:r>
            <w:r w:rsidR="007A502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les résultats de l’apprentissage de l’étudiant comme </w:t>
            </w:r>
            <w:r w:rsidR="00157CC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prévu</w:t>
            </w:r>
            <w:r w:rsidR="007A502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dans le cad</w:t>
            </w:r>
            <w:r w:rsidR="005E4905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r</w:t>
            </w:r>
            <w:r w:rsidR="007A502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 des réformes de Bologne. </w:t>
            </w:r>
          </w:p>
        </w:tc>
      </w:tr>
      <w:tr w:rsidR="009F7EAE" w:rsidRPr="009F7EAE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8"/>
                <w:szCs w:val="8"/>
              </w:rPr>
            </w:pPr>
            <w:r w:rsidRPr="009F7EAE">
              <w:rPr>
                <w:rFonts w:ascii="Times" w:hAnsi="Times" w:cs="Times"/>
                <w:color w:val="auto"/>
                <w:sz w:val="8"/>
                <w:szCs w:val="8"/>
              </w:rPr>
              <w:lastRenderedPageBreak/>
              <w:t>.</w:t>
            </w:r>
          </w:p>
        </w:tc>
      </w:tr>
      <w:tr w:rsidR="009F7EAE" w:rsidRPr="00DB4EA1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865ABB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II. </w:t>
            </w:r>
            <w:r w:rsidR="00865ABB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Objectif(s) de développement du projet </w:t>
            </w:r>
          </w:p>
        </w:tc>
      </w:tr>
      <w:tr w:rsidR="009F7EAE" w:rsidRPr="00DB4EA1" w:rsidTr="00DB4EA1"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9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865ABB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L’ob</w:t>
            </w:r>
            <w:r w:rsidR="0064751A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jectif poursuivi par le projet E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nseignement supérieur et employabilité (TEEP) est d’améliorer</w:t>
            </w:r>
            <w:r w:rsidR="003936E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l’employabilité des diplômés du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supérieur et de renforcer la gestion de </w:t>
            </w:r>
            <w:r w:rsidR="003936E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cet ordre d’enseignement. </w:t>
            </w:r>
          </w:p>
        </w:tc>
      </w:tr>
      <w:tr w:rsidR="009F7EAE" w:rsidRPr="009F7EAE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8"/>
                <w:szCs w:val="8"/>
              </w:rPr>
            </w:pPr>
            <w:r w:rsidRPr="009F7EAE">
              <w:rPr>
                <w:rFonts w:ascii="Times" w:hAnsi="Times" w:cs="Times"/>
                <w:color w:val="auto"/>
                <w:sz w:val="8"/>
                <w:szCs w:val="8"/>
              </w:rPr>
              <w:t>.</w:t>
            </w:r>
          </w:p>
        </w:tc>
      </w:tr>
      <w:tr w:rsidR="009F7EAE" w:rsidRPr="009F7EAE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675FB6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III. </w:t>
            </w:r>
            <w:r w:rsidR="00675FB6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Description du projet 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5FB6" w:rsidP="00675FB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Nom de la composante </w:t>
            </w:r>
          </w:p>
        </w:tc>
      </w:tr>
      <w:tr w:rsidR="009F7EAE" w:rsidRPr="00DB4EA1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3936EE" w:rsidP="003936E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Améliorer</w:t>
            </w:r>
            <w:r w:rsidR="00675FB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l’employabilité des diplômés de l’enseignement supérieur 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3936EE" w:rsidP="003936E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Observations </w:t>
            </w:r>
            <w:r w:rsidR="00675FB6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proofErr w:type="spellStart"/>
            <w:r w:rsidR="00675FB6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facultatif</w:t>
            </w:r>
            <w:proofErr w:type="spellEnd"/>
            <w:r w:rsidR="00675FB6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5FB6" w:rsidP="00675FB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Nom de la composante </w:t>
            </w:r>
          </w:p>
        </w:tc>
      </w:tr>
      <w:tr w:rsidR="009F7EAE" w:rsidRPr="00DB4EA1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5FB6" w:rsidP="003936E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Moderni</w:t>
            </w:r>
            <w:r w:rsidR="007B69E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</w:t>
            </w:r>
            <w:r w:rsidR="003936E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er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la gestion de l’enseignement supérieur 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Observations </w:t>
            </w:r>
            <w:r w:rsidR="00675FB6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proofErr w:type="spellStart"/>
            <w:r w:rsidR="00675FB6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facultatif</w:t>
            </w:r>
            <w:proofErr w:type="spellEnd"/>
            <w:r w:rsidR="00675FB6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) 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7EAE" w:rsidRPr="009F7EAE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8"/>
                <w:szCs w:val="8"/>
              </w:rPr>
            </w:pPr>
            <w:r w:rsidRPr="009F7EAE">
              <w:rPr>
                <w:rFonts w:ascii="Times" w:hAnsi="Times" w:cs="Times"/>
                <w:color w:val="auto"/>
                <w:sz w:val="8"/>
                <w:szCs w:val="8"/>
              </w:rPr>
              <w:t>.</w:t>
            </w:r>
          </w:p>
        </w:tc>
      </w:tr>
      <w:tr w:rsidR="009F7EAE" w:rsidRPr="00DB4EA1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7B69EC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IV. F</w:t>
            </w:r>
            <w:r w:rsidR="007B69EC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inancement (en millions de dollars des États-Unis)</w:t>
            </w:r>
          </w:p>
        </w:tc>
      </w:tr>
      <w:tr w:rsidR="009F7EAE" w:rsidRPr="009F7EAE" w:rsidTr="00DB4EA1"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7B69EC" w:rsidP="007B69E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Coût total du projet :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7B69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75,</w:t>
            </w:r>
            <w:r w:rsidR="00567688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7B69EC" w:rsidP="007B69E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Total du financement de la Banque :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7B69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70,</w:t>
            </w:r>
            <w:r w:rsidR="00567688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</w:tr>
      <w:tr w:rsidR="009F7EAE" w:rsidRPr="009F7EAE" w:rsidTr="00DB4EA1"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7B69EC" w:rsidP="007B69E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Écart de financement :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7B69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</w:t>
            </w:r>
            <w:r w:rsidR="00567688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7EAE" w:rsidRPr="009F7EAE" w:rsidTr="00DB4EA1"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7B69EC" w:rsidP="007B69EC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Source de financement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7B69EC" w:rsidP="007B69E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</w:rPr>
              <w:t>Montant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9F7EAE" w:rsidRPr="009F7EAE" w:rsidTr="00DB4EA1"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7B69EC" w:rsidP="007B69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Emprunteur</w:t>
            </w:r>
            <w:proofErr w:type="spellEnd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7B69EC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</w:t>
            </w:r>
            <w:r w:rsidR="00567688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</w:tr>
      <w:tr w:rsidR="009F7EAE" w:rsidRPr="009F7EAE" w:rsidTr="00DB4EA1"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7B69EC" w:rsidP="007B69E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Banque internationale pour la reconstruction et le développement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7B69EC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70,</w:t>
            </w:r>
            <w:r w:rsidR="00567688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</w:tr>
      <w:tr w:rsidR="009F7EAE" w:rsidRPr="009F7EAE" w:rsidTr="00DB4EA1"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7B69EC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75,</w:t>
            </w:r>
            <w:r w:rsidR="00567688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</w:tr>
      <w:tr w:rsidR="009F7EAE" w:rsidRPr="009F7EAE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8"/>
                <w:szCs w:val="8"/>
              </w:rPr>
            </w:pPr>
            <w:r w:rsidRPr="009F7EAE">
              <w:rPr>
                <w:rFonts w:ascii="Times" w:hAnsi="Times" w:cs="Times"/>
                <w:color w:val="auto"/>
                <w:sz w:val="8"/>
                <w:szCs w:val="8"/>
              </w:rPr>
              <w:t>.</w:t>
            </w:r>
          </w:p>
        </w:tc>
      </w:tr>
      <w:tr w:rsidR="009F7EAE" w:rsidRPr="009F7EAE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6D4E78">
            <w:pPr>
              <w:rPr>
                <w:rFonts w:ascii="Times New Roman" w:hAnsi="Times New Roman" w:cs="Times New Roman"/>
                <w:color w:val="auto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V. </w:t>
            </w:r>
            <w:proofErr w:type="spellStart"/>
            <w:r w:rsidR="006D4E78" w:rsidRPr="009F7EAE">
              <w:rPr>
                <w:rFonts w:ascii="Times New Roman" w:hAnsi="Times New Roman" w:cs="Times New Roman"/>
                <w:b/>
                <w:bCs/>
                <w:color w:val="auto"/>
              </w:rPr>
              <w:t>Exécution</w:t>
            </w:r>
            <w:proofErr w:type="spellEnd"/>
            <w:r w:rsidR="006D4E78" w:rsidRPr="009F7E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9F7EAE" w:rsidRPr="00DB4EA1" w:rsidTr="00DB4EA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D4E78" w:rsidP="00DB4EA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Le ministère de l’Enseignement supérieur et de la Recherche scientifique (MESRS) est l’entité publique charg</w:t>
            </w:r>
            <w:r w:rsidR="003936E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 de l’exécution </w:t>
            </w:r>
            <w:r w:rsidR="0064751A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du p</w:t>
            </w:r>
            <w:r w:rsidR="003936E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rojet avec l’appui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 l’Unité de gestion des projets (</w:t>
            </w:r>
            <w:r w:rsidR="003936E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PMU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). Le MESRS est </w:t>
            </w:r>
            <w:r w:rsidR="00CA7A8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chargé,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CA7A8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 dernière analyse,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l’atteinte des objectifs définis dans le projet et de la supervision, du suivi-évaluation, et de l’appui technique aux universités. </w:t>
            </w:r>
          </w:p>
        </w:tc>
      </w:tr>
      <w:tr w:rsidR="009F7EAE" w:rsidRPr="009F7EAE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8"/>
                <w:szCs w:val="8"/>
              </w:rPr>
            </w:pPr>
            <w:r w:rsidRPr="009F7EAE">
              <w:rPr>
                <w:rFonts w:ascii="Times" w:hAnsi="Times" w:cs="Times"/>
                <w:color w:val="auto"/>
                <w:sz w:val="8"/>
                <w:szCs w:val="8"/>
              </w:rPr>
              <w:t>.</w:t>
            </w:r>
          </w:p>
        </w:tc>
      </w:tr>
      <w:tr w:rsidR="009F7EAE" w:rsidRPr="00DB4EA1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CA7A88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VI. </w:t>
            </w:r>
            <w:r w:rsidR="00E3694D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Pol</w:t>
            </w:r>
            <w:r w:rsidR="003936EE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itiques de sauvegarde (y compris</w:t>
            </w:r>
            <w:r w:rsidR="00E3694D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 les </w:t>
            </w:r>
            <w:r w:rsidR="00512152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consultations</w:t>
            </w:r>
            <w:r w:rsidR="00E3694D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 </w:t>
            </w:r>
            <w:r w:rsidR="00CA7A88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du public</w:t>
            </w:r>
            <w:r w:rsidR="00E3694D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) 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12152" w:rsidP="00E6452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Politiques de sauvegarde </w:t>
            </w:r>
            <w:r w:rsidR="00E6452F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concernées</w:t>
            </w: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 par le projet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121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Oui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No</w:t>
            </w:r>
            <w:r w:rsidR="00512152" w:rsidRPr="009F7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12152" w:rsidP="00C2637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Évaluation environnementale </w:t>
            </w:r>
            <w:r w:rsidR="00C2637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(OP/BP 4.01)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670DD5">
            <w:pPr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12152" w:rsidP="00C2637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Habitats naturels </w:t>
            </w:r>
            <w:r w:rsidR="00C2637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(OP/BP 4.04)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670DD5">
            <w:pPr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3936EE" w:rsidP="00C2637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Forêts</w:t>
            </w:r>
            <w:proofErr w:type="spellEnd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2637B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(OP /BP 4.36)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670D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12152" w:rsidP="00C2637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Lutte antiparasitaire </w:t>
            </w:r>
            <w:r w:rsidR="00C2637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(OP 4.09)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670DD5">
            <w:pPr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18203A" w:rsidP="00C2637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Patrimoine culturel</w:t>
            </w:r>
            <w:r w:rsidR="00512152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physique </w:t>
            </w:r>
            <w:r w:rsidR="00C2637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(OP/BP 4.11)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670DD5">
            <w:pPr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12152" w:rsidP="00C2637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</w:t>
            </w:r>
            <w:r w:rsidR="0018203A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opulations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autochtones </w:t>
            </w:r>
            <w:r w:rsidR="00C2637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(OP/BP 4.10)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670DD5">
            <w:pPr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12152" w:rsidP="00C2637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Réinstallation involontaire de personnes </w:t>
            </w:r>
            <w:r w:rsidR="00C2637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(OP/BP 4.12)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670DD5">
            <w:pPr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12152" w:rsidP="00C2637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Sécurité des barrages </w:t>
            </w:r>
            <w:r w:rsidR="00C2637B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(OP/BP 4.37)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670DD5">
            <w:pPr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12152" w:rsidP="009607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Projets relatifs aux voies d’eau internationales </w:t>
            </w:r>
            <w:r w:rsidR="009607B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(OP/BP 7.50)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670DD5">
            <w:pPr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12152" w:rsidP="009607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Projets </w:t>
            </w:r>
            <w:r w:rsidR="00917B8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dans d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es zones en litige </w:t>
            </w:r>
            <w:r w:rsidR="009607B7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(OP/BP 7.60)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670DD5">
            <w:pPr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70DD5" w:rsidRPr="009F7EAE" w:rsidRDefault="005676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917B8E">
            <w:pPr>
              <w:rPr>
                <w:rFonts w:ascii="Times New Roman" w:hAnsi="Times New Roman" w:cs="Times New Roman"/>
                <w:color w:val="auto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</w:rPr>
              <w:t>Observations (</w:t>
            </w: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</w:rPr>
              <w:t>facultatif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) </w:t>
            </w:r>
          </w:p>
        </w:tc>
      </w:tr>
      <w:tr w:rsidR="009F7EAE" w:rsidRPr="009F7EAE" w:rsidTr="00DB4EA1"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7EAE" w:rsidRPr="009F7EAE" w:rsidTr="00DB4EA1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8"/>
                <w:szCs w:val="8"/>
              </w:rPr>
            </w:pPr>
            <w:r w:rsidRPr="009F7EAE">
              <w:rPr>
                <w:rFonts w:ascii="Times" w:hAnsi="Times" w:cs="Times"/>
                <w:color w:val="auto"/>
                <w:sz w:val="8"/>
                <w:szCs w:val="8"/>
              </w:rPr>
              <w:t>.</w:t>
            </w:r>
          </w:p>
        </w:tc>
      </w:tr>
    </w:tbl>
    <w:p w:rsidR="00DB4EA1" w:rsidRDefault="00DB4EA1">
      <w:r>
        <w:br w:type="page"/>
      </w:r>
    </w:p>
    <w:tbl>
      <w:tblPr>
        <w:tblW w:w="9362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75"/>
        <w:gridCol w:w="1030"/>
        <w:gridCol w:w="7957"/>
      </w:tblGrid>
      <w:tr w:rsidR="009F7EAE" w:rsidRPr="009F7EAE" w:rsidTr="00DB4EA1"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E6452F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lastRenderedPageBreak/>
              <w:t xml:space="preserve">VII. </w:t>
            </w:r>
            <w:r w:rsidR="00E6452F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Personnes à contacter 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917B8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</w:rPr>
              <w:t>Banque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9F7EAE">
              <w:rPr>
                <w:rFonts w:ascii="Times New Roman" w:hAnsi="Times New Roman" w:cs="Times New Roman"/>
                <w:b/>
                <w:bCs/>
                <w:color w:val="auto"/>
              </w:rPr>
              <w:t>mondiale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Contact : 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Nina Arnhold</w:t>
            </w:r>
          </w:p>
        </w:tc>
      </w:tr>
      <w:tr w:rsidR="009F7EAE" w:rsidRPr="00312F33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Fonction</w:t>
            </w:r>
            <w:proofErr w:type="spellEnd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 : 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487D8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Spécialiste </w:t>
            </w:r>
            <w:r w:rsidR="00487D83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se</w:t>
            </w:r>
            <w:r w:rsidR="00E6452F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nior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487D83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en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éducation 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Tél</w:t>
            </w:r>
            <w:r w:rsidR="008C62E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.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 :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5265+3729 /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narnhold@worldbank.org</w:t>
            </w:r>
          </w:p>
        </w:tc>
      </w:tr>
      <w:tr w:rsidR="009F7EAE" w:rsidRPr="009F7EAE" w:rsidTr="00DB4EA1"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Contact</w:t>
            </w:r>
            <w:r w:rsidR="00917B8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 :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Karine M. Pezzani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Fonction : 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3936EE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Responsa</w:t>
            </w:r>
            <w:r w:rsidR="00917B8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ble des 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opérations</w:t>
            </w:r>
            <w:r w:rsidR="00917B8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</w:t>
            </w:r>
            <w:r w:rsidR="00917B8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él</w:t>
            </w:r>
            <w:r w:rsidR="008C62E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.</w:t>
            </w:r>
            <w:r w:rsidR="00917B8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 : 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kpezzani@worldbank.org</w:t>
            </w:r>
          </w:p>
        </w:tc>
      </w:tr>
      <w:tr w:rsidR="009F7EAE" w:rsidRPr="009F7EAE" w:rsidTr="00DB4EA1"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9F7EAE" w:rsidRPr="009F7EAE" w:rsidTr="00DB4EA1"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8"/>
                <w:szCs w:val="8"/>
                <w:lang w:val="fr-FR"/>
              </w:rPr>
            </w:pPr>
            <w:r w:rsidRPr="009F7EAE">
              <w:rPr>
                <w:rFonts w:ascii="Times" w:hAnsi="Times" w:cs="Times"/>
                <w:color w:val="auto"/>
                <w:sz w:val="8"/>
                <w:szCs w:val="8"/>
                <w:lang w:val="fr-FR"/>
              </w:rPr>
              <w:t>.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F533A4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Emprunteur/client/</w:t>
            </w:r>
            <w:proofErr w:type="spellStart"/>
            <w:r w:rsidR="00F533A4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bénéficiare</w:t>
            </w:r>
            <w:proofErr w:type="spellEnd"/>
            <w:r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 </w:t>
            </w:r>
          </w:p>
        </w:tc>
      </w:tr>
      <w:tr w:rsidR="009F7EAE" w:rsidRPr="00DB4EA1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Nom : 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Ministère du Développement et de la Coopération internationale 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Contact</w:t>
            </w:r>
            <w:r w:rsidR="00917B8E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: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</w:t>
            </w:r>
            <w:r w:rsidRPr="0064751A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me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Ben Nasr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8C62EC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</w:t>
            </w:r>
            <w:r w:rsidR="00917B8E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nction</w:t>
            </w:r>
            <w:proofErr w:type="spellEnd"/>
            <w:r w:rsidR="00917B8E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: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</w:t>
            </w:r>
            <w:r w:rsidR="00917B8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él</w:t>
            </w:r>
            <w:r w:rsidR="008C62E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.</w:t>
            </w:r>
            <w:r w:rsidR="00917B8E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 :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9F7EAE" w:rsidRPr="00DB4EA1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917B8E" w:rsidP="00917B8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s.bennasr@mdci.gov.tn</w:t>
            </w:r>
          </w:p>
        </w:tc>
      </w:tr>
      <w:tr w:rsidR="009F7EAE" w:rsidRPr="009F7EAE" w:rsidTr="00DB4EA1"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4"/>
                <w:szCs w:val="4"/>
                <w:lang w:val="fr-FR"/>
              </w:rPr>
            </w:pPr>
            <w:r w:rsidRPr="009F7EAE">
              <w:rPr>
                <w:rFonts w:ascii="Times" w:hAnsi="Times" w:cs="Times"/>
                <w:color w:val="auto"/>
                <w:sz w:val="4"/>
                <w:szCs w:val="4"/>
                <w:lang w:val="fr-FR"/>
              </w:rPr>
              <w:t>.</w:t>
            </w:r>
          </w:p>
        </w:tc>
      </w:tr>
      <w:tr w:rsidR="009F7EAE" w:rsidRPr="009F7EAE" w:rsidTr="00DB4EA1"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8"/>
                <w:szCs w:val="8"/>
                <w:lang w:val="fr-FR"/>
              </w:rPr>
            </w:pPr>
            <w:r w:rsidRPr="009F7EAE">
              <w:rPr>
                <w:rFonts w:ascii="Times" w:hAnsi="Times" w:cs="Times"/>
                <w:color w:val="auto"/>
                <w:sz w:val="8"/>
                <w:szCs w:val="8"/>
                <w:lang w:val="fr-FR"/>
              </w:rPr>
              <w:t>.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E6452F" w:rsidP="00917B8E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Organismes</w:t>
            </w:r>
            <w:r w:rsidR="00917B8E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 d’exécution </w:t>
            </w:r>
          </w:p>
        </w:tc>
      </w:tr>
      <w:tr w:rsidR="009F7EAE" w:rsidRPr="00DB4EA1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C45E76" w:rsidP="00C45E7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Nom :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C45E76" w:rsidP="00C45E7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Ministère de l’Enseignement sup</w:t>
            </w:r>
            <w:r w:rsidR="00B95F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érieur, de la Recherche </w:t>
            </w:r>
            <w:r w:rsidR="000D0B61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scientifique </w:t>
            </w:r>
            <w:r w:rsidR="00B95F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et des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Technologie</w:t>
            </w:r>
            <w:r w:rsidR="00B95F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</w:t>
            </w:r>
            <w:r w:rsidR="00522ACB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l’Information et de la Communication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C45E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Contact</w:t>
            </w:r>
            <w:r w:rsidR="00C45E76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: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</w:t>
            </w:r>
            <w:r w:rsidRPr="0031244D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me</w:t>
            </w:r>
            <w:proofErr w:type="spellEnd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Najla</w:t>
            </w:r>
            <w:proofErr w:type="spellEnd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Romdhane</w:t>
            </w:r>
            <w:proofErr w:type="spellEnd"/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8C62EC" w:rsidP="00C45E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</w:t>
            </w:r>
            <w:r w:rsidR="00C45E76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nction</w:t>
            </w:r>
            <w:proofErr w:type="spellEnd"/>
            <w:r w:rsidR="00C45E76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: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3124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</w:t>
            </w:r>
            <w:r w:rsidR="003124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rice</w:t>
            </w:r>
            <w:proofErr w:type="spellEnd"/>
            <w:r w:rsidR="00C45E76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C45E76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Unité</w:t>
            </w:r>
            <w:proofErr w:type="spellEnd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Coordination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C45E7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</w:t>
            </w:r>
            <w:r w:rsidR="00C45E7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él</w:t>
            </w:r>
            <w:r w:rsidR="008C62EC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.</w:t>
            </w:r>
            <w:r w:rsidR="00C45E76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 :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21658478177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C45E76" w:rsidP="00C45E7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najlaromdhane@hotmail.fr</w:t>
            </w:r>
          </w:p>
        </w:tc>
      </w:tr>
      <w:tr w:rsidR="009F7EAE" w:rsidRPr="009F7EAE" w:rsidTr="00DB4EA1"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4"/>
                <w:szCs w:val="4"/>
                <w:lang w:val="fr-FR"/>
              </w:rPr>
            </w:pPr>
            <w:r w:rsidRPr="009F7EAE">
              <w:rPr>
                <w:rFonts w:ascii="Times" w:hAnsi="Times" w:cs="Times"/>
                <w:color w:val="auto"/>
                <w:sz w:val="4"/>
                <w:szCs w:val="4"/>
                <w:lang w:val="fr-FR"/>
              </w:rPr>
              <w:t>.</w:t>
            </w:r>
          </w:p>
        </w:tc>
      </w:tr>
      <w:tr w:rsidR="009F7EAE" w:rsidRPr="009F7EAE" w:rsidTr="00DB4EA1"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" w:hAnsi="Times" w:cs="Times"/>
                <w:color w:val="auto"/>
                <w:sz w:val="8"/>
                <w:szCs w:val="8"/>
                <w:lang w:val="fr-FR"/>
              </w:rPr>
            </w:pPr>
            <w:r w:rsidRPr="009F7EAE">
              <w:rPr>
                <w:rFonts w:ascii="Times" w:hAnsi="Times" w:cs="Times"/>
                <w:color w:val="auto"/>
                <w:sz w:val="8"/>
                <w:szCs w:val="8"/>
                <w:lang w:val="fr-FR"/>
              </w:rPr>
              <w:t>.</w:t>
            </w:r>
          </w:p>
        </w:tc>
      </w:tr>
      <w:tr w:rsidR="009F7EAE" w:rsidRPr="00DB4EA1" w:rsidTr="00DB4EA1"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4C1DF1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VIII.  </w:t>
            </w:r>
            <w:r w:rsidR="004C1DF1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Pour de plus amples informations, </w:t>
            </w:r>
            <w:proofErr w:type="gramStart"/>
            <w:r w:rsidR="004C1DF1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contacter</w:t>
            </w:r>
            <w:proofErr w:type="gramEnd"/>
            <w:r w:rsidR="004C1DF1" w:rsidRPr="009F7EAE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 :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F533A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L’</w:t>
            </w:r>
            <w:r w:rsidR="00567688" w:rsidRPr="009F7EAE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InfoShop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171BD1" w:rsidP="00171BD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Banque</w:t>
            </w:r>
            <w:proofErr w:type="spellEnd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mondiale</w:t>
            </w:r>
            <w:proofErr w:type="spellEnd"/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1818 H Street, NW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Washington, D.C. 20433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 w:rsidP="00171BD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r w:rsidR="00171BD1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élé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phone</w:t>
            </w:r>
            <w:proofErr w:type="spellEnd"/>
            <w:r w:rsidR="00171BD1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:</w:t>
            </w: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(202) 458-4500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171BD1" w:rsidP="00171BD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Télécopie</w:t>
            </w:r>
            <w:proofErr w:type="spellEnd"/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:</w:t>
            </w:r>
            <w:r w:rsidR="00567688"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(202) 522-1500</w:t>
            </w:r>
          </w:p>
        </w:tc>
      </w:tr>
      <w:tr w:rsidR="009F7EAE" w:rsidRPr="009F7EAE" w:rsidTr="00DB4EA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670D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70DD5" w:rsidRPr="009F7EAE" w:rsidRDefault="0056768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7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Web: http://www.worldbank.org/infoshop</w:t>
            </w:r>
          </w:p>
        </w:tc>
      </w:tr>
    </w:tbl>
    <w:p w:rsidR="00670DD5" w:rsidRPr="009F7EAE" w:rsidRDefault="00670DD5">
      <w:pPr>
        <w:rPr>
          <w:color w:val="auto"/>
        </w:rPr>
      </w:pPr>
    </w:p>
    <w:sectPr w:rsidR="00670DD5" w:rsidRPr="009F7EAE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88"/>
    <w:rsid w:val="000032CF"/>
    <w:rsid w:val="00015DAC"/>
    <w:rsid w:val="000672F8"/>
    <w:rsid w:val="00082E32"/>
    <w:rsid w:val="00097CC6"/>
    <w:rsid w:val="000D0B61"/>
    <w:rsid w:val="000D4A69"/>
    <w:rsid w:val="0010093E"/>
    <w:rsid w:val="001065DD"/>
    <w:rsid w:val="00146C19"/>
    <w:rsid w:val="00157CCE"/>
    <w:rsid w:val="00160737"/>
    <w:rsid w:val="00167C3B"/>
    <w:rsid w:val="00171BD1"/>
    <w:rsid w:val="001732D3"/>
    <w:rsid w:val="00176DAD"/>
    <w:rsid w:val="0018203A"/>
    <w:rsid w:val="0019430C"/>
    <w:rsid w:val="001C06BE"/>
    <w:rsid w:val="001D66E4"/>
    <w:rsid w:val="001D794A"/>
    <w:rsid w:val="001E0DAA"/>
    <w:rsid w:val="00216D36"/>
    <w:rsid w:val="00232FEB"/>
    <w:rsid w:val="00241A99"/>
    <w:rsid w:val="0024372E"/>
    <w:rsid w:val="0026511D"/>
    <w:rsid w:val="002761D0"/>
    <w:rsid w:val="00294333"/>
    <w:rsid w:val="0029748F"/>
    <w:rsid w:val="002B5929"/>
    <w:rsid w:val="002F4A8B"/>
    <w:rsid w:val="00305412"/>
    <w:rsid w:val="0031244D"/>
    <w:rsid w:val="00312F33"/>
    <w:rsid w:val="00337DEB"/>
    <w:rsid w:val="003734B5"/>
    <w:rsid w:val="003936EE"/>
    <w:rsid w:val="003B4AF3"/>
    <w:rsid w:val="00404F13"/>
    <w:rsid w:val="00441A7E"/>
    <w:rsid w:val="004670C5"/>
    <w:rsid w:val="00467B26"/>
    <w:rsid w:val="00473F8F"/>
    <w:rsid w:val="00484BBF"/>
    <w:rsid w:val="0048627A"/>
    <w:rsid w:val="00487D83"/>
    <w:rsid w:val="004A5B34"/>
    <w:rsid w:val="004B501E"/>
    <w:rsid w:val="004C1DF1"/>
    <w:rsid w:val="004D4102"/>
    <w:rsid w:val="004E0B01"/>
    <w:rsid w:val="00501577"/>
    <w:rsid w:val="00505A20"/>
    <w:rsid w:val="00512152"/>
    <w:rsid w:val="00522ACB"/>
    <w:rsid w:val="00530E40"/>
    <w:rsid w:val="00541F5F"/>
    <w:rsid w:val="00545AAE"/>
    <w:rsid w:val="005478B8"/>
    <w:rsid w:val="0055188F"/>
    <w:rsid w:val="005533C0"/>
    <w:rsid w:val="00562EC0"/>
    <w:rsid w:val="00567688"/>
    <w:rsid w:val="00575087"/>
    <w:rsid w:val="005A1013"/>
    <w:rsid w:val="005C0D46"/>
    <w:rsid w:val="005D3732"/>
    <w:rsid w:val="005D4951"/>
    <w:rsid w:val="005E4905"/>
    <w:rsid w:val="00606D83"/>
    <w:rsid w:val="00621EA2"/>
    <w:rsid w:val="0064170D"/>
    <w:rsid w:val="0064751A"/>
    <w:rsid w:val="00670DD5"/>
    <w:rsid w:val="00675FB6"/>
    <w:rsid w:val="006A4307"/>
    <w:rsid w:val="006D4E78"/>
    <w:rsid w:val="006E01A4"/>
    <w:rsid w:val="006E02AF"/>
    <w:rsid w:val="007007CD"/>
    <w:rsid w:val="00722924"/>
    <w:rsid w:val="007320A9"/>
    <w:rsid w:val="00753233"/>
    <w:rsid w:val="0075781F"/>
    <w:rsid w:val="007A0719"/>
    <w:rsid w:val="007A502C"/>
    <w:rsid w:val="007A6490"/>
    <w:rsid w:val="007B1174"/>
    <w:rsid w:val="007B2B58"/>
    <w:rsid w:val="007B69EC"/>
    <w:rsid w:val="007F18D5"/>
    <w:rsid w:val="007F2172"/>
    <w:rsid w:val="007F2A77"/>
    <w:rsid w:val="007F51BE"/>
    <w:rsid w:val="00830EA6"/>
    <w:rsid w:val="00852388"/>
    <w:rsid w:val="00853A62"/>
    <w:rsid w:val="00864F41"/>
    <w:rsid w:val="00865ABB"/>
    <w:rsid w:val="00881BCF"/>
    <w:rsid w:val="00893F6C"/>
    <w:rsid w:val="008B57EE"/>
    <w:rsid w:val="008B5DF8"/>
    <w:rsid w:val="008C3FE5"/>
    <w:rsid w:val="008C62EC"/>
    <w:rsid w:val="008C7736"/>
    <w:rsid w:val="008D31AC"/>
    <w:rsid w:val="008D4169"/>
    <w:rsid w:val="008E4896"/>
    <w:rsid w:val="008F6557"/>
    <w:rsid w:val="00917B8E"/>
    <w:rsid w:val="009201ED"/>
    <w:rsid w:val="009318BA"/>
    <w:rsid w:val="0093789B"/>
    <w:rsid w:val="009416F2"/>
    <w:rsid w:val="009607B7"/>
    <w:rsid w:val="009870D6"/>
    <w:rsid w:val="009A1974"/>
    <w:rsid w:val="009A2278"/>
    <w:rsid w:val="009A3E76"/>
    <w:rsid w:val="009E2BFF"/>
    <w:rsid w:val="009F7EAE"/>
    <w:rsid w:val="00A24F32"/>
    <w:rsid w:val="00A4039C"/>
    <w:rsid w:val="00A66C0C"/>
    <w:rsid w:val="00A97822"/>
    <w:rsid w:val="00AB40A4"/>
    <w:rsid w:val="00AC0845"/>
    <w:rsid w:val="00AF7B83"/>
    <w:rsid w:val="00B63A92"/>
    <w:rsid w:val="00B642D1"/>
    <w:rsid w:val="00B92E04"/>
    <w:rsid w:val="00B95FE8"/>
    <w:rsid w:val="00BB3137"/>
    <w:rsid w:val="00BC7744"/>
    <w:rsid w:val="00BD1735"/>
    <w:rsid w:val="00BD39E9"/>
    <w:rsid w:val="00BF428A"/>
    <w:rsid w:val="00BF52C4"/>
    <w:rsid w:val="00C12EBE"/>
    <w:rsid w:val="00C2637B"/>
    <w:rsid w:val="00C45E76"/>
    <w:rsid w:val="00C4663A"/>
    <w:rsid w:val="00C50B2A"/>
    <w:rsid w:val="00C512E6"/>
    <w:rsid w:val="00C55ABD"/>
    <w:rsid w:val="00C573F4"/>
    <w:rsid w:val="00C913A7"/>
    <w:rsid w:val="00C96887"/>
    <w:rsid w:val="00CA7A88"/>
    <w:rsid w:val="00CA7D15"/>
    <w:rsid w:val="00CB0C17"/>
    <w:rsid w:val="00CC0DD0"/>
    <w:rsid w:val="00CE5194"/>
    <w:rsid w:val="00CF7AF9"/>
    <w:rsid w:val="00D16B91"/>
    <w:rsid w:val="00D1789D"/>
    <w:rsid w:val="00D355D8"/>
    <w:rsid w:val="00D65FB9"/>
    <w:rsid w:val="00D74F99"/>
    <w:rsid w:val="00D802F8"/>
    <w:rsid w:val="00D841C9"/>
    <w:rsid w:val="00D90528"/>
    <w:rsid w:val="00DA1A86"/>
    <w:rsid w:val="00DB4EA1"/>
    <w:rsid w:val="00DC54F6"/>
    <w:rsid w:val="00DC5D71"/>
    <w:rsid w:val="00E143CE"/>
    <w:rsid w:val="00E17E24"/>
    <w:rsid w:val="00E32AE8"/>
    <w:rsid w:val="00E34634"/>
    <w:rsid w:val="00E3694D"/>
    <w:rsid w:val="00E41C78"/>
    <w:rsid w:val="00E42B35"/>
    <w:rsid w:val="00E53598"/>
    <w:rsid w:val="00E631ED"/>
    <w:rsid w:val="00E6452F"/>
    <w:rsid w:val="00E82B08"/>
    <w:rsid w:val="00EA0593"/>
    <w:rsid w:val="00EB67DC"/>
    <w:rsid w:val="00EB6C72"/>
    <w:rsid w:val="00EC23F4"/>
    <w:rsid w:val="00ED5763"/>
    <w:rsid w:val="00EE4ADB"/>
    <w:rsid w:val="00F03213"/>
    <w:rsid w:val="00F24C90"/>
    <w:rsid w:val="00F30ACE"/>
    <w:rsid w:val="00F421E1"/>
    <w:rsid w:val="00F533A4"/>
    <w:rsid w:val="00F67E39"/>
    <w:rsid w:val="00F7379B"/>
    <w:rsid w:val="00FA03FB"/>
    <w:rsid w:val="00FB0FBC"/>
    <w:rsid w:val="00FB4DA8"/>
    <w:rsid w:val="00FB71F0"/>
    <w:rsid w:val="00FC3721"/>
    <w:rsid w:val="00FE04F5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2B5C5B-B235-4EEF-9036-C8B383F6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2535</Words>
  <Characters>14386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Paulette Etori</dc:creator>
  <cp:keywords/>
  <dc:description/>
  <cp:lastModifiedBy>Lina Janenaite</cp:lastModifiedBy>
  <cp:revision>2</cp:revision>
  <dcterms:created xsi:type="dcterms:W3CDTF">2016-03-14T20:34:00Z</dcterms:created>
  <dcterms:modified xsi:type="dcterms:W3CDTF">2016-03-14T20:34:00Z</dcterms:modified>
</cp:coreProperties>
</file>