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B8" w:rsidRDefault="00FE18B8">
      <w:pPr>
        <w:bidi/>
        <w:rPr>
          <w:rFonts w:ascii="Times New Roman" w:hAnsi="Times New Roman"/>
          <w:color w:val="auto"/>
          <w:rtl/>
        </w:rPr>
      </w:pPr>
      <w:bookmarkStart w:id="0" w:name="_GoBack"/>
      <w:bookmarkEnd w:id="0"/>
    </w:p>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4"/>
        <w:gridCol w:w="2247"/>
        <w:gridCol w:w="468"/>
        <w:gridCol w:w="1779"/>
        <w:gridCol w:w="843"/>
        <w:gridCol w:w="1217"/>
        <w:gridCol w:w="281"/>
        <w:gridCol w:w="936"/>
        <w:gridCol w:w="374"/>
        <w:gridCol w:w="936"/>
      </w:tblGrid>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2"/>
                <w:szCs w:val="2"/>
                <w:rtl/>
              </w:rPr>
            </w:pPr>
            <w:r>
              <w:rPr>
                <w:rFonts w:ascii="Times" w:hAnsi="Times"/>
                <w:color w:val="FFFFFF"/>
                <w:sz w:val="2"/>
                <w:szCs w:val="2"/>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jc w:val="center"/>
              <w:rPr>
                <w:rFonts w:ascii="Times New Roman" w:hAnsi="Times New Roman"/>
                <w:rtl/>
              </w:rPr>
            </w:pPr>
            <w:r>
              <w:rPr>
                <w:rFonts w:ascii="Times New Roman" w:hAnsi="Times New Roman" w:hint="cs"/>
                <w:b/>
                <w:bCs/>
                <w:rtl/>
              </w:rPr>
              <w:t>وثيقة معلومات المشروع</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jc w:val="center"/>
              <w:rPr>
                <w:rFonts w:ascii="Times New Roman" w:hAnsi="Times New Roman"/>
                <w:rtl/>
              </w:rPr>
            </w:pPr>
            <w:r>
              <w:rPr>
                <w:rFonts w:ascii="Times New Roman" w:hAnsi="Times New Roman" w:hint="cs"/>
                <w:b/>
                <w:bCs/>
                <w:rtl/>
              </w:rPr>
              <w:t>مرحلة تحديد المفاهيم</w:t>
            </w:r>
          </w:p>
        </w:tc>
      </w:tr>
      <w:tr w:rsidR="00FE18B8">
        <w:tc>
          <w:tcPr>
            <w:tcW w:w="8370"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jc w:val="right"/>
              <w:rPr>
                <w:rFonts w:ascii="Times New Roman" w:hAnsi="Times New Roman"/>
                <w:rtl/>
              </w:rPr>
            </w:pPr>
            <w:r>
              <w:rPr>
                <w:rFonts w:ascii="Times New Roman" w:hAnsi="Times New Roman" w:hint="cs"/>
                <w:rtl/>
              </w:rPr>
              <w:t xml:space="preserve">تقرير رقم: </w:t>
            </w:r>
            <w:r>
              <w:rPr>
                <w:rFonts w:ascii="Times New Roman" w:hAnsi="Times New Roman"/>
              </w:rPr>
              <w:t>PIDC20152</w:t>
            </w:r>
          </w:p>
        </w:tc>
        <w:tc>
          <w:tcPr>
            <w:tcW w:w="930"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2"/>
                <w:szCs w:val="2"/>
                <w:rtl/>
              </w:rPr>
            </w:pPr>
            <w:r>
              <w:rPr>
                <w:rFonts w:ascii="Times" w:hAnsi="Times"/>
                <w:color w:val="FFFFFF"/>
                <w:sz w:val="2"/>
                <w:szCs w:val="2"/>
              </w:rPr>
              <w:t>.</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اسم المشروع</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مشروع تحسين أداء قطاع الكهرباء في الضفة الغربية وغزة (</w:t>
            </w:r>
            <w:r>
              <w:rPr>
                <w:rFonts w:ascii="Times New Roman" w:hAnsi="Times New Roman"/>
                <w:sz w:val="22"/>
                <w:szCs w:val="22"/>
              </w:rPr>
              <w:t>P148600</w:t>
            </w:r>
            <w:r>
              <w:rPr>
                <w:rFonts w:ascii="Times New Roman" w:hAnsi="Times New Roman" w:hint="cs"/>
                <w:sz w:val="22"/>
                <w:szCs w:val="22"/>
                <w:rtl/>
              </w:rPr>
              <w:t>)</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المنطقة</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الشرق الأوسط وشمال أفريقيا</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البلد</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الضفة الغربية وقطاع غزة</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الرقم التعريفي للمشروع</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Pr>
            </w:pPr>
            <w:r>
              <w:rPr>
                <w:rFonts w:ascii="Times New Roman" w:hAnsi="Times New Roman"/>
                <w:sz w:val="22"/>
                <w:szCs w:val="22"/>
              </w:rPr>
              <w:t>P148600</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المقترض/المقترضون</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منظمة التحرير الفلسطينية (لصالح السلطة الفلسطينية)</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الهيئة المسؤولة عن إدارة التنفيذ</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 سلطة الطاقة والموارد الطبيعية الفلسطينية</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فئة التصنيف البيئي:</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باء-التقييم الجزئي</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تاريخ إعداد/تحديث وثيقة معلومات المشروع:</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07 فبراير/شباط -2017</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تاريخ الموافقة/الإفصاح عن وثيقة معلومات المشروع</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07 فبراير/شباط -2017</w:t>
            </w:r>
          </w:p>
        </w:tc>
      </w:tr>
      <w:tr w:rsidR="00FE18B8">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التاريخ التقديري لموافقة مجلس المديرين التنفيذيين</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23 مايو/أيار 2017</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hint="cs"/>
                <w:color w:val="FFFFFF"/>
                <w:sz w:val="8"/>
                <w:szCs w:val="8"/>
                <w:rtl/>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New Roman" w:hAnsi="Times New Roman"/>
                <w:rtl/>
              </w:rPr>
            </w:pPr>
            <w:r>
              <w:rPr>
                <w:rFonts w:ascii="Times New Roman" w:hAnsi="Times New Roman" w:hint="cs"/>
                <w:b/>
                <w:bCs/>
                <w:rtl/>
              </w:rPr>
              <w:t>أولا. المقدمة والسياق</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New Roman" w:hAnsi="Times New Roman"/>
                <w:color w:val="314F4F"/>
                <w:sz w:val="22"/>
                <w:szCs w:val="22"/>
                <w:rtl/>
              </w:rPr>
            </w:pPr>
            <w:r>
              <w:rPr>
                <w:rFonts w:ascii="Times New Roman" w:hAnsi="Times New Roman" w:hint="cs"/>
                <w:color w:val="314F4F"/>
                <w:sz w:val="22"/>
                <w:szCs w:val="22"/>
                <w:rtl/>
              </w:rPr>
              <w:t>السياق القطري</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1.</w:t>
            </w:r>
            <w:r>
              <w:rPr>
                <w:rFonts w:ascii="Times New Roman" w:hAnsi="Times New Roman" w:hint="cs"/>
                <w:sz w:val="22"/>
                <w:szCs w:val="22"/>
                <w:rtl/>
              </w:rPr>
              <w:tab/>
              <w:t xml:space="preserve">على الرغم من التعافي </w:t>
            </w:r>
            <w:r w:rsidR="00466820">
              <w:rPr>
                <w:rFonts w:ascii="Times New Roman" w:hAnsi="Times New Roman" w:hint="cs"/>
                <w:sz w:val="22"/>
                <w:szCs w:val="22"/>
                <w:rtl/>
              </w:rPr>
              <w:t>البطي</w:t>
            </w:r>
            <w:r w:rsidR="00466820">
              <w:rPr>
                <w:rFonts w:ascii="Times New Roman" w:hAnsi="Times New Roman" w:hint="eastAsia"/>
                <w:sz w:val="22"/>
                <w:szCs w:val="22"/>
                <w:rtl/>
              </w:rPr>
              <w:t>ء</w:t>
            </w:r>
            <w:r>
              <w:rPr>
                <w:rFonts w:ascii="Times New Roman" w:hAnsi="Times New Roman" w:hint="cs"/>
                <w:sz w:val="22"/>
                <w:szCs w:val="22"/>
                <w:rtl/>
              </w:rPr>
              <w:t xml:space="preserve"> الذي جاء بعد كساد 2014، لا تزال آفاق الاقتصاد الفلسطيني ملبدة بالغيوم.</w:t>
            </w:r>
            <w:r w:rsidR="00466820">
              <w:rPr>
                <w:rFonts w:ascii="Times New Roman" w:hAnsi="Times New Roman" w:hint="cs"/>
                <w:sz w:val="22"/>
                <w:szCs w:val="22"/>
                <w:rtl/>
              </w:rPr>
              <w:t xml:space="preserve"> </w:t>
            </w:r>
            <w:r>
              <w:rPr>
                <w:rFonts w:ascii="Times New Roman" w:hAnsi="Times New Roman" w:hint="cs"/>
                <w:sz w:val="22"/>
                <w:szCs w:val="22"/>
                <w:rtl/>
              </w:rPr>
              <w:t>وتشير التوقعات إلى أن معدلات نمو الاقتصاد الفلسطيني ستكون حول 3.5% على المدى المتوسط.</w:t>
            </w:r>
            <w:r w:rsidR="00466820">
              <w:rPr>
                <w:rFonts w:ascii="Times New Roman" w:hAnsi="Times New Roman" w:hint="cs"/>
                <w:sz w:val="22"/>
                <w:szCs w:val="22"/>
                <w:rtl/>
              </w:rPr>
              <w:t xml:space="preserve"> </w:t>
            </w:r>
            <w:r>
              <w:rPr>
                <w:rFonts w:ascii="Times New Roman" w:hAnsi="Times New Roman" w:hint="cs"/>
                <w:sz w:val="22"/>
                <w:szCs w:val="22"/>
                <w:rtl/>
              </w:rPr>
              <w:t>وعلى ضوء الزيادة الكبيرة في النمو السكاني في المناطق الفلسطينية، فإن ذلك ينطوي على شبه جمود في نصيب الفرد من الدخل.</w:t>
            </w:r>
            <w:r w:rsidR="00466820">
              <w:rPr>
                <w:rFonts w:ascii="Times New Roman" w:hAnsi="Times New Roman" w:hint="cs"/>
                <w:sz w:val="22"/>
                <w:szCs w:val="22"/>
                <w:rtl/>
              </w:rPr>
              <w:t xml:space="preserve"> </w:t>
            </w:r>
            <w:r>
              <w:rPr>
                <w:rFonts w:ascii="Times New Roman" w:hAnsi="Times New Roman" w:hint="cs"/>
                <w:sz w:val="22"/>
                <w:szCs w:val="22"/>
                <w:rtl/>
              </w:rPr>
              <w:t xml:space="preserve">ولم يستطع النشاط الاقتصادي أن يخلق فرص عمل كافية، وهو ما أدى إلى معدلات بطالة شديدة بلغت 27% في 2016 (18% في الضفة الغربية، و42% في قطاع غزة)، وذلك على الرغم من الخطوات التي اتخذتها إسرائيل مؤخرًا لزيادة عدد تصاريح العمل لفلسطيني الضفة الغربية. وتراجعت القدرات الإنتاجية للاقتصاد الفلسطيني بمرور السنين مع تراجع كبير في حجم الصناعات التحويلية والنشاط الزراعي.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2.</w:t>
            </w:r>
            <w:r>
              <w:rPr>
                <w:rFonts w:ascii="Times New Roman" w:hAnsi="Times New Roman" w:hint="cs"/>
                <w:sz w:val="22"/>
                <w:szCs w:val="22"/>
                <w:rtl/>
              </w:rPr>
              <w:tab/>
              <w:t>يتطلب الموقف الحالي الذي يتسم بالحساسية بذل جهود مجددًا من جانب المانحين والسلطة الفلسطينية وحكومة إسرائيل.</w:t>
            </w:r>
            <w:r w:rsidR="00466820">
              <w:rPr>
                <w:rFonts w:ascii="Times New Roman" w:hAnsi="Times New Roman" w:hint="cs"/>
                <w:sz w:val="22"/>
                <w:szCs w:val="22"/>
                <w:rtl/>
              </w:rPr>
              <w:t xml:space="preserve"> </w:t>
            </w:r>
            <w:r>
              <w:rPr>
                <w:rFonts w:ascii="Times New Roman" w:hAnsi="Times New Roman" w:hint="cs"/>
                <w:sz w:val="22"/>
                <w:szCs w:val="22"/>
                <w:rtl/>
              </w:rPr>
              <w:t>وريثما يتم التوصل إلى اتفاق سلام دائم، سيكون أداء الاقتصاد الفلسطيني أدنى من إمكاناته الكامنة، وسيؤثر ذلك على الأداء الاقتصادي وأداء المالية العامة.</w:t>
            </w:r>
            <w:r w:rsidR="00466820">
              <w:rPr>
                <w:rFonts w:ascii="Times New Roman" w:hAnsi="Times New Roman" w:hint="cs"/>
                <w:sz w:val="22"/>
                <w:szCs w:val="22"/>
                <w:rtl/>
              </w:rPr>
              <w:t xml:space="preserve"> </w:t>
            </w:r>
            <w:r>
              <w:rPr>
                <w:rFonts w:ascii="Times New Roman" w:hAnsi="Times New Roman" w:hint="cs"/>
                <w:sz w:val="22"/>
                <w:szCs w:val="22"/>
                <w:rtl/>
              </w:rPr>
              <w:t>وأيًا ما كان الأمر، وحتى من دون اتفاق سلام نهائي، سيكون هناك مجال لبذل المزيد من الجهود لتعزيز أداء الاقتصاد الفلسطيني وتحسين موقف المالية العامة.</w:t>
            </w:r>
            <w:r w:rsidR="00466820">
              <w:rPr>
                <w:rFonts w:ascii="Times New Roman" w:hAnsi="Times New Roman" w:hint="cs"/>
                <w:sz w:val="22"/>
                <w:szCs w:val="22"/>
                <w:rtl/>
              </w:rPr>
              <w:t xml:space="preserve"> </w:t>
            </w:r>
            <w:r>
              <w:rPr>
                <w:rFonts w:ascii="Times New Roman" w:hAnsi="Times New Roman" w:hint="cs"/>
                <w:sz w:val="22"/>
                <w:szCs w:val="22"/>
                <w:rtl/>
              </w:rPr>
              <w:t xml:space="preserve">وهناك حاجة إلى زيادة مساندة المانحين والإصلاحات المستمرة التي تقودها السلطة الفلسطينية لضمان تحسين القدرة على المنافسة واستدامة المالية العامة للاقتصاد الفلسطيني بمرور الوقت.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3.</w:t>
            </w:r>
            <w:r>
              <w:rPr>
                <w:rFonts w:ascii="Times New Roman" w:hAnsi="Times New Roman" w:hint="cs"/>
                <w:sz w:val="22"/>
                <w:szCs w:val="22"/>
                <w:rtl/>
              </w:rPr>
              <w:tab/>
              <w:t>من الممكن أن تؤدي الإجراءات التي تتخذها حكومة إسرائيل لمساعدة نشاط القطاع الخاص الفلسطيني وزيادة معدلات التوظيف إلى تخفيف الضغوط الناجمة عن الركود الاقتصادي بصورة كبيرة.</w:t>
            </w:r>
            <w:r w:rsidR="00466820">
              <w:rPr>
                <w:rFonts w:ascii="Times New Roman" w:hAnsi="Times New Roman" w:hint="cs"/>
                <w:sz w:val="22"/>
                <w:szCs w:val="22"/>
                <w:rtl/>
              </w:rPr>
              <w:t xml:space="preserve"> </w:t>
            </w:r>
            <w:r>
              <w:rPr>
                <w:rFonts w:ascii="Times New Roman" w:hAnsi="Times New Roman" w:hint="cs"/>
                <w:sz w:val="22"/>
                <w:szCs w:val="22"/>
                <w:rtl/>
              </w:rPr>
              <w:t>وقد كانت القيود هي المعوق الرئيسي أمام قدرة الاقتصاد الفلسطيني على المنافسة، كما أدت إلى تراجع مستويات الاستثمارات الخاصة لتكون من بين أدنى المستويات على مستوى العالم. وتعتبر القيود في المنطقة "ج" من بين العوامل الأشد إعاقة للنمو الاقتصادي، وقد أشار تحليل للبنك الدولي إلى أن الوصول إلى المنطقة "ج" من الممكن أن يعمل على زيادة إجمالي الناتج المحلي الفلسطيني بنسبة 35%، ومن المتوقع أن يؤدي إلى زيادة قدرها 35% في معدلات التوظيف.</w:t>
            </w:r>
            <w:r w:rsidR="00466820">
              <w:rPr>
                <w:rFonts w:ascii="Times New Roman" w:hAnsi="Times New Roman" w:hint="cs"/>
                <w:sz w:val="22"/>
                <w:szCs w:val="22"/>
                <w:rtl/>
              </w:rPr>
              <w:t xml:space="preserve"> </w:t>
            </w:r>
            <w:r>
              <w:rPr>
                <w:rFonts w:ascii="Times New Roman" w:hAnsi="Times New Roman" w:hint="cs"/>
                <w:sz w:val="22"/>
                <w:szCs w:val="22"/>
                <w:rtl/>
              </w:rPr>
              <w:t xml:space="preserve">وتشير تقديرات البنك الدولي إلى أن الخسارة في إجمالي الناتج المحلي في غزة منذ حصار 2007 تتجاوز 50%، بالإضافة إلى خسائر كبرى في معدلات الرفاهية.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4.</w:t>
            </w:r>
            <w:r>
              <w:rPr>
                <w:rFonts w:ascii="Times New Roman" w:hAnsi="Times New Roman" w:hint="cs"/>
                <w:sz w:val="22"/>
                <w:szCs w:val="22"/>
                <w:rtl/>
              </w:rPr>
              <w:tab/>
              <w:t>هناك تقدم يجري إحرازه بشأن إعادة إعمار قطاع غزة بعد صراع 2014 مع إسرائيل، لكن ثمة حاجة إلى تسريع وتيرة هذا التقدم.</w:t>
            </w:r>
            <w:r w:rsidR="00466820">
              <w:rPr>
                <w:rFonts w:ascii="Times New Roman" w:hAnsi="Times New Roman" w:hint="cs"/>
                <w:sz w:val="22"/>
                <w:szCs w:val="22"/>
                <w:rtl/>
              </w:rPr>
              <w:t xml:space="preserve"> </w:t>
            </w:r>
            <w:r>
              <w:rPr>
                <w:rFonts w:ascii="Times New Roman" w:hAnsi="Times New Roman" w:hint="cs"/>
                <w:sz w:val="22"/>
                <w:szCs w:val="22"/>
                <w:rtl/>
              </w:rPr>
              <w:t xml:space="preserve">ولم يتم صرف سوى 46% من قيمة تعهدات المانحين البالغة 3.5 مليار دولار والتي تم الإعلان عنها في مؤتمر القاهرة الذي </w:t>
            </w:r>
            <w:r>
              <w:rPr>
                <w:rFonts w:ascii="Times New Roman" w:hAnsi="Times New Roman" w:hint="cs"/>
                <w:sz w:val="22"/>
                <w:szCs w:val="22"/>
                <w:rtl/>
              </w:rPr>
              <w:lastRenderedPageBreak/>
              <w:t>عُقد في أكتوبر/تشرين الأول 2014.</w:t>
            </w:r>
            <w:r w:rsidR="00466820">
              <w:rPr>
                <w:rFonts w:ascii="Times New Roman" w:hAnsi="Times New Roman" w:hint="cs"/>
                <w:sz w:val="22"/>
                <w:szCs w:val="22"/>
                <w:rtl/>
              </w:rPr>
              <w:t xml:space="preserve"> </w:t>
            </w:r>
            <w:r>
              <w:rPr>
                <w:rFonts w:ascii="Times New Roman" w:hAnsi="Times New Roman" w:hint="cs"/>
                <w:sz w:val="22"/>
                <w:szCs w:val="22"/>
                <w:rtl/>
              </w:rPr>
              <w:t>وثمة حاجة إلى تسريع وتيرة دخول المواد في قطاع غزة، لا سيما نظرًا لتحول مسار الجهود نحو مشروعات التعافي والإنعاش طويلة الأجل.</w:t>
            </w:r>
            <w:r w:rsidR="00466820">
              <w:rPr>
                <w:rFonts w:ascii="Times New Roman" w:hAnsi="Times New Roman" w:hint="cs"/>
                <w:sz w:val="22"/>
                <w:szCs w:val="22"/>
                <w:rtl/>
              </w:rPr>
              <w:t xml:space="preserve"> </w:t>
            </w:r>
            <w:r>
              <w:rPr>
                <w:rFonts w:ascii="Times New Roman" w:hAnsi="Times New Roman" w:hint="cs"/>
                <w:sz w:val="22"/>
                <w:szCs w:val="22"/>
                <w:rtl/>
              </w:rPr>
              <w:t>واتسمت آلية إعادة إعمار غزة بأنها فعالة إلى حد ما في تسهيل دخول المواد من أجل إصلاحات المنازل الصغيرة، وزيادة شفافية عملية الفحص والمراجعة والموافقة.</w:t>
            </w:r>
            <w:r w:rsidR="00466820">
              <w:rPr>
                <w:rFonts w:ascii="Times New Roman" w:hAnsi="Times New Roman" w:hint="cs"/>
                <w:sz w:val="22"/>
                <w:szCs w:val="22"/>
                <w:rtl/>
              </w:rPr>
              <w:t xml:space="preserve"> </w:t>
            </w:r>
            <w:r>
              <w:rPr>
                <w:rFonts w:ascii="Times New Roman" w:hAnsi="Times New Roman" w:hint="cs"/>
                <w:sz w:val="22"/>
                <w:szCs w:val="22"/>
                <w:rtl/>
              </w:rPr>
              <w:t xml:space="preserve">لكن مع ذلك، يُلاحظ أن مشروعات البنية التحتية الأكثر تعقيدًا تواجه تأخيرات طويلة حسب نوعية المواد والمعدات المطلوبة. </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color w:val="314F4F"/>
                <w:sz w:val="22"/>
                <w:szCs w:val="22"/>
                <w:rtl/>
              </w:rPr>
            </w:pPr>
            <w:r>
              <w:rPr>
                <w:rFonts w:ascii="Times New Roman" w:hAnsi="Times New Roman" w:hint="cs"/>
                <w:color w:val="314F4F"/>
                <w:sz w:val="22"/>
                <w:szCs w:val="22"/>
                <w:rtl/>
              </w:rPr>
              <w:t>السياق القطاعي والمؤسسي</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5.</w:t>
            </w:r>
            <w:r>
              <w:rPr>
                <w:rFonts w:ascii="Times New Roman" w:hAnsi="Times New Roman" w:hint="cs"/>
                <w:sz w:val="22"/>
                <w:szCs w:val="22"/>
                <w:rtl/>
              </w:rPr>
              <w:tab/>
              <w:t>على مدى العشرين سنة الماضية، أدت عملية الإصلاح المستدامة المدعومة من مجتمع المانحين إلى تحسين وتعزيز منظومة قطاع الطاقة الفلسطيني بعدما كانت تتسم بالتفتت والارتكاز إلى البلديات لتصبح نموذج المشتري الأوحد الذي يتسم بالمزيد من الكفاءة.</w:t>
            </w:r>
            <w:r w:rsidR="00466820">
              <w:rPr>
                <w:rFonts w:ascii="Times New Roman" w:hAnsi="Times New Roman" w:hint="cs"/>
                <w:sz w:val="22"/>
                <w:szCs w:val="22"/>
                <w:rtl/>
              </w:rPr>
              <w:t xml:space="preserve"> و</w:t>
            </w:r>
            <w:r>
              <w:rPr>
                <w:rFonts w:ascii="Times New Roman" w:hAnsi="Times New Roman" w:hint="cs"/>
                <w:sz w:val="22"/>
                <w:szCs w:val="22"/>
                <w:rtl/>
              </w:rPr>
              <w:t>تم إنشاء سلطة الطاقة والموارد الطبيعية الفلسطينية في 1995، وتم تدعيم نطاق اختصاصها مع الموافقة على خطاب 1997 المعني بسياسة هذا القطاع،</w:t>
            </w:r>
            <w:r w:rsidR="00466820">
              <w:rPr>
                <w:rFonts w:ascii="Times New Roman" w:hAnsi="Times New Roman" w:hint="cs"/>
                <w:sz w:val="22"/>
                <w:szCs w:val="22"/>
                <w:rtl/>
              </w:rPr>
              <w:t xml:space="preserve"> </w:t>
            </w:r>
            <w:r>
              <w:rPr>
                <w:rFonts w:ascii="Times New Roman" w:hAnsi="Times New Roman" w:hint="cs"/>
                <w:sz w:val="22"/>
                <w:szCs w:val="22"/>
                <w:rtl/>
              </w:rPr>
              <w:t>والذي سلط الضوء على الإصلاحات المؤسسية الأساسية التي يتطلبها هذا القطاع.</w:t>
            </w:r>
            <w:r w:rsidR="00466820">
              <w:rPr>
                <w:rFonts w:ascii="Times New Roman" w:hAnsi="Times New Roman" w:hint="cs"/>
                <w:sz w:val="22"/>
                <w:szCs w:val="22"/>
                <w:rtl/>
              </w:rPr>
              <w:t xml:space="preserve"> </w:t>
            </w:r>
            <w:r>
              <w:rPr>
                <w:rFonts w:ascii="Times New Roman" w:hAnsi="Times New Roman" w:hint="cs"/>
                <w:sz w:val="22"/>
                <w:szCs w:val="22"/>
                <w:rtl/>
              </w:rPr>
              <w:t>وأدى هذا الإصلاح إلى تجميع خدمات توزيع الكهرباء التي يقدمها العديد من البلديات ومجالس القرى المفتتة في شركات توزيع أكبر حجمًا للاستفادة من وفورات الحجم.</w:t>
            </w:r>
            <w:r w:rsidR="00466820">
              <w:rPr>
                <w:rFonts w:ascii="Times New Roman" w:hAnsi="Times New Roman" w:hint="cs"/>
                <w:sz w:val="22"/>
                <w:szCs w:val="22"/>
                <w:rtl/>
              </w:rPr>
              <w:t xml:space="preserve"> </w:t>
            </w:r>
            <w:r>
              <w:rPr>
                <w:rFonts w:ascii="Times New Roman" w:hAnsi="Times New Roman" w:hint="cs"/>
                <w:sz w:val="22"/>
                <w:szCs w:val="22"/>
                <w:rtl/>
              </w:rPr>
              <w:t>ويوجد حاليًا 6 شركات توزيع (5 في الضفة الغربية وواحدة في غزة).</w:t>
            </w:r>
            <w:r w:rsidR="00466820">
              <w:rPr>
                <w:rFonts w:ascii="Times New Roman" w:hAnsi="Times New Roman" w:hint="cs"/>
                <w:sz w:val="22"/>
                <w:szCs w:val="22"/>
                <w:rtl/>
              </w:rPr>
              <w:t xml:space="preserve"> </w:t>
            </w:r>
            <w:r>
              <w:rPr>
                <w:rFonts w:ascii="Times New Roman" w:hAnsi="Times New Roman" w:hint="cs"/>
                <w:sz w:val="22"/>
                <w:szCs w:val="22"/>
                <w:rtl/>
              </w:rPr>
              <w:t>وأيًا ما كان الأمر، لا يزال هناك 150 من البلديات ومجالس القرى التي يتوجب عليها تحويل خدمات الكهرباء الخاصة بها إلى شركات التوزيع نظرًا لأنها تستخدم الإيرادات من فواتير الكهرباء لدعم الخدمات البلدية الأخرى.</w:t>
            </w:r>
            <w:r w:rsidR="00466820">
              <w:rPr>
                <w:rFonts w:ascii="Times New Roman" w:hAnsi="Times New Roman" w:hint="cs"/>
                <w:sz w:val="22"/>
                <w:szCs w:val="22"/>
                <w:rtl/>
              </w:rPr>
              <w:t xml:space="preserve"> </w:t>
            </w:r>
            <w:r>
              <w:rPr>
                <w:rFonts w:ascii="Times New Roman" w:hAnsi="Times New Roman" w:hint="cs"/>
                <w:sz w:val="22"/>
                <w:szCs w:val="22"/>
                <w:rtl/>
              </w:rPr>
              <w:t>وفي 2009، تم إنشاء مجلس تنظيم قطاع الكهرباء الفلسطيني وتمثل نطاق اختصاصه في تنظيم ومراقبة قطاع الطاقة.</w:t>
            </w:r>
            <w:r w:rsidR="00466820">
              <w:rPr>
                <w:rFonts w:ascii="Times New Roman" w:hAnsi="Times New Roman" w:hint="cs"/>
                <w:sz w:val="22"/>
                <w:szCs w:val="22"/>
                <w:rtl/>
              </w:rPr>
              <w:t xml:space="preserve"> </w:t>
            </w:r>
            <w:r>
              <w:rPr>
                <w:rFonts w:ascii="Times New Roman" w:hAnsi="Times New Roman" w:hint="cs"/>
                <w:sz w:val="22"/>
                <w:szCs w:val="22"/>
                <w:rtl/>
              </w:rPr>
              <w:t>وفي 2013، تم إنشاء شركة النقل الوطنية للكهرباء</w:t>
            </w:r>
            <w:r w:rsidR="00466820">
              <w:rPr>
                <w:rFonts w:ascii="Times New Roman" w:hAnsi="Times New Roman" w:hint="cs"/>
                <w:sz w:val="22"/>
                <w:szCs w:val="22"/>
                <w:rtl/>
              </w:rPr>
              <w:t xml:space="preserve"> </w:t>
            </w:r>
            <w:r>
              <w:rPr>
                <w:rFonts w:ascii="Times New Roman" w:hAnsi="Times New Roman" w:hint="cs"/>
                <w:sz w:val="22"/>
                <w:szCs w:val="22"/>
                <w:rtl/>
              </w:rPr>
              <w:t xml:space="preserve">وتمثل نطاق اختصاصها في أن تكون المشتري الأوحد ومشغل شبكة النقل لقطاع الطاقة الفلسطيني.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6.</w:t>
            </w:r>
            <w:r>
              <w:rPr>
                <w:rFonts w:ascii="Times New Roman" w:hAnsi="Times New Roman" w:hint="cs"/>
                <w:sz w:val="22"/>
                <w:szCs w:val="22"/>
                <w:rtl/>
              </w:rPr>
              <w:tab/>
              <w:t>أدى صافي الإقراض الذي تسبب فيه قطاع الكهرباء إلى نزف حوالي 13% من إيرادات الحكومة.</w:t>
            </w:r>
            <w:r w:rsidR="00466820">
              <w:rPr>
                <w:rFonts w:ascii="Times New Roman" w:hAnsi="Times New Roman" w:hint="cs"/>
                <w:sz w:val="22"/>
                <w:szCs w:val="22"/>
                <w:rtl/>
              </w:rPr>
              <w:t xml:space="preserve"> </w:t>
            </w:r>
            <w:r>
              <w:rPr>
                <w:rFonts w:ascii="Times New Roman" w:hAnsi="Times New Roman" w:hint="cs"/>
                <w:sz w:val="22"/>
                <w:szCs w:val="22"/>
                <w:rtl/>
              </w:rPr>
              <w:t>وقد تحملت السلطة الفلسطينية لسنوات الآثار التي لحقت بأوضاع المالية العامة بسبب عدم قيام شركات التوزيع والبلديات ومجالس القرى بدفع مستحقات شركة كهرباء إسرائيل.</w:t>
            </w:r>
            <w:r w:rsidR="00466820">
              <w:rPr>
                <w:rFonts w:ascii="Times New Roman" w:hAnsi="Times New Roman" w:hint="cs"/>
                <w:sz w:val="22"/>
                <w:szCs w:val="22"/>
                <w:rtl/>
              </w:rPr>
              <w:t xml:space="preserve"> </w:t>
            </w:r>
            <w:r>
              <w:rPr>
                <w:rFonts w:ascii="Times New Roman" w:hAnsi="Times New Roman" w:hint="cs"/>
                <w:sz w:val="22"/>
                <w:szCs w:val="22"/>
                <w:rtl/>
              </w:rPr>
              <w:t>وفي 2014، قام البنك الدولي بدراسة تفصيلية لفهم أسباب صافي الإقراض على نحو أفضل،</w:t>
            </w:r>
            <w:r w:rsidR="00466820">
              <w:rPr>
                <w:rFonts w:ascii="Times New Roman" w:hAnsi="Times New Roman" w:hint="cs"/>
                <w:sz w:val="22"/>
                <w:szCs w:val="22"/>
                <w:rtl/>
              </w:rPr>
              <w:t xml:space="preserve"> </w:t>
            </w:r>
            <w:r>
              <w:rPr>
                <w:rFonts w:ascii="Times New Roman" w:hAnsi="Times New Roman" w:hint="cs"/>
                <w:sz w:val="22"/>
                <w:szCs w:val="22"/>
                <w:rtl/>
              </w:rPr>
              <w:t xml:space="preserve">وخلص إلى أن عدم الشفافية، وضعف الحوكمة، وضعف أداء القطاع وعوامل سياسية هي التي أدت إلى ذلك.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7.</w:t>
            </w:r>
            <w:r>
              <w:rPr>
                <w:rFonts w:ascii="Times New Roman" w:hAnsi="Times New Roman" w:hint="cs"/>
                <w:sz w:val="22"/>
                <w:szCs w:val="22"/>
                <w:rtl/>
              </w:rPr>
              <w:tab/>
              <w:t>تم تأخير توحيد ودمج وتدعيم شركة النقل الوطنية للكهرباء كمشتر أوحد وطرف أساسي في هذا القطاع</w:t>
            </w:r>
            <w:r w:rsidR="00466820">
              <w:rPr>
                <w:rFonts w:ascii="Times New Roman" w:hAnsi="Times New Roman" w:hint="cs"/>
                <w:sz w:val="22"/>
                <w:szCs w:val="22"/>
                <w:rtl/>
              </w:rPr>
              <w:t xml:space="preserve"> </w:t>
            </w:r>
            <w:r>
              <w:rPr>
                <w:rFonts w:ascii="Times New Roman" w:hAnsi="Times New Roman" w:hint="cs"/>
                <w:sz w:val="22"/>
                <w:szCs w:val="22"/>
                <w:rtl/>
              </w:rPr>
              <w:t>بسبب تراكم الديون الكثيرة المستحقة على شركات توزيع الكهرباء الفلسطينية لشركة كهرباء إسرائيل، والتي بلغ مجموعها 534 مليون دولار (2.03 مليار شيكل إسرائيلي).</w:t>
            </w:r>
            <w:r w:rsidR="00466820">
              <w:rPr>
                <w:rFonts w:ascii="Times New Roman" w:hAnsi="Times New Roman" w:hint="cs"/>
                <w:sz w:val="22"/>
                <w:szCs w:val="22"/>
                <w:rtl/>
              </w:rPr>
              <w:t xml:space="preserve"> </w:t>
            </w:r>
            <w:r>
              <w:rPr>
                <w:rFonts w:ascii="Times New Roman" w:hAnsi="Times New Roman" w:hint="cs"/>
                <w:sz w:val="22"/>
                <w:szCs w:val="22"/>
                <w:rtl/>
              </w:rPr>
              <w:t>وتتعامل شركة كهرباء إسرائيل حاليًا بصورة مباشرة مع شركات التوزيع الفلسطينية (6 شركات توزيع، و150 بلدية ومجلس قرية) التي تبيع الطاقة الكهربائية وتقوم بتحصيل المدفوعات فيما يزيد على 280 نقطة توصيل.</w:t>
            </w:r>
            <w:r w:rsidR="00466820">
              <w:rPr>
                <w:rFonts w:ascii="Times New Roman" w:hAnsi="Times New Roman" w:hint="cs"/>
                <w:sz w:val="22"/>
                <w:szCs w:val="22"/>
                <w:rtl/>
              </w:rPr>
              <w:t xml:space="preserve"> </w:t>
            </w:r>
            <w:r>
              <w:rPr>
                <w:rFonts w:ascii="Times New Roman" w:hAnsi="Times New Roman" w:hint="cs"/>
                <w:sz w:val="22"/>
                <w:szCs w:val="22"/>
                <w:rtl/>
              </w:rPr>
              <w:t>وحتى يتسنى الحد من عدد المعاملات الثنائية بين شركة كهرباء إسرائيل ومقدمي الخدمات الفلسطينيين، تم إنشاء شركة النقل الوطنية للكهرباء</w:t>
            </w:r>
            <w:r w:rsidR="00466820">
              <w:rPr>
                <w:rFonts w:ascii="Times New Roman" w:hAnsi="Times New Roman" w:hint="cs"/>
                <w:sz w:val="22"/>
                <w:szCs w:val="22"/>
                <w:rtl/>
              </w:rPr>
              <w:t xml:space="preserve"> </w:t>
            </w:r>
            <w:r>
              <w:rPr>
                <w:rFonts w:ascii="Times New Roman" w:hAnsi="Times New Roman" w:hint="cs"/>
                <w:sz w:val="22"/>
                <w:szCs w:val="22"/>
                <w:rtl/>
              </w:rPr>
              <w:t>في 2013 لتكون المشتري الأوحد للكهرباء بهدف شراء الطاقة الكهربائية من الموردين، أي من شركة كهرباء إسرائيل، ومنتجي الكهرباء المستقلين في المستقبل، ومصر، والأردن، وتوزيعها على شركات التوزيع الفلسطينية التي تقوم بدورها بتوزيعها على المستهلك النهائي.</w:t>
            </w:r>
            <w:r w:rsidR="00466820">
              <w:rPr>
                <w:rFonts w:ascii="Times New Roman" w:hAnsi="Times New Roman" w:hint="cs"/>
                <w:sz w:val="22"/>
                <w:szCs w:val="22"/>
                <w:rtl/>
              </w:rPr>
              <w:t xml:space="preserve"> </w:t>
            </w:r>
            <w:r>
              <w:rPr>
                <w:rFonts w:ascii="Times New Roman" w:hAnsi="Times New Roman" w:hint="cs"/>
                <w:sz w:val="22"/>
                <w:szCs w:val="22"/>
                <w:rtl/>
              </w:rPr>
              <w:t xml:space="preserve">وبناء عليه، ستكون هناك قناة واحدة معنية بمعاملات الطاقة الكهربائية بين إسرائيل والسلطة الفلسطينية، وسيكون مقدمو الخدمات الفلسطينيون مسؤولين أمام </w:t>
            </w:r>
            <w:r w:rsidR="00466820">
              <w:rPr>
                <w:rFonts w:ascii="Times New Roman" w:hAnsi="Times New Roman" w:hint="cs"/>
                <w:sz w:val="22"/>
                <w:szCs w:val="22"/>
                <w:rtl/>
              </w:rPr>
              <w:t>كيان واحد في نطاق حكوماتهم. و</w:t>
            </w:r>
            <w:r>
              <w:rPr>
                <w:rFonts w:ascii="Times New Roman" w:hAnsi="Times New Roman" w:hint="cs"/>
                <w:sz w:val="22"/>
                <w:szCs w:val="22"/>
                <w:rtl/>
              </w:rPr>
              <w:t>تم اكتمال العدد اللازم من الموظفين لشركة النقل الوطنية للكهرباء وهي تعمل الآن بكامل طاقتها بفضل مساندة البنك الدولي والمانحين الآخرين التي تمثلت في تقديم التمويل اللازم في هذه الفترة المؤقتة.</w:t>
            </w:r>
            <w:r w:rsidR="00466820">
              <w:rPr>
                <w:rFonts w:ascii="Times New Roman" w:hAnsi="Times New Roman" w:hint="cs"/>
                <w:sz w:val="22"/>
                <w:szCs w:val="22"/>
                <w:rtl/>
              </w:rPr>
              <w:t xml:space="preserve"> </w:t>
            </w:r>
            <w:r>
              <w:rPr>
                <w:rFonts w:ascii="Times New Roman" w:hAnsi="Times New Roman" w:hint="cs"/>
                <w:sz w:val="22"/>
                <w:szCs w:val="22"/>
                <w:rtl/>
              </w:rPr>
              <w:t>واشترطت شركة كهرباء إسرائيل تسوية ديون الكهرباء المستحقة الكبيرة على الفلسطينيين بإدخال أي تحسينات إضافية في قطاع الكهرباء الفلسطيني، ويشمل ذلك تزويد محطتين فرعيتين عاليتي الجهد بالطاقة لتمهيد الطريق أمام تحقيق الاستدامة المالية</w:t>
            </w:r>
            <w:r w:rsidR="00466820">
              <w:rPr>
                <w:rFonts w:ascii="Times New Roman" w:hAnsi="Times New Roman" w:hint="cs"/>
                <w:sz w:val="22"/>
                <w:szCs w:val="22"/>
                <w:rtl/>
              </w:rPr>
              <w:t xml:space="preserve"> </w:t>
            </w:r>
            <w:r>
              <w:rPr>
                <w:rFonts w:ascii="Times New Roman" w:hAnsi="Times New Roman" w:hint="cs"/>
                <w:sz w:val="22"/>
                <w:szCs w:val="22"/>
                <w:rtl/>
              </w:rPr>
              <w:t>لشركة النقل الوطنية للكهرباء.</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8.</w:t>
            </w:r>
            <w:r>
              <w:rPr>
                <w:rFonts w:ascii="Times New Roman" w:hAnsi="Times New Roman" w:hint="cs"/>
                <w:sz w:val="22"/>
                <w:szCs w:val="22"/>
                <w:rtl/>
              </w:rPr>
              <w:tab/>
              <w:t>وقعت حكومة إسرائيل والسلطة الفلسطينية في 13 سبتمبر/أيلول 2016 اتفاقية لتسوية ديون الكهرباء السابقة، واتفقتا على مبادئ عامة بشأن سوق الطاقة الفلسطيني في المستقبل.</w:t>
            </w:r>
            <w:r w:rsidR="00466820">
              <w:rPr>
                <w:rFonts w:ascii="Times New Roman" w:hAnsi="Times New Roman" w:hint="cs"/>
                <w:sz w:val="22"/>
                <w:szCs w:val="22"/>
                <w:rtl/>
              </w:rPr>
              <w:t xml:space="preserve"> </w:t>
            </w:r>
            <w:r>
              <w:rPr>
                <w:rFonts w:ascii="Times New Roman" w:hAnsi="Times New Roman" w:hint="cs"/>
                <w:sz w:val="22"/>
                <w:szCs w:val="22"/>
                <w:rtl/>
              </w:rPr>
              <w:t>وتؤكد هذه الاتفاقية على دور</w:t>
            </w:r>
            <w:r w:rsidR="00466820">
              <w:rPr>
                <w:rFonts w:ascii="Times New Roman" w:hAnsi="Times New Roman" w:hint="cs"/>
                <w:sz w:val="22"/>
                <w:szCs w:val="22"/>
                <w:rtl/>
              </w:rPr>
              <w:t xml:space="preserve"> </w:t>
            </w:r>
            <w:r>
              <w:rPr>
                <w:rFonts w:ascii="Times New Roman" w:hAnsi="Times New Roman" w:hint="cs"/>
                <w:sz w:val="22"/>
                <w:szCs w:val="22"/>
                <w:rtl/>
              </w:rPr>
              <w:t>شركة النقل الوطنية للكهرباء كمشتر أوحد للكهرباء في المناطق الفلسطينية. وسيتم تنظيم العلاقة التجارية بين شركة كهرباء إسرائيل وشركة النقل الوطنية للكهرباء من خلال اتفاقية لشراء الطاقة الكهربائية يتم توقيعها في غضون 6 شهور من التوقيع على هذه الاتفاقية المشار إليها أعلاه (31 مارس/آذار 2017).</w:t>
            </w:r>
            <w:r w:rsidR="00466820">
              <w:rPr>
                <w:rFonts w:ascii="Times New Roman" w:hAnsi="Times New Roman" w:hint="cs"/>
                <w:sz w:val="22"/>
                <w:szCs w:val="22"/>
                <w:rtl/>
              </w:rPr>
              <w:t xml:space="preserve"> </w:t>
            </w:r>
            <w:r>
              <w:rPr>
                <w:rFonts w:ascii="Times New Roman" w:hAnsi="Times New Roman" w:hint="cs"/>
                <w:sz w:val="22"/>
                <w:szCs w:val="22"/>
                <w:rtl/>
              </w:rPr>
              <w:t xml:space="preserve">وبالإضافة إلى ذلك، سيتم التزويد بالطاقة لما يبلغ 4 محطات فرعية ذات جهد عال قام بنك الاستثمار الأوروبي بتمويلها وقامت شركة كهرباء إسرائيل ببنائها في الضفة الغربية، وهو ما يؤدي إلى زيادة إمدادات الكهرباء بصورة كبيرة والحد من الخسائر والفاقد. </w:t>
            </w:r>
          </w:p>
          <w:p w:rsidR="00FE18B8" w:rsidRDefault="00FE18B8" w:rsidP="00466820">
            <w:pPr>
              <w:jc w:val="both"/>
              <w:rPr>
                <w:rFonts w:ascii="Times New Roman" w:hAnsi="Times New Roman" w:cs="Times New Roman"/>
                <w:sz w:val="22"/>
                <w:szCs w:val="22"/>
              </w:rPr>
            </w:pPr>
          </w:p>
          <w:p w:rsidR="00FE18B8" w:rsidRDefault="00526F57" w:rsidP="004D5495">
            <w:pPr>
              <w:bidi/>
              <w:jc w:val="both"/>
              <w:rPr>
                <w:rFonts w:ascii="Times New Roman" w:hAnsi="Times New Roman"/>
                <w:sz w:val="22"/>
                <w:szCs w:val="22"/>
                <w:rtl/>
              </w:rPr>
            </w:pPr>
            <w:r>
              <w:rPr>
                <w:rFonts w:ascii="Times New Roman" w:hAnsi="Times New Roman" w:hint="cs"/>
                <w:sz w:val="22"/>
                <w:szCs w:val="22"/>
                <w:rtl/>
              </w:rPr>
              <w:t xml:space="preserve"> 9.</w:t>
            </w:r>
            <w:r>
              <w:rPr>
                <w:rFonts w:ascii="Times New Roman" w:hAnsi="Times New Roman" w:hint="cs"/>
                <w:sz w:val="22"/>
                <w:szCs w:val="22"/>
                <w:rtl/>
              </w:rPr>
              <w:tab/>
              <w:t>على الرغم من التحسينات الكبيرة في أداء قطاع الكهرباء، لا تزال هناك حاجة لبذل المزيد من الجهود لتحقيق تحسينات مستدامة، وتعزيز إصلاحات هذا القطاع، وضمان التنفيذ الناجح لاتفاقية تسوية ديون الكهرباء بين الجانب الإسرائيلي والجانب الفلسطيني.</w:t>
            </w:r>
            <w:r w:rsidR="00466820">
              <w:rPr>
                <w:rFonts w:ascii="Times New Roman" w:hAnsi="Times New Roman" w:hint="cs"/>
                <w:sz w:val="22"/>
                <w:szCs w:val="22"/>
                <w:rtl/>
              </w:rPr>
              <w:t xml:space="preserve"> </w:t>
            </w:r>
            <w:r>
              <w:rPr>
                <w:rFonts w:ascii="Times New Roman" w:hAnsi="Times New Roman" w:hint="cs"/>
                <w:sz w:val="22"/>
                <w:szCs w:val="22"/>
                <w:rtl/>
              </w:rPr>
              <w:t>وزادت معدلات تحصيل فواتير الكهرباء من جانب شركات التوزيع من 52% في 2007 إلى 84% في 2015 في المتوسط بسبب الإجراءات الحاسمة التي اتخذتها الشركات والتي ساندها البنك الدولي ومانحون آخرون في إطار مشروع إدارة مرفق الكهرباء.</w:t>
            </w:r>
            <w:r w:rsidR="00466820">
              <w:rPr>
                <w:rFonts w:ascii="Times New Roman" w:hAnsi="Times New Roman" w:hint="cs"/>
                <w:sz w:val="22"/>
                <w:szCs w:val="22"/>
                <w:rtl/>
              </w:rPr>
              <w:t xml:space="preserve"> </w:t>
            </w:r>
            <w:r w:rsidR="004D5495">
              <w:rPr>
                <w:rFonts w:ascii="Times New Roman" w:hAnsi="Times New Roman" w:hint="cs"/>
                <w:sz w:val="22"/>
                <w:szCs w:val="22"/>
                <w:rtl/>
              </w:rPr>
              <w:t>ولا ي</w:t>
            </w:r>
            <w:r>
              <w:rPr>
                <w:rFonts w:ascii="Times New Roman" w:hAnsi="Times New Roman" w:hint="cs"/>
                <w:sz w:val="22"/>
                <w:szCs w:val="22"/>
                <w:rtl/>
              </w:rPr>
              <w:t xml:space="preserve">زال </w:t>
            </w:r>
            <w:r w:rsidR="004D5495">
              <w:rPr>
                <w:rFonts w:ascii="Times New Roman" w:hAnsi="Times New Roman" w:hint="cs"/>
                <w:sz w:val="22"/>
                <w:szCs w:val="22"/>
                <w:rtl/>
              </w:rPr>
              <w:t>فاقد الشبكات (الفني وغير الفني</w:t>
            </w:r>
            <w:r>
              <w:rPr>
                <w:rFonts w:ascii="Times New Roman" w:hAnsi="Times New Roman" w:hint="cs"/>
                <w:sz w:val="22"/>
                <w:szCs w:val="22"/>
                <w:rtl/>
              </w:rPr>
              <w:t>) مصدرًا كبيرًا للقلق نظرًا لأن 25% (2015) من الكهرباء</w:t>
            </w:r>
            <w:r w:rsidR="00466820">
              <w:rPr>
                <w:rFonts w:ascii="Times New Roman" w:hAnsi="Times New Roman" w:hint="cs"/>
                <w:sz w:val="22"/>
                <w:szCs w:val="22"/>
                <w:rtl/>
              </w:rPr>
              <w:t xml:space="preserve"> </w:t>
            </w:r>
            <w:r>
              <w:rPr>
                <w:rFonts w:ascii="Times New Roman" w:hAnsi="Times New Roman" w:hint="cs"/>
                <w:sz w:val="22"/>
                <w:szCs w:val="22"/>
                <w:rtl/>
              </w:rPr>
              <w:t>المشتراة يتم فقدها، ولا يمكن فوترتها على المستهلك النهائي (من 19% في 2007).</w:t>
            </w:r>
            <w:r w:rsidR="00466820">
              <w:rPr>
                <w:rFonts w:ascii="Times New Roman" w:hAnsi="Times New Roman" w:hint="cs"/>
                <w:sz w:val="22"/>
                <w:szCs w:val="22"/>
                <w:rtl/>
              </w:rPr>
              <w:t xml:space="preserve"> </w:t>
            </w:r>
            <w:r>
              <w:rPr>
                <w:rFonts w:ascii="Times New Roman" w:hAnsi="Times New Roman" w:hint="cs"/>
                <w:sz w:val="22"/>
                <w:szCs w:val="22"/>
                <w:rtl/>
              </w:rPr>
              <w:t xml:space="preserve">وبوجه عام تحسنت كفاءة قطاع الكهرباء من 42% (2007) إلى 63% </w:t>
            </w:r>
            <w:r>
              <w:rPr>
                <w:rFonts w:ascii="Times New Roman" w:hAnsi="Times New Roman" w:hint="cs"/>
                <w:sz w:val="22"/>
                <w:szCs w:val="22"/>
                <w:rtl/>
              </w:rPr>
              <w:lastRenderedPageBreak/>
              <w:t>(2015)، لكن لا يزال هناك مجال كبير للغاية لإدخال المزيد من التحسينات.</w:t>
            </w:r>
            <w:r w:rsidR="00466820">
              <w:rPr>
                <w:rFonts w:ascii="Times New Roman" w:hAnsi="Times New Roman" w:hint="cs"/>
                <w:sz w:val="22"/>
                <w:szCs w:val="22"/>
                <w:rtl/>
              </w:rPr>
              <w:t xml:space="preserve"> </w:t>
            </w:r>
            <w:r>
              <w:rPr>
                <w:rFonts w:ascii="Times New Roman" w:hAnsi="Times New Roman" w:hint="cs"/>
                <w:sz w:val="22"/>
                <w:szCs w:val="22"/>
                <w:rtl/>
              </w:rPr>
              <w:t>ويعتمد نجاح الاتفاقية الجديدة بشأن ديون الكهرباء على قيام شركة النقل الوطنية للكهرباء بدفع 100% من قيمة الطاقة الكهربائية المشتراة لشركة كهرباء إسرائيل.</w:t>
            </w:r>
            <w:r w:rsidR="00466820">
              <w:rPr>
                <w:rFonts w:ascii="Times New Roman" w:hAnsi="Times New Roman" w:hint="cs"/>
                <w:sz w:val="22"/>
                <w:szCs w:val="22"/>
                <w:rtl/>
              </w:rPr>
              <w:t xml:space="preserve"> </w:t>
            </w:r>
            <w:r>
              <w:rPr>
                <w:rFonts w:ascii="Times New Roman" w:hAnsi="Times New Roman" w:hint="cs"/>
                <w:sz w:val="22"/>
                <w:szCs w:val="22"/>
                <w:rtl/>
              </w:rPr>
              <w:t xml:space="preserve">وفي المقابل، يتعين على شركات التوزيع والمستهلكين اتخاذ هذا المسار في سلسلة القيمة.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10.</w:t>
            </w:r>
            <w:r>
              <w:rPr>
                <w:rFonts w:ascii="Times New Roman" w:hAnsi="Times New Roman" w:hint="cs"/>
                <w:sz w:val="22"/>
                <w:szCs w:val="22"/>
                <w:rtl/>
              </w:rPr>
              <w:tab/>
              <w:t>أثبت</w:t>
            </w:r>
            <w:r w:rsidR="00466820">
              <w:rPr>
                <w:rFonts w:ascii="Times New Roman" w:hAnsi="Times New Roman" w:hint="cs"/>
                <w:sz w:val="22"/>
                <w:szCs w:val="22"/>
                <w:rtl/>
              </w:rPr>
              <w:t xml:space="preserve"> </w:t>
            </w:r>
            <w:r>
              <w:rPr>
                <w:rFonts w:ascii="Times New Roman" w:hAnsi="Times New Roman" w:hint="cs"/>
                <w:sz w:val="22"/>
                <w:szCs w:val="22"/>
                <w:rtl/>
              </w:rPr>
              <w:t>مجلس تنظيم قطاع الكهرباء الفلسطيني قدرته على مراقبة وتنظيم قطاع الطاقة، لكن من الضروري تعزيز دوره.</w:t>
            </w:r>
            <w:r w:rsidR="00466820">
              <w:rPr>
                <w:rFonts w:ascii="Times New Roman" w:hAnsi="Times New Roman" w:hint="cs"/>
                <w:sz w:val="22"/>
                <w:szCs w:val="22"/>
                <w:rtl/>
              </w:rPr>
              <w:t xml:space="preserve"> </w:t>
            </w:r>
            <w:r>
              <w:rPr>
                <w:rFonts w:ascii="Times New Roman" w:hAnsi="Times New Roman" w:hint="cs"/>
                <w:sz w:val="22"/>
                <w:szCs w:val="22"/>
                <w:rtl/>
              </w:rPr>
              <w:t>واقترح المجلس التعرفة الموحدة الحالية على جميع شركات التوزيع في الضفة الغربية، كما إنه مسؤول عن مراجعته</w:t>
            </w:r>
            <w:r w:rsidR="004D5495">
              <w:rPr>
                <w:rFonts w:ascii="Times New Roman" w:hAnsi="Times New Roman" w:hint="cs"/>
                <w:sz w:val="22"/>
                <w:szCs w:val="22"/>
                <w:rtl/>
              </w:rPr>
              <w:t>ا</w:t>
            </w:r>
            <w:r>
              <w:rPr>
                <w:rFonts w:ascii="Times New Roman" w:hAnsi="Times New Roman" w:hint="cs"/>
                <w:sz w:val="22"/>
                <w:szCs w:val="22"/>
                <w:rtl/>
              </w:rPr>
              <w:t xml:space="preserve"> وتعديله</w:t>
            </w:r>
            <w:r w:rsidR="004D5495">
              <w:rPr>
                <w:rFonts w:ascii="Times New Roman" w:hAnsi="Times New Roman" w:hint="cs"/>
                <w:sz w:val="22"/>
                <w:szCs w:val="22"/>
                <w:rtl/>
              </w:rPr>
              <w:t>ا</w:t>
            </w:r>
            <w:r>
              <w:rPr>
                <w:rFonts w:ascii="Times New Roman" w:hAnsi="Times New Roman" w:hint="cs"/>
                <w:sz w:val="22"/>
                <w:szCs w:val="22"/>
                <w:rtl/>
              </w:rPr>
              <w:t>.</w:t>
            </w:r>
            <w:r w:rsidR="00466820">
              <w:rPr>
                <w:rFonts w:ascii="Times New Roman" w:hAnsi="Times New Roman" w:hint="cs"/>
                <w:sz w:val="22"/>
                <w:szCs w:val="22"/>
                <w:rtl/>
              </w:rPr>
              <w:t xml:space="preserve"> </w:t>
            </w:r>
            <w:r>
              <w:rPr>
                <w:rFonts w:ascii="Times New Roman" w:hAnsi="Times New Roman" w:hint="cs"/>
                <w:sz w:val="22"/>
                <w:szCs w:val="22"/>
                <w:rtl/>
              </w:rPr>
              <w:t>وعلاوة على ذلك، يمنح المجلس التراخيص لشركات التوزيع، ويقوم بمراقبة ومتابعة ورصد محددات الأداء المالي والفني والتشغيلي لها، ويشمل ذلك الخسائر والفاقد ومعدلات تحصيل الفواتير.</w:t>
            </w:r>
            <w:r w:rsidR="00466820">
              <w:rPr>
                <w:rFonts w:ascii="Times New Roman" w:hAnsi="Times New Roman" w:hint="cs"/>
                <w:sz w:val="22"/>
                <w:szCs w:val="22"/>
                <w:rtl/>
              </w:rPr>
              <w:t xml:space="preserve"> </w:t>
            </w:r>
            <w:r>
              <w:rPr>
                <w:rFonts w:ascii="Times New Roman" w:hAnsi="Times New Roman" w:hint="cs"/>
                <w:sz w:val="22"/>
                <w:szCs w:val="22"/>
                <w:rtl/>
              </w:rPr>
              <w:t xml:space="preserve">وأظهرت الحكومة التزامها بتعزيز دور مجلس تنظيم قطاع الكهرباء الفلسطيني، لكن لا تزال هناك حاجة إلى المزيد من مساندة المانحين. </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11.</w:t>
            </w:r>
            <w:r>
              <w:rPr>
                <w:rFonts w:ascii="Times New Roman" w:hAnsi="Times New Roman" w:hint="cs"/>
                <w:sz w:val="22"/>
                <w:szCs w:val="22"/>
                <w:rtl/>
              </w:rPr>
              <w:tab/>
              <w:t>يعاني سكان قطاع غزة البالغ عددهم 1.8 مليون نسمة من نقص حاد في إمدادات الكهرباء بسبب عدم القدرة على تنفيذ خيارات إمدادات الطاقة الكهربائية المستدامة.</w:t>
            </w:r>
            <w:r w:rsidR="00466820">
              <w:rPr>
                <w:rFonts w:ascii="Times New Roman" w:hAnsi="Times New Roman" w:hint="cs"/>
                <w:sz w:val="22"/>
                <w:szCs w:val="22"/>
                <w:rtl/>
              </w:rPr>
              <w:t xml:space="preserve"> </w:t>
            </w:r>
            <w:r>
              <w:rPr>
                <w:rFonts w:ascii="Times New Roman" w:hAnsi="Times New Roman" w:hint="cs"/>
                <w:sz w:val="22"/>
                <w:szCs w:val="22"/>
                <w:rtl/>
              </w:rPr>
              <w:t xml:space="preserve">ولا تفي إمدادات الطاقة الكهربائية المتاحة في غزة إلا بنصف الطلب، وهو ما يؤدي إلى حالات انقطاع التيار الكهربائي بصورة متواترة حيث يعقب إمداد الطاقة الكهربائية لمدة 8 ساعات 8 ساعات أخرى من انقطاع التيار. وأثناء ظروف التحميل في أوقات الذروة في الشتاء والصيف، يتدهور الموقف، ولا تتاح الكهرباء إلا لمدة 3 </w:t>
            </w:r>
            <w:r w:rsidR="004D5495">
              <w:rPr>
                <w:rFonts w:ascii="Times New Roman" w:hAnsi="Times New Roman" w:hint="cs"/>
                <w:sz w:val="22"/>
                <w:szCs w:val="22"/>
                <w:rtl/>
              </w:rPr>
              <w:t>-4</w:t>
            </w:r>
            <w:r>
              <w:rPr>
                <w:rFonts w:ascii="Times New Roman" w:hAnsi="Times New Roman" w:hint="cs"/>
                <w:sz w:val="22"/>
                <w:szCs w:val="22"/>
                <w:rtl/>
              </w:rPr>
              <w:t xml:space="preserve"> ساعات في اليوم.</w:t>
            </w:r>
            <w:r w:rsidR="00466820">
              <w:rPr>
                <w:rFonts w:ascii="Times New Roman" w:hAnsi="Times New Roman" w:hint="cs"/>
                <w:sz w:val="22"/>
                <w:szCs w:val="22"/>
                <w:rtl/>
              </w:rPr>
              <w:t xml:space="preserve"> </w:t>
            </w:r>
            <w:r>
              <w:rPr>
                <w:rFonts w:ascii="Times New Roman" w:hAnsi="Times New Roman" w:hint="cs"/>
                <w:sz w:val="22"/>
                <w:szCs w:val="22"/>
                <w:rtl/>
              </w:rPr>
              <w:t>ويؤدي هذا الموقف المتكرر بصورة متواترة إلى تظاهرات واحتجاجات جماهيرية واسعة وموجات غضب من الحكومة وشركات التوزيع.</w:t>
            </w:r>
            <w:r w:rsidR="00466820">
              <w:rPr>
                <w:rFonts w:ascii="Times New Roman" w:hAnsi="Times New Roman" w:hint="cs"/>
                <w:sz w:val="22"/>
                <w:szCs w:val="22"/>
                <w:rtl/>
              </w:rPr>
              <w:t xml:space="preserve"> </w:t>
            </w:r>
            <w:r>
              <w:rPr>
                <w:rFonts w:ascii="Times New Roman" w:hAnsi="Times New Roman" w:hint="cs"/>
                <w:sz w:val="22"/>
                <w:szCs w:val="22"/>
                <w:rtl/>
              </w:rPr>
              <w:t>وحتى يتسنى معالجة هذه المواقف الطارئة على نحو يتسم بالانضباط والدقة، تتيح المعونات الثنائية من بلدان مثل قطر وتركيا مبالغ تمويل كبيرة لشراء كميات إضافية من وقود الديزل في حالة الطوارئ لمحطة كهرباء غزة التي تعاني بشدة من انعدام الكفاءة وارتفاع التكاليف.</w:t>
            </w:r>
            <w:r w:rsidR="00466820">
              <w:rPr>
                <w:rFonts w:ascii="Times New Roman" w:hAnsi="Times New Roman" w:hint="cs"/>
                <w:sz w:val="22"/>
                <w:szCs w:val="22"/>
                <w:rtl/>
              </w:rPr>
              <w:t xml:space="preserve"> </w:t>
            </w:r>
            <w:r>
              <w:rPr>
                <w:rFonts w:ascii="Times New Roman" w:hAnsi="Times New Roman" w:hint="cs"/>
                <w:sz w:val="22"/>
                <w:szCs w:val="22"/>
                <w:rtl/>
              </w:rPr>
              <w:t>وهناك مفاوضات تجري منذ أكثر من 10 سنوات بشأن حلول بديلة لتقديم خيارات إمدادات أكثر استدامة مثل زيادة الواردات من مصر وإسرائيل، وتوسيع وإعادة تأهيل محطة كهرباء غزة كي تعمل بالغاز الطبيعي بدلًا من الديزل.</w:t>
            </w:r>
            <w:r w:rsidR="00466820">
              <w:rPr>
                <w:rFonts w:ascii="Times New Roman" w:hAnsi="Times New Roman" w:hint="cs"/>
                <w:sz w:val="22"/>
                <w:szCs w:val="22"/>
                <w:rtl/>
              </w:rPr>
              <w:t xml:space="preserve"> </w:t>
            </w:r>
            <w:r>
              <w:rPr>
                <w:rFonts w:ascii="Times New Roman" w:hAnsi="Times New Roman" w:hint="cs"/>
                <w:sz w:val="22"/>
                <w:szCs w:val="22"/>
                <w:rtl/>
              </w:rPr>
              <w:t>لكن لم يحدث أي تقدم على هذا الصعيد بسبب جمود الأوضاع السياسية.</w:t>
            </w:r>
            <w:r w:rsidR="00466820">
              <w:rPr>
                <w:rFonts w:ascii="Times New Roman" w:hAnsi="Times New Roman" w:hint="cs"/>
                <w:sz w:val="22"/>
                <w:szCs w:val="22"/>
                <w:rtl/>
              </w:rPr>
              <w:t xml:space="preserve"> </w:t>
            </w:r>
            <w:r>
              <w:rPr>
                <w:rFonts w:ascii="Times New Roman" w:hAnsi="Times New Roman" w:hint="cs"/>
                <w:sz w:val="22"/>
                <w:szCs w:val="22"/>
                <w:rtl/>
              </w:rPr>
              <w:t xml:space="preserve">ومن الممكن أن يعمل تطوير وحدات الطاقة الكهروضوئية الشمسية الموزعة على تحسين الظروف المعيشية لعدد كبير من الأسر المعيشية، مع إحراز تقدم على صعيد الخيارات الأخرى لإمدادات الكهرباء. </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color w:val="314F4F"/>
                <w:sz w:val="22"/>
                <w:szCs w:val="22"/>
                <w:rtl/>
              </w:rPr>
            </w:pPr>
            <w:r>
              <w:rPr>
                <w:rFonts w:ascii="Times New Roman" w:hAnsi="Times New Roman" w:hint="cs"/>
                <w:color w:val="314F4F"/>
                <w:sz w:val="22"/>
                <w:szCs w:val="22"/>
                <w:rtl/>
              </w:rPr>
              <w:t xml:space="preserve">العلاقة مع </w:t>
            </w:r>
            <w:r w:rsidR="00466820">
              <w:rPr>
                <w:rFonts w:ascii="Times New Roman" w:hAnsi="Times New Roman" w:hint="cs"/>
                <w:color w:val="314F4F"/>
                <w:sz w:val="22"/>
                <w:szCs w:val="22"/>
                <w:rtl/>
              </w:rPr>
              <w:t>استراتيجية</w:t>
            </w:r>
            <w:r>
              <w:rPr>
                <w:rFonts w:ascii="Times New Roman" w:hAnsi="Times New Roman" w:hint="cs"/>
                <w:color w:val="314F4F"/>
                <w:sz w:val="22"/>
                <w:szCs w:val="22"/>
                <w:rtl/>
              </w:rPr>
              <w:t xml:space="preserve"> المساعدة القطرية</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12.</w:t>
            </w:r>
            <w:r>
              <w:rPr>
                <w:rFonts w:ascii="Times New Roman" w:hAnsi="Times New Roman" w:hint="cs"/>
                <w:sz w:val="22"/>
                <w:szCs w:val="22"/>
                <w:rtl/>
              </w:rPr>
              <w:tab/>
              <w:t xml:space="preserve">أبدت السلطة الفلسطينية وسلطة الطاقة والموارد الطبيعية الفلسطينية التزامًا قويًا بالمشروع المقترح، كما إنه يتوافق بصورة تامة مع استراتيجية المساعدة الخاصة بالبنك الدولي للسنة المالية 2015 </w:t>
            </w:r>
            <w:r w:rsidR="00466820">
              <w:rPr>
                <w:rFonts w:ascii="Times New Roman" w:hAnsi="Times New Roman" w:hint="cs"/>
                <w:sz w:val="22"/>
                <w:szCs w:val="22"/>
                <w:rtl/>
              </w:rPr>
              <w:t>-2016</w:t>
            </w:r>
            <w:r>
              <w:rPr>
                <w:rFonts w:ascii="Times New Roman" w:hAnsi="Times New Roman" w:hint="cs"/>
                <w:sz w:val="22"/>
                <w:szCs w:val="22"/>
                <w:rtl/>
              </w:rPr>
              <w:t xml:space="preserve"> للضفة الغربية وقطاع غزة (تقرير 89503</w:t>
            </w:r>
            <w:r>
              <w:rPr>
                <w:rFonts w:ascii="Times New Roman" w:hAnsi="Times New Roman"/>
                <w:sz w:val="22"/>
                <w:szCs w:val="22"/>
              </w:rPr>
              <w:t>GZ</w:t>
            </w:r>
            <w:r>
              <w:rPr>
                <w:rFonts w:ascii="Times New Roman" w:hAnsi="Times New Roman" w:hint="cs"/>
                <w:sz w:val="22"/>
                <w:szCs w:val="22"/>
                <w:rtl/>
              </w:rPr>
              <w:t>). وسيساهم هذا المشروع في تحقيق النتيجة رقم 1.1 في استراتيجية المساعدة المتمثلة في تحسين إدارة المالية العامة مع التركيز على قطاعي الصحة والكهرباء.</w:t>
            </w:r>
            <w:r w:rsidR="00466820">
              <w:rPr>
                <w:rFonts w:ascii="Times New Roman" w:hAnsi="Times New Roman" w:hint="cs"/>
                <w:sz w:val="22"/>
                <w:szCs w:val="22"/>
                <w:rtl/>
              </w:rPr>
              <w:t xml:space="preserve"> </w:t>
            </w:r>
            <w:r>
              <w:rPr>
                <w:rFonts w:ascii="Times New Roman" w:hAnsi="Times New Roman" w:hint="cs"/>
                <w:sz w:val="22"/>
                <w:szCs w:val="22"/>
                <w:rtl/>
              </w:rPr>
              <w:t>ومن ثم، يساند هذا المشروع في الوقت الراهن الأولوية القصوى للحكومة المتمثلة في زيادة دفع فواتير الكهرباء من المستهلك النهائي لشركات التوزيع ومن شركات التوزيع لشركة كهرباء إسرائيل (المورد الرئيسي للكهرباء لفلسطين).</w:t>
            </w:r>
            <w:r w:rsidR="00466820">
              <w:rPr>
                <w:rFonts w:ascii="Times New Roman" w:hAnsi="Times New Roman" w:hint="cs"/>
                <w:sz w:val="22"/>
                <w:szCs w:val="22"/>
                <w:rtl/>
              </w:rPr>
              <w:t xml:space="preserve"> </w:t>
            </w:r>
            <w:r>
              <w:rPr>
                <w:rFonts w:ascii="Times New Roman" w:hAnsi="Times New Roman" w:hint="cs"/>
                <w:sz w:val="22"/>
                <w:szCs w:val="22"/>
                <w:rtl/>
              </w:rPr>
              <w:t xml:space="preserve">وبالتالي، سيسهم هذا المشروع في تقليل الضغط على المالية العامة والموازنة العامة للدولة من خلال آلية صافي </w:t>
            </w:r>
            <w:r w:rsidR="00466820">
              <w:rPr>
                <w:rFonts w:ascii="Times New Roman" w:hAnsi="Times New Roman" w:hint="cs"/>
                <w:sz w:val="22"/>
                <w:szCs w:val="22"/>
                <w:rtl/>
              </w:rPr>
              <w:t>الإقراض.</w:t>
            </w:r>
            <w:r>
              <w:rPr>
                <w:rFonts w:ascii="Times New Roman" w:hAnsi="Times New Roman" w:hint="cs"/>
                <w:sz w:val="22"/>
                <w:szCs w:val="22"/>
                <w:rtl/>
              </w:rPr>
              <w:t xml:space="preserve"> وعلاوة على ذلك، سيساند هذا المشروع أولويات الحكومة المتمثلة في تطوير الطاقة المتجددة بهدف تحسين قدرات التوليد وتعزيز المؤسسات الرئيسية في هذا القطاع مثل شركة النقل الوطنية للكهرباء ومجلس تنظيم قطاع الكهرباء الفلسطيني.</w:t>
            </w:r>
            <w:r w:rsidR="00466820">
              <w:rPr>
                <w:rFonts w:ascii="Times New Roman" w:hAnsi="Times New Roman" w:hint="cs"/>
                <w:sz w:val="22"/>
                <w:szCs w:val="22"/>
                <w:rtl/>
              </w:rPr>
              <w:t xml:space="preserve"> </w:t>
            </w:r>
          </w:p>
          <w:p w:rsidR="00FE18B8" w:rsidRDefault="00FE18B8" w:rsidP="00466820">
            <w:pPr>
              <w:jc w:val="both"/>
              <w:rPr>
                <w:rFonts w:ascii="Times New Roman" w:hAnsi="Times New Roman" w:cs="Times New Roman"/>
                <w:sz w:val="22"/>
                <w:szCs w:val="22"/>
              </w:rPr>
            </w:pPr>
          </w:p>
          <w:p w:rsidR="00FE18B8" w:rsidRDefault="004D5495" w:rsidP="00466820">
            <w:pPr>
              <w:bidi/>
              <w:jc w:val="both"/>
              <w:rPr>
                <w:rFonts w:ascii="Times New Roman" w:hAnsi="Times New Roman"/>
                <w:sz w:val="22"/>
                <w:szCs w:val="22"/>
                <w:rtl/>
              </w:rPr>
            </w:pPr>
            <w:r>
              <w:rPr>
                <w:rFonts w:ascii="Times New Roman" w:hAnsi="Times New Roman" w:hint="cs"/>
                <w:sz w:val="22"/>
                <w:szCs w:val="22"/>
                <w:rtl/>
              </w:rPr>
              <w:t>13.</w:t>
            </w:r>
            <w:r>
              <w:rPr>
                <w:rFonts w:ascii="Times New Roman" w:hAnsi="Times New Roman" w:hint="cs"/>
                <w:sz w:val="22"/>
                <w:szCs w:val="22"/>
                <w:rtl/>
              </w:rPr>
              <w:tab/>
            </w:r>
            <w:r w:rsidR="00526F57">
              <w:rPr>
                <w:rFonts w:ascii="Times New Roman" w:hAnsi="Times New Roman" w:hint="cs"/>
                <w:sz w:val="22"/>
                <w:szCs w:val="22"/>
                <w:rtl/>
              </w:rPr>
              <w:t>يساند هذا المشروع الأهداف الاستراتيجية لمجموعة البنك الدولي المتمثلة في القضاء على الفقر المدقع وتعزيز الرفاهية المشتركة نظرًا لأن سيحقق منافع مشتركة جمة لمن يعيشون في مناطق هشة ومتأثرة بالصراعات. كما يتوافق هذا المشروع مع وثيقة البنك الدولي المعنية</w:t>
            </w:r>
            <w:r w:rsidR="00466820">
              <w:rPr>
                <w:rFonts w:ascii="Times New Roman" w:hAnsi="Times New Roman" w:hint="cs"/>
                <w:sz w:val="22"/>
                <w:szCs w:val="22"/>
                <w:rtl/>
              </w:rPr>
              <w:t xml:space="preserve"> </w:t>
            </w:r>
            <w:r w:rsidR="00526F57">
              <w:rPr>
                <w:rFonts w:ascii="Times New Roman" w:hAnsi="Times New Roman" w:hint="cs"/>
                <w:sz w:val="22"/>
                <w:szCs w:val="22"/>
                <w:rtl/>
              </w:rPr>
              <w:t>باتجاهات قطاع الطاقة التي تبرز أهمية مساندة التحسينات في البيئة المالية والتشغيلية والمؤسسية لهذا القطاع.</w:t>
            </w:r>
            <w:r w:rsidR="00466820">
              <w:rPr>
                <w:rFonts w:ascii="Times New Roman" w:hAnsi="Times New Roman" w:hint="cs"/>
                <w:sz w:val="22"/>
                <w:szCs w:val="22"/>
                <w:rtl/>
              </w:rPr>
              <w:t xml:space="preserve"> </w:t>
            </w:r>
            <w:r w:rsidR="00526F57">
              <w:rPr>
                <w:rFonts w:ascii="Times New Roman" w:hAnsi="Times New Roman" w:hint="cs"/>
                <w:sz w:val="22"/>
                <w:szCs w:val="22"/>
                <w:rtl/>
              </w:rPr>
              <w:t>وتشدد هذه الوثيقة على ضرورة وجود بيئة مؤسسة ومالية سليمة كشرط أساسي من أجل الاستثمارات الفعالة في قطاع الطاقة.</w:t>
            </w:r>
            <w:r w:rsidR="00466820">
              <w:rPr>
                <w:rFonts w:ascii="Times New Roman" w:hAnsi="Times New Roman" w:hint="cs"/>
                <w:sz w:val="22"/>
                <w:szCs w:val="22"/>
                <w:rtl/>
              </w:rPr>
              <w:t xml:space="preserve"> </w:t>
            </w:r>
            <w:r w:rsidR="00526F57">
              <w:rPr>
                <w:rFonts w:ascii="Times New Roman" w:hAnsi="Times New Roman" w:hint="cs"/>
                <w:sz w:val="22"/>
                <w:szCs w:val="22"/>
                <w:rtl/>
              </w:rPr>
              <w:t>وسيساهم هذا المشروع في تحقيق هذا الهدف لا سيما من خلال (1) مساندة شركة النقل الوطنية للكهرباء لتوحيدها وتدعيمها كمشتر أوحد و</w:t>
            </w:r>
            <w:r>
              <w:rPr>
                <w:rFonts w:ascii="Times New Roman" w:hAnsi="Times New Roman" w:hint="cs"/>
                <w:sz w:val="22"/>
                <w:szCs w:val="22"/>
                <w:rtl/>
              </w:rPr>
              <w:t xml:space="preserve">كي تكون </w:t>
            </w:r>
            <w:r w:rsidR="00526F57">
              <w:rPr>
                <w:rFonts w:ascii="Times New Roman" w:hAnsi="Times New Roman" w:hint="cs"/>
                <w:sz w:val="22"/>
                <w:szCs w:val="22"/>
                <w:rtl/>
              </w:rPr>
              <w:t xml:space="preserve">الجهة المناط بها نقل الكهرباء في فلسطين، و(2) مساندة شركات التوزيع المختارة لتحسين أدائها التشغيلي. </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w:hAnsi="Times"/>
                <w:color w:val="FFFFFF"/>
                <w:sz w:val="8"/>
                <w:szCs w:val="8"/>
                <w:rtl/>
              </w:rPr>
            </w:pPr>
            <w:r>
              <w:rPr>
                <w:rFonts w:ascii="Times" w:hAnsi="Times" w:hint="cs"/>
                <w:color w:val="FFFFFF"/>
                <w:sz w:val="8"/>
                <w:szCs w:val="8"/>
                <w:rtl/>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rtl/>
              </w:rPr>
            </w:pPr>
            <w:r>
              <w:rPr>
                <w:rFonts w:ascii="Times New Roman" w:hAnsi="Times New Roman" w:hint="cs"/>
                <w:b/>
                <w:bCs/>
                <w:rtl/>
              </w:rPr>
              <w:t>ثانياً. الأهداف الإنمائية للمشروع</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color w:val="314F4F"/>
                <w:sz w:val="22"/>
                <w:szCs w:val="22"/>
                <w:rtl/>
              </w:rPr>
            </w:pPr>
            <w:r>
              <w:rPr>
                <w:rFonts w:ascii="Times New Roman" w:hAnsi="Times New Roman" w:hint="cs"/>
                <w:color w:val="314F4F"/>
                <w:sz w:val="22"/>
                <w:szCs w:val="22"/>
                <w:rtl/>
              </w:rPr>
              <w:t>الأهداف الإنمائية للمشروع المقترح (من مذكرة مفاهيم المشروع)</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يتمثل الهدف الإنمائي للمشروع في تحسين متابعة الدفعات غير المسددة لفواتير الكهرباء، والحد من فاقد الطاقة، وزيادة معدلات تحصيل الفواتير.</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color w:val="314F4F"/>
                <w:sz w:val="22"/>
                <w:szCs w:val="22"/>
                <w:rtl/>
              </w:rPr>
            </w:pPr>
            <w:r>
              <w:rPr>
                <w:rFonts w:ascii="Times New Roman" w:hAnsi="Times New Roman" w:hint="cs"/>
                <w:color w:val="314F4F"/>
                <w:sz w:val="22"/>
                <w:szCs w:val="22"/>
                <w:rtl/>
              </w:rPr>
              <w:t>النتائج الرئيسية (من مذكرة تصور المشروع)</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إنشاء قاعدة بيانات على موقع الويب وتحديثها بصورة مستمرة لتسجيل استخدام ومدفوعات الطاقة بين شركة كهرباء إسرائيل </w:t>
            </w:r>
            <w:r w:rsidR="00466820">
              <w:rPr>
                <w:rFonts w:ascii="Times New Roman" w:hAnsi="Times New Roman" w:hint="cs"/>
                <w:sz w:val="22"/>
                <w:szCs w:val="22"/>
                <w:rtl/>
              </w:rPr>
              <w:t>وشركة النقل</w:t>
            </w:r>
            <w:r>
              <w:rPr>
                <w:rFonts w:ascii="Times New Roman" w:hAnsi="Times New Roman" w:hint="cs"/>
                <w:sz w:val="22"/>
                <w:szCs w:val="22"/>
                <w:rtl/>
              </w:rPr>
              <w:t xml:space="preserve"> الوطنية للكهرباء.</w:t>
            </w: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خفض خسائر/فاقد الكهرباء سنويًا في منطقة المشروع (%)</w:t>
            </w: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زيادة تحصيل الفواتير سنويًا في منطقة المشروع (%)</w:t>
            </w: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lastRenderedPageBreak/>
              <w:t>- تركيب عدادات رصد ومتابعة إضافية (العدد)</w:t>
            </w: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تركيب عدادات مسبقة الدفع وذكية</w:t>
            </w:r>
            <w:r w:rsidR="00466820">
              <w:rPr>
                <w:rFonts w:ascii="Times New Roman" w:hAnsi="Times New Roman" w:hint="cs"/>
                <w:sz w:val="22"/>
                <w:szCs w:val="22"/>
                <w:rtl/>
              </w:rPr>
              <w:t xml:space="preserve"> </w:t>
            </w:r>
            <w:r>
              <w:rPr>
                <w:rFonts w:ascii="Times New Roman" w:hAnsi="Times New Roman" w:hint="cs"/>
                <w:sz w:val="22"/>
                <w:szCs w:val="22"/>
                <w:rtl/>
              </w:rPr>
              <w:t>(العدد)</w:t>
            </w:r>
          </w:p>
          <w:p w:rsidR="00FE18B8" w:rsidRDefault="00526F57" w:rsidP="000C0F8A">
            <w:pPr>
              <w:bidi/>
              <w:jc w:val="both"/>
              <w:rPr>
                <w:rFonts w:ascii="Times New Roman" w:hAnsi="Times New Roman"/>
                <w:sz w:val="22"/>
                <w:szCs w:val="22"/>
                <w:rtl/>
              </w:rPr>
            </w:pPr>
            <w:r>
              <w:rPr>
                <w:rFonts w:ascii="Times New Roman" w:hAnsi="Times New Roman" w:hint="cs"/>
                <w:sz w:val="22"/>
                <w:szCs w:val="22"/>
                <w:rtl/>
              </w:rPr>
              <w:t>- بناء أو إعادة تأهيل خطوط التغذية في إطار هذا المشروع المقترح (</w:t>
            </w:r>
            <w:r w:rsidR="000C0F8A">
              <w:rPr>
                <w:rFonts w:ascii="Times New Roman" w:hAnsi="Times New Roman" w:hint="cs"/>
                <w:sz w:val="22"/>
                <w:szCs w:val="22"/>
                <w:rtl/>
              </w:rPr>
              <w:t>كيلومتر</w:t>
            </w:r>
            <w:r>
              <w:rPr>
                <w:rFonts w:ascii="Times New Roman" w:hAnsi="Times New Roman" w:hint="cs"/>
                <w:sz w:val="22"/>
                <w:szCs w:val="22"/>
                <w:rtl/>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w:hAnsi="Times"/>
                <w:color w:val="FFFFFF"/>
                <w:sz w:val="8"/>
                <w:szCs w:val="8"/>
                <w:rtl/>
              </w:rPr>
            </w:pPr>
            <w:r>
              <w:rPr>
                <w:rFonts w:ascii="Times" w:hAnsi="Times" w:hint="cs"/>
                <w:color w:val="FFFFFF"/>
                <w:sz w:val="8"/>
                <w:szCs w:val="8"/>
                <w:rtl/>
              </w:rPr>
              <w:lastRenderedPageBreak/>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rtl/>
              </w:rPr>
            </w:pPr>
            <w:r>
              <w:rPr>
                <w:rFonts w:ascii="Times New Roman" w:hAnsi="Times New Roman" w:hint="cs"/>
                <w:b/>
                <w:bCs/>
                <w:rtl/>
              </w:rPr>
              <w:t>ثالثًا. الوصف الأولي</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color w:val="314F4F"/>
                <w:sz w:val="22"/>
                <w:szCs w:val="22"/>
                <w:rtl/>
              </w:rPr>
            </w:pPr>
            <w:r>
              <w:rPr>
                <w:rFonts w:ascii="Times New Roman" w:hAnsi="Times New Roman" w:hint="cs"/>
                <w:color w:val="314F4F"/>
                <w:sz w:val="22"/>
                <w:szCs w:val="22"/>
                <w:rtl/>
              </w:rPr>
              <w:t>توصيف المفاهيم</w:t>
            </w:r>
          </w:p>
        </w:tc>
      </w:tr>
      <w:tr w:rsidR="00FE18B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يستفيد مفهوم المشروع من الدعم والالتزام القويين من جانب الأطراف النظيرة بالسلطة الفلسطينية.</w:t>
            </w:r>
          </w:p>
          <w:p w:rsidR="00FE18B8" w:rsidRDefault="00FE18B8" w:rsidP="00466820">
            <w:pPr>
              <w:jc w:val="both"/>
              <w:rPr>
                <w:rFonts w:ascii="Times New Roman" w:hAnsi="Times New Roman" w:cs="Times New Roman"/>
                <w:sz w:val="22"/>
                <w:szCs w:val="22"/>
              </w:rPr>
            </w:pPr>
          </w:p>
          <w:p w:rsidR="00FE18B8" w:rsidRDefault="00526F57" w:rsidP="00463EEC">
            <w:pPr>
              <w:bidi/>
              <w:jc w:val="both"/>
              <w:rPr>
                <w:rFonts w:ascii="Times New Roman" w:hAnsi="Times New Roman"/>
                <w:sz w:val="22"/>
                <w:szCs w:val="22"/>
                <w:rtl/>
              </w:rPr>
            </w:pPr>
            <w:r>
              <w:rPr>
                <w:rFonts w:ascii="Times New Roman" w:hAnsi="Times New Roman" w:hint="cs"/>
                <w:sz w:val="22"/>
                <w:szCs w:val="22"/>
                <w:rtl/>
              </w:rPr>
              <w:t>وتقوم العم</w:t>
            </w:r>
            <w:r w:rsidR="00463EEC">
              <w:rPr>
                <w:rFonts w:ascii="Times New Roman" w:hAnsi="Times New Roman" w:hint="cs"/>
                <w:sz w:val="22"/>
                <w:szCs w:val="22"/>
                <w:rtl/>
              </w:rPr>
              <w:t>لية المقترحة على مشروع إدارة مرفق الكهرباء الذي تم إقفاله في سبتمبر/أيلول 2016</w:t>
            </w:r>
            <w:r>
              <w:rPr>
                <w:rFonts w:ascii="Times New Roman" w:hAnsi="Times New Roman" w:hint="cs"/>
                <w:sz w:val="22"/>
                <w:szCs w:val="22"/>
                <w:rtl/>
              </w:rPr>
              <w:t>. و</w:t>
            </w:r>
            <w:r w:rsidR="00463EEC">
              <w:rPr>
                <w:rFonts w:ascii="Times New Roman" w:hAnsi="Times New Roman" w:hint="cs"/>
                <w:sz w:val="22"/>
                <w:szCs w:val="22"/>
                <w:rtl/>
              </w:rPr>
              <w:t>قد و</w:t>
            </w:r>
            <w:r>
              <w:rPr>
                <w:rFonts w:ascii="Times New Roman" w:hAnsi="Times New Roman" w:hint="cs"/>
                <w:sz w:val="22"/>
                <w:szCs w:val="22"/>
                <w:rtl/>
              </w:rPr>
              <w:t>افق البنك الدولي على مشروع إدارة مرافق الكهرباء في عام 2008 بتمويل قدره 12 مليون دولار، وعلى تمويل إضافي قدره 2.5 مليون دولار في عام 2012، بإجمالي تمويل قدره 14.5 مليون دولار. وتمثل الهدف الأصلي في تخفيف العبء المالي لقطاع الكهرباء على موارد موازنة السلطة الفلسطينية من خلال تقليل الاستقطاعات من إيرادات المقاصة بالنسبة للمتأخرات المستحقة لشركة كهرباء إسرائيل.</w:t>
            </w:r>
            <w:r w:rsidR="00466820">
              <w:rPr>
                <w:rFonts w:ascii="Times New Roman" w:hAnsi="Times New Roman" w:hint="cs"/>
                <w:sz w:val="22"/>
                <w:szCs w:val="22"/>
                <w:rtl/>
              </w:rPr>
              <w:t xml:space="preserve"> </w:t>
            </w:r>
            <w:r>
              <w:rPr>
                <w:rFonts w:ascii="Times New Roman" w:hAnsi="Times New Roman" w:hint="cs"/>
                <w:sz w:val="22"/>
                <w:szCs w:val="22"/>
                <w:rtl/>
              </w:rPr>
              <w:t>وعزز المشروع موارد البنك الدولي بموارد موازية من عدد من المانحين. وبعد عدة سنوات من التنفيذ، تأخرت وتيرة تنفيذ الأنشطة التي يمولها مانحون آخرون، ونتيجة لذلك أُعتبر الهدف الأصلي للمشروع طموحا أكثر من اللازم.</w:t>
            </w:r>
            <w:r w:rsidR="00466820">
              <w:rPr>
                <w:rFonts w:ascii="Times New Roman" w:hAnsi="Times New Roman" w:hint="cs"/>
                <w:sz w:val="22"/>
                <w:szCs w:val="22"/>
                <w:rtl/>
              </w:rPr>
              <w:t xml:space="preserve"> </w:t>
            </w:r>
            <w:r>
              <w:rPr>
                <w:rFonts w:ascii="Times New Roman" w:hAnsi="Times New Roman" w:hint="cs"/>
                <w:sz w:val="22"/>
                <w:szCs w:val="22"/>
                <w:rtl/>
              </w:rPr>
              <w:t>وفي سبتمبر/أيلول 2013، خضع المشروع لإجراءات إعادة هيكلة من الفئة الأولى، وتضمن ذلك مراجعة هدفه الإنمائي وإدخال تغييرات على إطار النتائج.</w:t>
            </w:r>
            <w:r w:rsidR="00466820">
              <w:rPr>
                <w:rFonts w:ascii="Times New Roman" w:hAnsi="Times New Roman" w:hint="cs"/>
                <w:sz w:val="22"/>
                <w:szCs w:val="22"/>
                <w:rtl/>
              </w:rPr>
              <w:t xml:space="preserve"> </w:t>
            </w:r>
            <w:r>
              <w:rPr>
                <w:rFonts w:ascii="Times New Roman" w:hAnsi="Times New Roman" w:hint="cs"/>
                <w:sz w:val="22"/>
                <w:szCs w:val="22"/>
                <w:rtl/>
              </w:rPr>
              <w:t>وواصلت الهيئة الفلسطينية للطاقة والموارد الطبيعية تعزيز إمدادات الطاقة وتحسين كفاءة منظومة الكهرباء.</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وفي ضوء تدهور أداء المرافق الفلسطينية، على سبيل المثال، إجمالي الخسائر، وتزايد الامتناع عن سداد رسوم واردات الكهرباء من شركة كهرباء إسرائيل، استكمل البنك الدولي تقييما وخطة عمل لتحسين سداد رسوم خدمات الكهرباء في الأراضي الفلسطينية (أُطلق على ذلك أيضًا "دراسة صافي الإقراض) في 2014 لتحسين فهم مصادر وأسباب الامتناع عن السداد والإجراءات المستهدفة المقترحة.</w:t>
            </w:r>
            <w:r w:rsidR="00466820">
              <w:rPr>
                <w:rFonts w:ascii="Times New Roman" w:hAnsi="Times New Roman" w:hint="cs"/>
                <w:sz w:val="22"/>
                <w:szCs w:val="22"/>
                <w:rtl/>
              </w:rPr>
              <w:t xml:space="preserve"> </w:t>
            </w:r>
            <w:r>
              <w:rPr>
                <w:rFonts w:ascii="Times New Roman" w:hAnsi="Times New Roman" w:hint="cs"/>
                <w:sz w:val="22"/>
                <w:szCs w:val="22"/>
                <w:rtl/>
              </w:rPr>
              <w:t>وتتيح هذه الدراسة الأسس التحليلية الإضافية للعملية المقترحة للتركيز على ما يلي: (1) تحسين حوكمة قطاع الكهرباء وكفاءته، على سبيل المثال إنشاء قاعدة بيانات إلكترونية عبر شبكة الإنترنت لتعزيز مستوى الشفافية والمساءلة، واستخدام العدادات مسبقة الدفع والذكية؛ (2) تعزيز إمدادات الكهرباء (المغذيات الخارجة للمحطات الفرعية بتمويل من بنك الاستثمار الأوروبي)؛ (3) تعزيز أمن الطاقة (الطاقة المتجددة وكفاءة استخدام الطاقة).</w:t>
            </w:r>
          </w:p>
          <w:p w:rsidR="00FE18B8" w:rsidRDefault="00FE18B8" w:rsidP="00466820">
            <w:pPr>
              <w:jc w:val="both"/>
              <w:rPr>
                <w:rFonts w:ascii="Times New Roman" w:hAnsi="Times New Roman" w:cs="Times New Roman"/>
                <w:sz w:val="22"/>
                <w:szCs w:val="22"/>
              </w:rPr>
            </w:pPr>
          </w:p>
          <w:p w:rsidR="00FE18B8" w:rsidRDefault="00526F57" w:rsidP="00463EEC">
            <w:pPr>
              <w:bidi/>
              <w:jc w:val="both"/>
              <w:rPr>
                <w:rFonts w:ascii="Times New Roman" w:hAnsi="Times New Roman"/>
                <w:sz w:val="22"/>
                <w:szCs w:val="22"/>
                <w:rtl/>
              </w:rPr>
            </w:pPr>
            <w:r>
              <w:rPr>
                <w:rFonts w:ascii="Times New Roman" w:hAnsi="Times New Roman" w:hint="cs"/>
                <w:sz w:val="22"/>
                <w:szCs w:val="22"/>
                <w:rtl/>
              </w:rPr>
              <w:t>علاوة على ذلك، سيعمل المشروع على تنفيذ التوصيات التي خلصت إليها الدراسة التجريبية للطاقة المتجددة لعام 2013 التي قاد تنفيذها البنك الدولي في إطار برنامج تطوير البلديات،</w:t>
            </w:r>
            <w:r w:rsidR="00466820">
              <w:rPr>
                <w:rFonts w:ascii="Times New Roman" w:hAnsi="Times New Roman" w:hint="cs"/>
                <w:sz w:val="22"/>
                <w:szCs w:val="22"/>
                <w:rtl/>
              </w:rPr>
              <w:t xml:space="preserve"> </w:t>
            </w:r>
            <w:r>
              <w:rPr>
                <w:rFonts w:ascii="Times New Roman" w:hAnsi="Times New Roman" w:hint="cs"/>
                <w:sz w:val="22"/>
                <w:szCs w:val="22"/>
                <w:rtl/>
              </w:rPr>
              <w:t>كما سيسعى إلى نشر معارف الطاقة المتجددة وتطبيقها في الضفة الغربية في مناطق تجريبية مختارة.</w:t>
            </w:r>
            <w:r w:rsidR="00466820">
              <w:rPr>
                <w:rFonts w:ascii="Times New Roman" w:hAnsi="Times New Roman" w:hint="cs"/>
                <w:sz w:val="22"/>
                <w:szCs w:val="22"/>
                <w:rtl/>
              </w:rPr>
              <w:t xml:space="preserve"> </w:t>
            </w:r>
            <w:r>
              <w:rPr>
                <w:rFonts w:ascii="Times New Roman" w:hAnsi="Times New Roman" w:hint="cs"/>
                <w:sz w:val="22"/>
                <w:szCs w:val="22"/>
                <w:rtl/>
              </w:rPr>
              <w:t>وسيرتكز مكون كفاءة استخدام الطاقة بالمشروع على توصيات خطة العمل بشأن كفاءة استخدام الطاقة بتمويل من البنك الدولي (</w:t>
            </w:r>
            <w:r w:rsidR="00463EEC">
              <w:rPr>
                <w:rFonts w:ascii="Times New Roman" w:hAnsi="Times New Roman" w:hint="cs"/>
                <w:sz w:val="22"/>
                <w:szCs w:val="22"/>
                <w:rtl/>
              </w:rPr>
              <w:t>التي تم</w:t>
            </w:r>
            <w:r>
              <w:rPr>
                <w:rFonts w:ascii="Times New Roman" w:hAnsi="Times New Roman" w:hint="cs"/>
                <w:sz w:val="22"/>
                <w:szCs w:val="22"/>
                <w:rtl/>
              </w:rPr>
              <w:t xml:space="preserve"> إنجازها في يونيو/حزيران </w:t>
            </w:r>
            <w:r w:rsidR="00463EEC">
              <w:rPr>
                <w:rFonts w:ascii="Times New Roman" w:hAnsi="Times New Roman" w:hint="cs"/>
                <w:sz w:val="22"/>
                <w:szCs w:val="22"/>
                <w:rtl/>
              </w:rPr>
              <w:t>2016</w:t>
            </w:r>
            <w:r>
              <w:rPr>
                <w:rFonts w:ascii="Times New Roman" w:hAnsi="Times New Roman" w:hint="cs"/>
                <w:sz w:val="22"/>
                <w:szCs w:val="22"/>
                <w:rtl/>
              </w:rPr>
              <w:t>). وتهدف هذه الخطة إلى تحديد تدابير كفاءة استخدام الطاقة الأكثر جدوى في الأجل القصير إلى الطويل لتوفير الطاقة وتقليل انبعاثات ثاني أكسيد الكربون.</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ومن المقرر أن تكون المكونات المقترحة للمشروع كما يلي:</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المكون 1: تعزيز قدرات المتابعة والمساءلة للدفعات غير المسددة لفواتير الكهرباء (مليون دولار أمريكي).</w:t>
            </w: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 xml:space="preserve"> بناء على توصيات "دراسة صافي الإقراض لعام 2014"، سيركز هذا المكون على تحسين شفافية ومساءلة دورة سداد فاتورة الكهرباء التي شكلت عقبة رئيسية أمام مساءلة الأطراف التي الممتنعة عن سداد فاتورة الكهرباء.</w:t>
            </w:r>
            <w:r w:rsidR="00466820">
              <w:rPr>
                <w:rFonts w:ascii="Times New Roman" w:hAnsi="Times New Roman" w:hint="cs"/>
                <w:sz w:val="22"/>
                <w:szCs w:val="22"/>
                <w:rtl/>
              </w:rPr>
              <w:t xml:space="preserve"> </w:t>
            </w:r>
            <w:r>
              <w:rPr>
                <w:rFonts w:ascii="Times New Roman" w:hAnsi="Times New Roman" w:hint="cs"/>
                <w:sz w:val="22"/>
                <w:szCs w:val="22"/>
                <w:rtl/>
              </w:rPr>
              <w:t>وسيتم إنشاء قاعدة بيانات إلكترونية على شبكة الإنترنت لتتبع تحويل الفواتير والدفعات في موعدها إلى شركة كهرباء إسرائيل من جانب الأطراف الفلسطينية ذات الصلة، مثلا شركات التوزيع والبلديات. وستتولى شركة النقل الوطنية للكهرباء، بالتنسيق مع شركة كهرباء إسرائيل، إدارة قاعدة البيانات التي تلعب دورا بالغ الأهمية في مراقبة عمليات السداد (والامتناع عن السداد) لجميع الأطراف الفلسطينية المعنية، وخاصة في ضوء المفاوضات الجارية بين شركة النقل الوطنية للكهرباء وشركة كهرباء إسرائيل للتوصل إلى اتفاق ملزم قانونا بشأن شراء الكهرباء.</w:t>
            </w:r>
            <w:r w:rsidR="00466820">
              <w:rPr>
                <w:rFonts w:ascii="Times New Roman" w:hAnsi="Times New Roman" w:hint="cs"/>
                <w:sz w:val="22"/>
                <w:szCs w:val="22"/>
                <w:rtl/>
              </w:rPr>
              <w:t xml:space="preserve"> </w:t>
            </w:r>
            <w:r>
              <w:rPr>
                <w:rFonts w:ascii="Times New Roman" w:hAnsi="Times New Roman" w:hint="cs"/>
                <w:sz w:val="22"/>
                <w:szCs w:val="22"/>
                <w:rtl/>
              </w:rPr>
              <w:t>وسيتضمن المكون مكونا فرعيا للمساعدة القانونية لإعداد حملات لرفع التوعية للتصدي لثقافة الامتناع عن سداد فاتورة خدمات الكهرباء بين بعض الفئات السكانية المستهدفة، مثلا مخيمات اللاجئين. وسيسفر هذا المكون عن زيادة شفافية ومساءلة دورة سداد فاتورة الكهرباء بغرض زيادة دفعات خدمات الكهرباء.</w:t>
            </w:r>
          </w:p>
          <w:p w:rsidR="00FE18B8" w:rsidRDefault="00FE18B8" w:rsidP="00466820">
            <w:pPr>
              <w:jc w:val="both"/>
              <w:rPr>
                <w:rFonts w:ascii="Times New Roman" w:hAnsi="Times New Roman" w:cs="Times New Roman"/>
                <w:sz w:val="22"/>
                <w:szCs w:val="22"/>
              </w:rPr>
            </w:pPr>
          </w:p>
          <w:p w:rsidR="00FE18B8" w:rsidRDefault="00526F57" w:rsidP="00466820">
            <w:pPr>
              <w:bidi/>
              <w:jc w:val="both"/>
              <w:rPr>
                <w:rFonts w:ascii="Times New Roman" w:hAnsi="Times New Roman"/>
                <w:sz w:val="22"/>
                <w:szCs w:val="22"/>
                <w:rtl/>
              </w:rPr>
            </w:pPr>
            <w:r>
              <w:rPr>
                <w:rFonts w:ascii="Times New Roman" w:hAnsi="Times New Roman" w:hint="cs"/>
                <w:sz w:val="22"/>
                <w:szCs w:val="22"/>
                <w:rtl/>
              </w:rPr>
              <w:t>المكون 2: خفض فاقد الطاقة الكهربائية أثناء التوزيع وتعزيز إمدادات الكهرباء (6 ملايين دولار) يزيد الفاقد الفني وغير الفني من الشبكة على 20%، وهو أعلى من المعايير المرجعية الإقليمية. وسيركز المكون الثاني على تقليل الخسائر غير الفنية، مثلا السرقات، وزيادة تحصيل الفواتير من خلال استخدام العدادات الذكية وتركيب تجهيزات حديثة لقياس الاستهلاك، وكذلك مراقبة العدادات في بعض شركات التوزيع. ومن شأن تركيب عدادات قياس ذكية، بالإضافة إلى برامج تتبع البيانات والتطبيقات النقالة، أن يمكن الأسر المعيشية والزبائن الآخرين من التحكم بدرجة أكبر في معدل استهلاكهم.</w:t>
            </w:r>
            <w:r w:rsidR="00466820">
              <w:rPr>
                <w:rFonts w:ascii="Times New Roman" w:hAnsi="Times New Roman" w:hint="cs"/>
                <w:sz w:val="22"/>
                <w:szCs w:val="22"/>
                <w:rtl/>
              </w:rPr>
              <w:t xml:space="preserve"> </w:t>
            </w:r>
            <w:r>
              <w:rPr>
                <w:rFonts w:ascii="Times New Roman" w:hAnsi="Times New Roman" w:hint="cs"/>
                <w:sz w:val="22"/>
                <w:szCs w:val="22"/>
                <w:rtl/>
              </w:rPr>
              <w:t xml:space="preserve">وسيتضمن هذا المكون مكونا فرعيا ثانويا لتمويل شراء </w:t>
            </w:r>
            <w:r>
              <w:rPr>
                <w:rFonts w:ascii="Times New Roman" w:hAnsi="Times New Roman" w:hint="cs"/>
                <w:sz w:val="22"/>
                <w:szCs w:val="22"/>
                <w:rtl/>
              </w:rPr>
              <w:lastRenderedPageBreak/>
              <w:t>التجهيزات والأدوات والأشغال المدنية لتركيب خطوط التغذية الخارجة (تم شراؤها بدعم من الوكالة النرويجية للتنمية والتعاون) للمحطات الفرعية الجديدة في جنين ونابلس بقدرة 161/33 كيلو فولت (بتمويل من البنك الأوروبي للاستثمار). وسيسهم هذا المكون الفرعي في الإجراءات التي تتخذها السلطة الفلسطينية لزيادة إمدادات الكهرباء، وفي الوقت نفسه في الحد من الخسائر الفنية.</w:t>
            </w:r>
          </w:p>
          <w:p w:rsidR="00FE18B8" w:rsidRDefault="00FE18B8" w:rsidP="00466820">
            <w:pPr>
              <w:jc w:val="both"/>
              <w:rPr>
                <w:rFonts w:ascii="Times New Roman" w:hAnsi="Times New Roman" w:cs="Times New Roman"/>
                <w:sz w:val="22"/>
                <w:szCs w:val="22"/>
              </w:rPr>
            </w:pPr>
          </w:p>
          <w:p w:rsidR="00FE18B8" w:rsidRDefault="00526F57" w:rsidP="00463EEC">
            <w:pPr>
              <w:bidi/>
              <w:jc w:val="both"/>
              <w:rPr>
                <w:rFonts w:ascii="Times New Roman" w:hAnsi="Times New Roman"/>
                <w:sz w:val="22"/>
                <w:szCs w:val="22"/>
                <w:rtl/>
              </w:rPr>
            </w:pPr>
            <w:r>
              <w:rPr>
                <w:rFonts w:ascii="Times New Roman" w:hAnsi="Times New Roman" w:hint="cs"/>
                <w:sz w:val="22"/>
                <w:szCs w:val="22"/>
                <w:rtl/>
              </w:rPr>
              <w:t xml:space="preserve"> المكون 3: مساندة كفاءة استخدام الطاقة ومشروعات تطوير الطاقة المتجددة (3.5 مليون دولار) سيعمل هذا المكون على تنفيذ توصيات مختارة من خطة العمل المعنية بكفاءة استخدام الطاقة، كما سيدور محور تركيزه حول عدد من المشروعات التجريبية، وكذلك إيجاد تسهيل ائتماني لمساندة الاستثمارات صغيرة النطاق في مجال كفاءة استخدام الطاقة والطاقة المتجددة في القطاعين العام والخاص.</w:t>
            </w:r>
            <w:r w:rsidR="00466820">
              <w:rPr>
                <w:rFonts w:ascii="Times New Roman" w:hAnsi="Times New Roman" w:hint="cs"/>
                <w:sz w:val="22"/>
                <w:szCs w:val="22"/>
                <w:rtl/>
              </w:rPr>
              <w:t xml:space="preserve"> </w:t>
            </w:r>
            <w:r>
              <w:rPr>
                <w:rFonts w:ascii="Times New Roman" w:hAnsi="Times New Roman" w:hint="cs"/>
                <w:sz w:val="22"/>
                <w:szCs w:val="22"/>
                <w:rtl/>
              </w:rPr>
              <w:t>وتتضمن بعض الأفكار المبدئية مساندة مشروعات الطاقة الشمسية الصغيرة بأنظمة الخلايا الكهروضوئية فوق أسطح المباني العامة مثل المستشفيات والمدارس.</w:t>
            </w:r>
            <w:r w:rsidR="00466820">
              <w:rPr>
                <w:rFonts w:ascii="Times New Roman" w:hAnsi="Times New Roman" w:hint="cs"/>
                <w:sz w:val="22"/>
                <w:szCs w:val="22"/>
                <w:rtl/>
              </w:rPr>
              <w:t xml:space="preserve"> </w:t>
            </w:r>
            <w:r>
              <w:rPr>
                <w:rFonts w:ascii="Times New Roman" w:hAnsi="Times New Roman" w:hint="cs"/>
                <w:sz w:val="22"/>
                <w:szCs w:val="22"/>
                <w:rtl/>
              </w:rPr>
              <w:t>وسيساند المشروع المقترح</w:t>
            </w:r>
            <w:r w:rsidR="00466820">
              <w:rPr>
                <w:rFonts w:ascii="Times New Roman" w:hAnsi="Times New Roman" w:hint="cs"/>
                <w:sz w:val="22"/>
                <w:szCs w:val="22"/>
                <w:rtl/>
              </w:rPr>
              <w:t xml:space="preserve"> </w:t>
            </w:r>
            <w:r>
              <w:rPr>
                <w:rFonts w:ascii="Times New Roman" w:hAnsi="Times New Roman" w:hint="cs"/>
                <w:sz w:val="22"/>
                <w:szCs w:val="22"/>
                <w:rtl/>
              </w:rPr>
              <w:t>جهود الهيئة الفلسطينية للطاقة والموارد الطبيعية</w:t>
            </w:r>
            <w:r w:rsidR="00466820">
              <w:rPr>
                <w:rFonts w:ascii="Times New Roman" w:hAnsi="Times New Roman" w:hint="cs"/>
                <w:sz w:val="22"/>
                <w:szCs w:val="22"/>
                <w:rtl/>
              </w:rPr>
              <w:t xml:space="preserve"> </w:t>
            </w:r>
            <w:r>
              <w:rPr>
                <w:rFonts w:ascii="Times New Roman" w:hAnsi="Times New Roman" w:hint="cs"/>
                <w:sz w:val="22"/>
                <w:szCs w:val="22"/>
                <w:rtl/>
              </w:rPr>
              <w:t>الرامية إلى تنفيذ المرحلة الثانية من استراتيجيتها لتطوير أعمال إضاءة الشوارع التي تتسم بكفاءة استخدام الطاقة في البلديات.</w:t>
            </w:r>
            <w:r w:rsidR="00466820">
              <w:rPr>
                <w:rFonts w:ascii="Times New Roman" w:hAnsi="Times New Roman" w:hint="cs"/>
                <w:sz w:val="22"/>
                <w:szCs w:val="22"/>
                <w:rtl/>
              </w:rPr>
              <w:t xml:space="preserve"> </w:t>
            </w:r>
            <w:r>
              <w:rPr>
                <w:rFonts w:ascii="Times New Roman" w:hAnsi="Times New Roman" w:hint="cs"/>
                <w:sz w:val="22"/>
                <w:szCs w:val="22"/>
                <w:rtl/>
              </w:rPr>
              <w:t>وسيعمل المشروع المقترح بصورة وثيقة مع برنامج تنمية وتطوير البلديات الذي يسانده البنك الدولي لتحقيق هذه الأهداف.</w:t>
            </w:r>
            <w:r w:rsidR="00466820">
              <w:rPr>
                <w:rFonts w:ascii="Times New Roman" w:hAnsi="Times New Roman" w:hint="cs"/>
                <w:sz w:val="22"/>
                <w:szCs w:val="22"/>
                <w:rtl/>
              </w:rPr>
              <w:t xml:space="preserve"> </w:t>
            </w:r>
            <w:r>
              <w:rPr>
                <w:rFonts w:ascii="Times New Roman" w:hAnsi="Times New Roman" w:hint="cs"/>
                <w:sz w:val="22"/>
                <w:szCs w:val="22"/>
                <w:rtl/>
              </w:rPr>
              <w:t xml:space="preserve">وبعد الإنجاز الناجح لما يبلغ 3 </w:t>
            </w:r>
            <w:r w:rsidR="00466820">
              <w:rPr>
                <w:rFonts w:ascii="Times New Roman" w:hAnsi="Times New Roman" w:hint="cs"/>
                <w:sz w:val="22"/>
                <w:szCs w:val="22"/>
                <w:rtl/>
              </w:rPr>
              <w:t>-5</w:t>
            </w:r>
            <w:r>
              <w:rPr>
                <w:rFonts w:ascii="Times New Roman" w:hAnsi="Times New Roman" w:hint="cs"/>
                <w:sz w:val="22"/>
                <w:szCs w:val="22"/>
                <w:rtl/>
              </w:rPr>
              <w:t xml:space="preserve"> مشروعات تجريبية، سيعمل هذا المكون على توسيع نطاق تنفيذها في مناطق أخرى في الضفة الغربية، مع السعي إلى إبرام شراكات مع القطاع الخاص وجهات مانحة لتوسيع نطاق هذه المشروعات.</w:t>
            </w:r>
            <w:r w:rsidR="00466820">
              <w:rPr>
                <w:rFonts w:ascii="Times New Roman" w:hAnsi="Times New Roman" w:hint="cs"/>
                <w:sz w:val="22"/>
                <w:szCs w:val="22"/>
                <w:rtl/>
              </w:rPr>
              <w:t xml:space="preserve"> </w:t>
            </w:r>
            <w:r>
              <w:rPr>
                <w:rFonts w:ascii="Times New Roman" w:hAnsi="Times New Roman" w:hint="cs"/>
                <w:sz w:val="22"/>
                <w:szCs w:val="22"/>
                <w:rtl/>
              </w:rPr>
              <w:t xml:space="preserve">وسيتضمن هذا المكوّن مكونًا فرعيًا يتضمن برامج تدريب وخدمات استشارية فنية لموظفي الهيئة الفلسطينية للطاقة والموارد الطبيعية حول موضوعات الطاقة المتجددة وكفاءة استخدام الطاقة. وسيسهم هذا المكون في تحقيق النواتج المرتبطة بزيادة إنتاج الطاقة المتجددة في إطار هذا المشروع المقترح. </w:t>
            </w:r>
          </w:p>
          <w:p w:rsidR="00FE18B8" w:rsidRDefault="00FE18B8" w:rsidP="00466820">
            <w:pPr>
              <w:jc w:val="both"/>
              <w:rPr>
                <w:rFonts w:ascii="Times New Roman" w:hAnsi="Times New Roman" w:cs="Times New Roman"/>
                <w:sz w:val="22"/>
                <w:szCs w:val="22"/>
              </w:rPr>
            </w:pPr>
          </w:p>
          <w:p w:rsidR="00FE18B8" w:rsidRDefault="00526F57" w:rsidP="00463EEC">
            <w:pPr>
              <w:bidi/>
              <w:jc w:val="both"/>
              <w:rPr>
                <w:rFonts w:ascii="Times New Roman" w:hAnsi="Times New Roman"/>
                <w:sz w:val="22"/>
                <w:szCs w:val="22"/>
                <w:rtl/>
              </w:rPr>
            </w:pPr>
            <w:r>
              <w:rPr>
                <w:rFonts w:ascii="Times New Roman" w:hAnsi="Times New Roman" w:hint="cs"/>
                <w:sz w:val="22"/>
                <w:szCs w:val="22"/>
                <w:rtl/>
              </w:rPr>
              <w:t>المكون 4: تقديم المساعدة الفنية لشركة النقل الوطنية للكهرباء ومجلس تنظيم قطاع الكهرباء الفلسطيني (2.5 مليون دولار). سيوفر هذا المكون مساعدة فنية لشركة النقل الوطنية للكهرباء لتعزيز خبراتها الفنية لإنجاز الترتيبات التعاقدية المتصلة بمحطة الكهرباء المخططة التي تعمل بالغاز في جنين.</w:t>
            </w:r>
            <w:r w:rsidR="00466820">
              <w:rPr>
                <w:rFonts w:ascii="Times New Roman" w:hAnsi="Times New Roman" w:hint="cs"/>
                <w:sz w:val="22"/>
                <w:szCs w:val="22"/>
                <w:rtl/>
              </w:rPr>
              <w:t xml:space="preserve"> </w:t>
            </w:r>
            <w:r>
              <w:rPr>
                <w:rFonts w:ascii="Times New Roman" w:hAnsi="Times New Roman" w:hint="cs"/>
                <w:sz w:val="22"/>
                <w:szCs w:val="22"/>
                <w:rtl/>
              </w:rPr>
              <w:t>ومن المتوقع أن تشتري الشركة كامل الإنتاج من محطة كهرباء جنين بموجب اتفاقية شراء للكهرباء لمدة 23 عاما.</w:t>
            </w:r>
            <w:r w:rsidR="00466820">
              <w:rPr>
                <w:rFonts w:ascii="Times New Roman" w:hAnsi="Times New Roman" w:hint="cs"/>
                <w:sz w:val="22"/>
                <w:szCs w:val="22"/>
                <w:rtl/>
              </w:rPr>
              <w:t xml:space="preserve"> </w:t>
            </w:r>
            <w:r>
              <w:rPr>
                <w:rFonts w:ascii="Times New Roman" w:hAnsi="Times New Roman" w:hint="cs"/>
                <w:sz w:val="22"/>
                <w:szCs w:val="22"/>
                <w:rtl/>
              </w:rPr>
              <w:t>وسيوفر هذا المكون كذلك مساعدة فنية أولية لحوكمة قطاع البترول الفلسطيني الوليد، بما في ذلك إجراء تقييم مؤسسي لقدرة الهيئة الفلسطينية للطاقة والموارد الطبيعية على تنظيم قطاع البترول وخطة مؤسسية للتوظيف.</w:t>
            </w:r>
            <w:r w:rsidR="00466820">
              <w:rPr>
                <w:rFonts w:ascii="Times New Roman" w:hAnsi="Times New Roman" w:hint="cs"/>
                <w:sz w:val="22"/>
                <w:szCs w:val="22"/>
                <w:rtl/>
              </w:rPr>
              <w:t xml:space="preserve"> </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hint="cs"/>
                <w:color w:val="FFFFFF"/>
                <w:sz w:val="8"/>
                <w:szCs w:val="8"/>
                <w:rtl/>
              </w:rPr>
              <w:lastRenderedPageBreak/>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hint="cs"/>
                <w:color w:val="FFFFFF"/>
                <w:sz w:val="8"/>
                <w:szCs w:val="8"/>
                <w:rtl/>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New Roman" w:hAnsi="Times New Roman"/>
                <w:rtl/>
              </w:rPr>
            </w:pPr>
            <w:r>
              <w:rPr>
                <w:rFonts w:ascii="Times New Roman" w:hAnsi="Times New Roman" w:hint="cs"/>
                <w:b/>
                <w:bCs/>
                <w:rtl/>
              </w:rPr>
              <w:t>رابعًا. السياسات الوقائية التي قد تُطبق</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السياسات الوقائية التي يفعّلها المشروع</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hint="cs"/>
                <w:b/>
                <w:bCs/>
                <w:sz w:val="22"/>
                <w:szCs w:val="22"/>
                <w:rtl/>
              </w:rPr>
              <w:t>نعم</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hint="cs"/>
                <w:b/>
                <w:bCs/>
                <w:sz w:val="22"/>
                <w:szCs w:val="22"/>
                <w:rtl/>
              </w:rPr>
              <w:t>لا</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hint="cs"/>
                <w:b/>
                <w:bCs/>
                <w:sz w:val="22"/>
                <w:szCs w:val="22"/>
                <w:rtl/>
              </w:rPr>
              <w:t>يحدد لاحقا</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rsidP="004D5495">
            <w:pPr>
              <w:bidi/>
              <w:rPr>
                <w:rFonts w:ascii="Times New Roman" w:hAnsi="Times New Roman"/>
                <w:sz w:val="22"/>
                <w:szCs w:val="22"/>
                <w:rtl/>
              </w:rPr>
            </w:pPr>
            <w:r>
              <w:rPr>
                <w:rFonts w:ascii="Times New Roman" w:hAnsi="Times New Roman" w:hint="cs"/>
                <w:sz w:val="22"/>
                <w:szCs w:val="22"/>
                <w:rtl/>
              </w:rPr>
              <w:t xml:space="preserve">التقييم البيئي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w:t>
            </w:r>
            <w:r w:rsidR="004D5495">
              <w:rPr>
                <w:rFonts w:ascii="Times New Roman" w:hAnsi="Times New Roman" w:hint="cs"/>
                <w:sz w:val="22"/>
                <w:szCs w:val="22"/>
                <w:rtl/>
              </w:rPr>
              <w:t xml:space="preserve"> (</w:t>
            </w:r>
            <w:r w:rsidR="004D5495">
              <w:rPr>
                <w:rFonts w:ascii="Times New Roman" w:hAnsi="Times New Roman"/>
                <w:sz w:val="22"/>
                <w:szCs w:val="22"/>
              </w:rPr>
              <w:t>OP/BP 4.01</w:t>
            </w:r>
            <w:r w:rsidR="004D5495">
              <w:rPr>
                <w:rFonts w:ascii="Times New Roman" w:hAnsi="Times New Roman" w:hint="cs"/>
                <w:sz w:val="22"/>
                <w:szCs w:val="22"/>
                <w:rtl/>
              </w:rPr>
              <w:t>)</w:t>
            </w:r>
            <w:r>
              <w:rPr>
                <w:rFonts w:ascii="Times New Roman" w:hAnsi="Times New Roman" w:hint="cs"/>
                <w:sz w:val="22"/>
                <w:szCs w:val="22"/>
                <w:rtl/>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الموائل الطبيعية ــ منشور سياسة العمليات/إجراءات البنك (</w:t>
            </w:r>
            <w:r>
              <w:rPr>
                <w:rFonts w:ascii="Times New Roman" w:hAnsi="Times New Roman"/>
                <w:sz w:val="22"/>
                <w:szCs w:val="22"/>
              </w:rPr>
              <w:t>OP/BP 4.04</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الغابات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 (</w:t>
            </w:r>
            <w:r>
              <w:rPr>
                <w:rFonts w:ascii="Times New Roman" w:hAnsi="Times New Roman"/>
                <w:sz w:val="22"/>
                <w:szCs w:val="22"/>
              </w:rPr>
              <w:t>OP/BP 4.36</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مكافحة الآفات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 (</w:t>
            </w:r>
            <w:r>
              <w:rPr>
                <w:rFonts w:ascii="Times New Roman" w:hAnsi="Times New Roman"/>
                <w:sz w:val="22"/>
                <w:szCs w:val="22"/>
              </w:rPr>
              <w:t>OP 4.09</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الموارد الحضارية المادية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 (</w:t>
            </w:r>
            <w:r>
              <w:rPr>
                <w:rFonts w:ascii="Times New Roman" w:hAnsi="Times New Roman"/>
                <w:sz w:val="22"/>
                <w:szCs w:val="22"/>
              </w:rPr>
              <w:t>OP/BP 4.11</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الشعوب الأصلية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 (</w:t>
            </w:r>
            <w:r>
              <w:rPr>
                <w:rFonts w:ascii="Times New Roman" w:hAnsi="Times New Roman"/>
                <w:sz w:val="22"/>
                <w:szCs w:val="22"/>
              </w:rPr>
              <w:t>OP/BP 4.10</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إعادة التوطين القسرية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 (</w:t>
            </w:r>
            <w:r>
              <w:rPr>
                <w:rFonts w:ascii="Times New Roman" w:hAnsi="Times New Roman"/>
                <w:sz w:val="22"/>
                <w:szCs w:val="22"/>
              </w:rPr>
              <w:t>OP/BP 4.12</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 xml:space="preserve">سلامة السدود </w:t>
            </w:r>
            <w:r w:rsidR="00466820">
              <w:rPr>
                <w:rFonts w:ascii="Times New Roman" w:hAnsi="Times New Roman" w:hint="cs"/>
                <w:sz w:val="22"/>
                <w:szCs w:val="22"/>
                <w:rtl/>
              </w:rPr>
              <w:t>-منشور</w:t>
            </w:r>
            <w:r>
              <w:rPr>
                <w:rFonts w:ascii="Times New Roman" w:hAnsi="Times New Roman" w:hint="cs"/>
                <w:sz w:val="22"/>
                <w:szCs w:val="22"/>
                <w:rtl/>
              </w:rPr>
              <w:t xml:space="preserve"> سياسة العمليات/إجراءات البنك (</w:t>
            </w:r>
            <w:r>
              <w:rPr>
                <w:rFonts w:ascii="Times New Roman" w:hAnsi="Times New Roman"/>
                <w:sz w:val="22"/>
                <w:szCs w:val="22"/>
              </w:rPr>
              <w:t>OP/BP 4.37</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المشروعات على مجاري المياه الدولية ــ منشور سياسة العمليات/إجراءات البنك (</w:t>
            </w:r>
            <w:r>
              <w:rPr>
                <w:rFonts w:ascii="Times New Roman" w:hAnsi="Times New Roman"/>
                <w:sz w:val="22"/>
                <w:szCs w:val="22"/>
              </w:rPr>
              <w:t>OP/BP 7.50</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المشاريع المقامة في المناطق المتنازع عليها ــ منشور سياسة العمليات/إجراءات البنك (</w:t>
            </w:r>
            <w:r>
              <w:rPr>
                <w:rFonts w:ascii="Times New Roman" w:hAnsi="Times New Roman"/>
                <w:sz w:val="22"/>
                <w:szCs w:val="22"/>
              </w:rPr>
              <w:t>OP/BP 7.60</w:t>
            </w:r>
            <w:r>
              <w:rPr>
                <w:rFonts w:ascii="Times New Roman" w:hAnsi="Times New Roman" w:hint="cs"/>
                <w:sz w:val="22"/>
                <w:szCs w:val="22"/>
                <w:rtl/>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center"/>
              <w:rPr>
                <w:rFonts w:ascii="Times New Roman" w:hAnsi="Times New Roman"/>
                <w:sz w:val="22"/>
                <w:szCs w:val="22"/>
                <w:rtl/>
              </w:rPr>
            </w:pPr>
            <w:r>
              <w:rPr>
                <w:rFonts w:ascii="Times New Roman" w:hAnsi="Times New Roman"/>
                <w:b/>
                <w:bCs/>
                <w:sz w:val="22"/>
                <w:szCs w:val="22"/>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FE18B8">
            <w:pPr>
              <w:jc w:val="center"/>
              <w:rPr>
                <w:rFonts w:ascii="Times New Roman" w:hAnsi="Times New Roman" w:cs="Times New Roman"/>
                <w:color w:val="auto"/>
              </w:rPr>
            </w:pP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color w:val="FFFFFF"/>
                <w:sz w:val="8"/>
                <w:szCs w:val="8"/>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color w:val="FFFFFF"/>
                <w:sz w:val="8"/>
                <w:szCs w:val="8"/>
              </w:rPr>
              <w:t>.</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New Roman" w:hAnsi="Times New Roman"/>
                <w:rtl/>
              </w:rPr>
            </w:pPr>
            <w:r>
              <w:rPr>
                <w:rFonts w:ascii="Times New Roman" w:hAnsi="Times New Roman" w:hint="cs"/>
                <w:b/>
                <w:bCs/>
                <w:rtl/>
              </w:rPr>
              <w:t>خامساً. التمويل (بملايين الدولارات الأمريكية)</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التكلفة الإجمالية للمشروع:</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13.00</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إجمالي مبلغ التمويل من البنك الدولي:</w:t>
            </w:r>
          </w:p>
        </w:tc>
        <w:tc>
          <w:tcPr>
            <w:tcW w:w="22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0.00</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الفجوة التمويلية:</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0.00</w:t>
            </w:r>
          </w:p>
        </w:tc>
        <w:tc>
          <w:tcPr>
            <w:tcW w:w="4557"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b/>
                <w:bCs/>
                <w:sz w:val="22"/>
                <w:szCs w:val="22"/>
                <w:rtl/>
              </w:rPr>
              <w:t>مصدر التمويل</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right"/>
              <w:rPr>
                <w:rFonts w:ascii="Times New Roman" w:hAnsi="Times New Roman"/>
                <w:sz w:val="22"/>
                <w:szCs w:val="22"/>
                <w:rtl/>
              </w:rPr>
            </w:pPr>
            <w:r>
              <w:rPr>
                <w:rFonts w:ascii="Times New Roman" w:hAnsi="Times New Roman" w:hint="cs"/>
                <w:b/>
                <w:bCs/>
                <w:sz w:val="22"/>
                <w:szCs w:val="22"/>
                <w:rtl/>
              </w:rPr>
              <w:t>المبلغ</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البنك الإسلامي للتنمية</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right"/>
              <w:rPr>
                <w:rFonts w:ascii="Times New Roman" w:hAnsi="Times New Roman"/>
                <w:sz w:val="22"/>
                <w:szCs w:val="22"/>
                <w:rtl/>
              </w:rPr>
            </w:pPr>
            <w:r>
              <w:rPr>
                <w:rFonts w:ascii="Times New Roman" w:hAnsi="Times New Roman" w:hint="cs"/>
                <w:sz w:val="22"/>
                <w:szCs w:val="22"/>
                <w:rtl/>
              </w:rPr>
              <w:t>5.00</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صندوق تقوية قدرات الدول وبناء السلام</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right"/>
              <w:rPr>
                <w:rFonts w:ascii="Times New Roman" w:hAnsi="Times New Roman"/>
                <w:sz w:val="22"/>
                <w:szCs w:val="22"/>
                <w:rtl/>
              </w:rPr>
            </w:pPr>
            <w:r>
              <w:rPr>
                <w:rFonts w:ascii="Times New Roman" w:hAnsi="Times New Roman" w:hint="cs"/>
                <w:sz w:val="22"/>
                <w:szCs w:val="22"/>
                <w:rtl/>
              </w:rPr>
              <w:t>2.00</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تمويل خاص</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right"/>
              <w:rPr>
                <w:rFonts w:ascii="Times New Roman" w:hAnsi="Times New Roman"/>
                <w:sz w:val="22"/>
                <w:szCs w:val="22"/>
                <w:rtl/>
              </w:rPr>
            </w:pPr>
            <w:r>
              <w:rPr>
                <w:rFonts w:ascii="Times New Roman" w:hAnsi="Times New Roman" w:hint="cs"/>
                <w:sz w:val="22"/>
                <w:szCs w:val="22"/>
                <w:rtl/>
              </w:rPr>
              <w:t>6.00</w:t>
            </w:r>
          </w:p>
        </w:tc>
      </w:tr>
      <w:tr w:rsidR="00FE18B8">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FE18B8" w:rsidRDefault="00FE18B8">
            <w:pPr>
              <w:rPr>
                <w:rFonts w:ascii="Times New Roman" w:hAnsi="Times New Roman" w:cs="Times New Roman"/>
                <w:color w:val="auto"/>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rPr>
                <w:rFonts w:ascii="Times New Roman" w:hAnsi="Times New Roman"/>
                <w:sz w:val="22"/>
                <w:szCs w:val="22"/>
                <w:rtl/>
              </w:rPr>
            </w:pPr>
            <w:r>
              <w:rPr>
                <w:rFonts w:ascii="Times New Roman" w:hAnsi="Times New Roman" w:hint="cs"/>
                <w:sz w:val="22"/>
                <w:szCs w:val="22"/>
                <w:rtl/>
              </w:rPr>
              <w:t>الإجمالي</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E18B8" w:rsidRDefault="00526F57">
            <w:pPr>
              <w:bidi/>
              <w:jc w:val="right"/>
              <w:rPr>
                <w:rFonts w:ascii="Times New Roman" w:hAnsi="Times New Roman"/>
                <w:sz w:val="22"/>
                <w:szCs w:val="22"/>
                <w:rtl/>
              </w:rPr>
            </w:pPr>
            <w:r>
              <w:rPr>
                <w:rFonts w:ascii="Times New Roman" w:hAnsi="Times New Roman" w:hint="cs"/>
                <w:sz w:val="22"/>
                <w:szCs w:val="22"/>
                <w:rtl/>
              </w:rPr>
              <w:t>13.00</w:t>
            </w:r>
          </w:p>
        </w:tc>
      </w:tr>
      <w:tr w:rsidR="00FE18B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FE18B8" w:rsidRDefault="00526F57">
            <w:pPr>
              <w:bidi/>
              <w:rPr>
                <w:rFonts w:ascii="Times" w:hAnsi="Times"/>
                <w:color w:val="FFFFFF"/>
                <w:sz w:val="8"/>
                <w:szCs w:val="8"/>
                <w:rtl/>
              </w:rPr>
            </w:pPr>
            <w:r>
              <w:rPr>
                <w:rFonts w:ascii="Times" w:hAnsi="Times" w:hint="cs"/>
                <w:color w:val="FFFFFF"/>
                <w:sz w:val="8"/>
                <w:szCs w:val="8"/>
                <w:rtl/>
              </w:rPr>
              <w:t>.</w:t>
            </w:r>
          </w:p>
        </w:tc>
      </w:tr>
    </w:tbl>
    <w:p w:rsidR="00FE18B8" w:rsidRDefault="00FE18B8">
      <w:pPr>
        <w:rPr>
          <w:rFonts w:ascii="Times" w:hAnsi="Times" w:cs="Times"/>
          <w:color w:val="FFFFFF"/>
          <w:sz w:val="8"/>
          <w:szCs w:val="8"/>
        </w:rPr>
      </w:pPr>
    </w:p>
    <w:tbl>
      <w:tblPr>
        <w:bidiVisual/>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94"/>
        <w:gridCol w:w="936"/>
        <w:gridCol w:w="8145"/>
      </w:tblGrid>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8"/>
                <w:szCs w:val="8"/>
                <w:rtl/>
              </w:rPr>
            </w:pPr>
            <w:r>
              <w:rPr>
                <w:rFonts w:ascii="Times" w:hAnsi="Times" w:hint="cs"/>
                <w:color w:val="FFFFFF"/>
                <w:sz w:val="8"/>
                <w:szCs w:val="8"/>
                <w:rtl/>
              </w:rPr>
              <w:t>.</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New Roman" w:hAnsi="Times New Roman"/>
                <w:rtl/>
              </w:rPr>
            </w:pPr>
            <w:r>
              <w:rPr>
                <w:rFonts w:ascii="Times New Roman" w:hAnsi="Times New Roman" w:hint="cs"/>
                <w:b/>
                <w:bCs/>
                <w:rtl/>
              </w:rPr>
              <w:t>سادسًا. مسؤول الاتصال</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10"/>
                <w:szCs w:val="10"/>
                <w:rtl/>
              </w:rPr>
            </w:pPr>
            <w:r>
              <w:rPr>
                <w:rFonts w:ascii="Times" w:hAnsi="Times" w:hint="cs"/>
                <w:color w:val="FFFFFF"/>
                <w:sz w:val="10"/>
                <w:szCs w:val="10"/>
                <w:rtl/>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114" w:type="dxa"/>
            <w:gridSpan w:val="3"/>
            <w:tcBorders>
              <w:top w:val="nil"/>
              <w:left w:val="nil"/>
              <w:bottom w:val="nil"/>
              <w:right w:val="nil"/>
            </w:tcBorders>
            <w:shd w:val="clear" w:color="auto" w:fill="FFFFFF"/>
            <w:vAlign w:val="center"/>
          </w:tcPr>
          <w:p w:rsidR="00FE18B8" w:rsidRDefault="00526F57">
            <w:pPr>
              <w:bidi/>
              <w:rPr>
                <w:rFonts w:ascii="Times New Roman" w:hAnsi="Times New Roman"/>
                <w:rtl/>
              </w:rPr>
            </w:pPr>
            <w:r>
              <w:rPr>
                <w:rFonts w:ascii="Times New Roman" w:hAnsi="Times New Roman" w:hint="cs"/>
                <w:b/>
                <w:bCs/>
                <w:rtl/>
              </w:rPr>
              <w:t>البنك الدولي</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6"/>
                <w:szCs w:val="6"/>
                <w:rtl/>
              </w:rPr>
            </w:pPr>
            <w:r>
              <w:rPr>
                <w:rFonts w:ascii="Times" w:hAnsi="Times" w:hint="cs"/>
                <w:color w:val="FFFFFF"/>
                <w:sz w:val="6"/>
                <w:szCs w:val="6"/>
                <w:rtl/>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للاتصال:</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روجر كوما كانيل</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المنصب:</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أخصائي أول الطاقة</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هاتف:</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473-2962</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البريد الإلكتروني:</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sz w:val="22"/>
                <w:szCs w:val="22"/>
              </w:rPr>
              <w:t>rcomacunill@worldbank.org</w:t>
            </w:r>
          </w:p>
        </w:tc>
      </w:tr>
      <w:tr w:rsidR="00FE18B8">
        <w:tc>
          <w:tcPr>
            <w:tcW w:w="9300" w:type="dxa"/>
            <w:gridSpan w:val="4"/>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8"/>
                <w:szCs w:val="8"/>
                <w:rtl/>
              </w:rPr>
            </w:pPr>
            <w:r>
              <w:rPr>
                <w:rFonts w:ascii="Times" w:hAnsi="Times"/>
                <w:color w:val="FFFFFF"/>
                <w:sz w:val="8"/>
                <w:szCs w:val="8"/>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114" w:type="dxa"/>
            <w:gridSpan w:val="3"/>
            <w:tcBorders>
              <w:top w:val="nil"/>
              <w:left w:val="nil"/>
              <w:bottom w:val="nil"/>
              <w:right w:val="nil"/>
            </w:tcBorders>
            <w:shd w:val="clear" w:color="auto" w:fill="FFFFFF"/>
            <w:vAlign w:val="center"/>
          </w:tcPr>
          <w:p w:rsidR="00FE18B8" w:rsidRDefault="00526F57">
            <w:pPr>
              <w:bidi/>
              <w:rPr>
                <w:rFonts w:ascii="Times New Roman" w:hAnsi="Times New Roman"/>
                <w:rtl/>
              </w:rPr>
            </w:pPr>
            <w:r>
              <w:rPr>
                <w:rFonts w:ascii="Times New Roman" w:hAnsi="Times New Roman" w:hint="cs"/>
                <w:b/>
                <w:bCs/>
                <w:rtl/>
              </w:rPr>
              <w:t>المقترض/البلد المتعامل مع البنك/الجهة المستفيدة</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6"/>
                <w:szCs w:val="6"/>
                <w:rtl/>
              </w:rPr>
            </w:pPr>
            <w:r>
              <w:rPr>
                <w:rFonts w:ascii="Times" w:hAnsi="Times" w:hint="cs"/>
                <w:color w:val="FFFFFF"/>
                <w:sz w:val="6"/>
                <w:szCs w:val="6"/>
                <w:rtl/>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الاسم:</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منظمة التحرير الفلسطينية (لصالح السلطة الفلسطينية)</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للاتصال:</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ليلى صبيح الغريب</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المسمى الوظيفي:</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دائرة العلاقات الدولية والمشاريع</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هاتف:</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hint="cs"/>
                <w:sz w:val="22"/>
                <w:szCs w:val="22"/>
              </w:rPr>
              <w:t>970599111731</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البريد الإلكتروني:</w:t>
            </w:r>
          </w:p>
        </w:tc>
        <w:tc>
          <w:tcPr>
            <w:tcW w:w="8091"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4"/>
                <w:szCs w:val="4"/>
                <w:rtl/>
              </w:rPr>
            </w:pPr>
            <w:r>
              <w:rPr>
                <w:rFonts w:ascii="Times" w:hAnsi="Times" w:hint="cs"/>
                <w:color w:val="FFFFFF"/>
                <w:sz w:val="4"/>
                <w:szCs w:val="4"/>
                <w:rtl/>
              </w:rPr>
              <w:t>.</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8"/>
                <w:szCs w:val="8"/>
                <w:rtl/>
              </w:rPr>
            </w:pPr>
            <w:r>
              <w:rPr>
                <w:rFonts w:ascii="Times" w:hAnsi="Times" w:hint="cs"/>
                <w:color w:val="FFFFFF"/>
                <w:sz w:val="8"/>
                <w:szCs w:val="8"/>
                <w:rtl/>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114" w:type="dxa"/>
            <w:gridSpan w:val="3"/>
            <w:tcBorders>
              <w:top w:val="nil"/>
              <w:left w:val="nil"/>
              <w:bottom w:val="nil"/>
              <w:right w:val="nil"/>
            </w:tcBorders>
            <w:shd w:val="clear" w:color="auto" w:fill="FFFFFF"/>
            <w:vAlign w:val="center"/>
          </w:tcPr>
          <w:p w:rsidR="00FE18B8" w:rsidRDefault="00526F57">
            <w:pPr>
              <w:bidi/>
              <w:rPr>
                <w:rFonts w:ascii="Times New Roman" w:hAnsi="Times New Roman"/>
                <w:rtl/>
              </w:rPr>
            </w:pPr>
            <w:r>
              <w:rPr>
                <w:rFonts w:ascii="Times New Roman" w:hAnsi="Times New Roman" w:hint="cs"/>
                <w:b/>
                <w:bCs/>
                <w:rtl/>
              </w:rPr>
              <w:t>الجهات التي تتولى إدارة تنفيذ المشروع</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6"/>
                <w:szCs w:val="6"/>
                <w:rtl/>
              </w:rPr>
            </w:pPr>
            <w:r>
              <w:rPr>
                <w:rFonts w:ascii="Times" w:hAnsi="Times" w:hint="cs"/>
                <w:color w:val="FFFFFF"/>
                <w:sz w:val="6"/>
                <w:szCs w:val="6"/>
                <w:rtl/>
              </w:rPr>
              <w:t>.</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الاسم:</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سلطة الطاقة والموارد الطبيعية الفلسطينية</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للاتصال:</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المهندس منذر حموده</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المسمى الوظيفي:</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مدير وحدة إدارة المشروع</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هاتف:</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hint="cs"/>
                <w:sz w:val="22"/>
                <w:szCs w:val="22"/>
              </w:rPr>
              <w:t>+ 970(972) 2 2986192</w:t>
            </w:r>
          </w:p>
        </w:tc>
      </w:tr>
      <w:tr w:rsidR="00FE18B8">
        <w:tc>
          <w:tcPr>
            <w:tcW w:w="186" w:type="dxa"/>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1023"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البريد الإلكتروني:</w:t>
            </w:r>
          </w:p>
        </w:tc>
        <w:tc>
          <w:tcPr>
            <w:tcW w:w="8091" w:type="dxa"/>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sz w:val="22"/>
                <w:szCs w:val="22"/>
              </w:rPr>
              <w:t>monther@menr.org</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4"/>
                <w:szCs w:val="4"/>
                <w:rtl/>
              </w:rPr>
            </w:pPr>
            <w:r>
              <w:rPr>
                <w:rFonts w:ascii="Times" w:hAnsi="Times"/>
                <w:color w:val="FFFFFF"/>
                <w:sz w:val="4"/>
                <w:szCs w:val="4"/>
              </w:rPr>
              <w:t>.</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8"/>
                <w:szCs w:val="8"/>
                <w:rtl/>
              </w:rPr>
            </w:pPr>
            <w:r>
              <w:rPr>
                <w:rFonts w:ascii="Times" w:hAnsi="Times"/>
                <w:color w:val="FFFFFF"/>
                <w:sz w:val="8"/>
                <w:szCs w:val="8"/>
              </w:rPr>
              <w:t>.</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New Roman" w:hAnsi="Times New Roman"/>
                <w:rtl/>
              </w:rPr>
            </w:pPr>
            <w:r>
              <w:rPr>
                <w:rFonts w:ascii="Times New Roman" w:hAnsi="Times New Roman" w:hint="cs"/>
                <w:b/>
                <w:bCs/>
                <w:rtl/>
              </w:rPr>
              <w:t>سابعا. للمزيد من المعلومات الرجاء الاتصال بـ:</w:t>
            </w:r>
          </w:p>
        </w:tc>
      </w:tr>
      <w:tr w:rsidR="00FE18B8">
        <w:tc>
          <w:tcPr>
            <w:tcW w:w="9300" w:type="dxa"/>
            <w:gridSpan w:val="4"/>
            <w:tcBorders>
              <w:top w:val="nil"/>
              <w:left w:val="nil"/>
              <w:bottom w:val="nil"/>
              <w:right w:val="nil"/>
            </w:tcBorders>
            <w:shd w:val="clear" w:color="auto" w:fill="FFFFFF"/>
            <w:vAlign w:val="center"/>
          </w:tcPr>
          <w:p w:rsidR="00FE18B8" w:rsidRDefault="00526F57">
            <w:pPr>
              <w:bidi/>
              <w:rPr>
                <w:rFonts w:ascii="Times" w:hAnsi="Times"/>
                <w:color w:val="FFFFFF"/>
                <w:sz w:val="10"/>
                <w:szCs w:val="10"/>
                <w:rtl/>
              </w:rPr>
            </w:pPr>
            <w:r>
              <w:rPr>
                <w:rFonts w:ascii="Times" w:hAnsi="Times" w:hint="cs"/>
                <w:color w:val="FFFFFF"/>
                <w:sz w:val="10"/>
                <w:szCs w:val="10"/>
                <w:rtl/>
              </w:rPr>
              <w:t>.</w:t>
            </w:r>
          </w:p>
        </w:tc>
      </w:tr>
      <w:tr w:rsidR="00FE18B8">
        <w:tc>
          <w:tcPr>
            <w:tcW w:w="279" w:type="dxa"/>
            <w:gridSpan w:val="2"/>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021"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البنك الدولي</w:t>
            </w:r>
          </w:p>
        </w:tc>
      </w:tr>
      <w:tr w:rsidR="00FE18B8">
        <w:tc>
          <w:tcPr>
            <w:tcW w:w="279" w:type="dxa"/>
            <w:gridSpan w:val="2"/>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021"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hint="cs"/>
                <w:sz w:val="22"/>
                <w:szCs w:val="22"/>
              </w:rPr>
              <w:t xml:space="preserve">1818 </w:t>
            </w:r>
            <w:r>
              <w:rPr>
                <w:rFonts w:ascii="Times New Roman" w:hAnsi="Times New Roman"/>
                <w:sz w:val="22"/>
                <w:szCs w:val="22"/>
              </w:rPr>
              <w:t>H Street, NW</w:t>
            </w:r>
          </w:p>
        </w:tc>
      </w:tr>
      <w:tr w:rsidR="00FE18B8">
        <w:tc>
          <w:tcPr>
            <w:tcW w:w="279" w:type="dxa"/>
            <w:gridSpan w:val="2"/>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021"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sz w:val="22"/>
                <w:szCs w:val="22"/>
              </w:rPr>
              <w:t>Washington, D.C. 20433</w:t>
            </w:r>
          </w:p>
        </w:tc>
      </w:tr>
      <w:tr w:rsidR="00FE18B8">
        <w:tc>
          <w:tcPr>
            <w:tcW w:w="279" w:type="dxa"/>
            <w:gridSpan w:val="2"/>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021"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tl/>
              </w:rPr>
            </w:pPr>
            <w:r>
              <w:rPr>
                <w:rFonts w:ascii="Times New Roman" w:hAnsi="Times New Roman" w:hint="cs"/>
                <w:sz w:val="22"/>
                <w:szCs w:val="22"/>
                <w:rtl/>
              </w:rPr>
              <w:t xml:space="preserve">هاتف: </w:t>
            </w:r>
            <w:r>
              <w:rPr>
                <w:rFonts w:ascii="Times New Roman" w:hAnsi="Times New Roman" w:hint="cs"/>
                <w:sz w:val="22"/>
                <w:szCs w:val="22"/>
              </w:rPr>
              <w:t>(202) 473-1000</w:t>
            </w:r>
          </w:p>
        </w:tc>
      </w:tr>
      <w:tr w:rsidR="00FE18B8">
        <w:tc>
          <w:tcPr>
            <w:tcW w:w="279" w:type="dxa"/>
            <w:gridSpan w:val="2"/>
            <w:tcBorders>
              <w:top w:val="nil"/>
              <w:left w:val="nil"/>
              <w:bottom w:val="nil"/>
              <w:right w:val="nil"/>
            </w:tcBorders>
            <w:shd w:val="clear" w:color="auto" w:fill="FFFFFF"/>
            <w:vAlign w:val="center"/>
          </w:tcPr>
          <w:p w:rsidR="00FE18B8" w:rsidRDefault="00FE18B8">
            <w:pPr>
              <w:rPr>
                <w:rFonts w:ascii="Times New Roman" w:hAnsi="Times New Roman" w:cs="Times New Roman"/>
                <w:color w:val="auto"/>
              </w:rPr>
            </w:pPr>
          </w:p>
        </w:tc>
        <w:tc>
          <w:tcPr>
            <w:tcW w:w="9021" w:type="dxa"/>
            <w:gridSpan w:val="2"/>
            <w:tcBorders>
              <w:top w:val="nil"/>
              <w:left w:val="nil"/>
              <w:bottom w:val="nil"/>
              <w:right w:val="nil"/>
            </w:tcBorders>
            <w:shd w:val="clear" w:color="auto" w:fill="FFFFFF"/>
            <w:vAlign w:val="center"/>
          </w:tcPr>
          <w:p w:rsidR="00FE18B8" w:rsidRDefault="00526F57">
            <w:pPr>
              <w:bidi/>
              <w:rPr>
                <w:rFonts w:ascii="Times New Roman" w:hAnsi="Times New Roman"/>
                <w:sz w:val="22"/>
                <w:szCs w:val="22"/>
              </w:rPr>
            </w:pPr>
            <w:r>
              <w:rPr>
                <w:rFonts w:ascii="Times New Roman" w:hAnsi="Times New Roman"/>
                <w:sz w:val="22"/>
                <w:szCs w:val="22"/>
              </w:rPr>
              <w:t>Web: http://www.worldbank.org/projects</w:t>
            </w:r>
          </w:p>
        </w:tc>
      </w:tr>
    </w:tbl>
    <w:p w:rsidR="00FE18B8" w:rsidRDefault="00FE18B8"/>
    <w:sectPr w:rsidR="00FE18B8">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57"/>
    <w:rsid w:val="000554CF"/>
    <w:rsid w:val="000C0F8A"/>
    <w:rsid w:val="00463EEC"/>
    <w:rsid w:val="00466820"/>
    <w:rsid w:val="004D5495"/>
    <w:rsid w:val="00526F57"/>
    <w:rsid w:val="009C5B0F"/>
    <w:rsid w:val="00FE1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C90273C-0AB2-4F0E-B2D3-3C841B71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3175</Words>
  <Characters>17364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Njore</dc:creator>
  <cp:keywords/>
  <dc:description/>
  <cp:lastModifiedBy>Lina Janenaite</cp:lastModifiedBy>
  <cp:revision>2</cp:revision>
  <dcterms:created xsi:type="dcterms:W3CDTF">2017-02-17T14:45:00Z</dcterms:created>
  <dcterms:modified xsi:type="dcterms:W3CDTF">2017-02-17T14:45:00Z</dcterms:modified>
</cp:coreProperties>
</file>