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AF46" w14:textId="77777777" w:rsidR="00133AEB" w:rsidRDefault="00133AEB" w:rsidP="00FE11C6">
      <w:pPr>
        <w:pStyle w:val="Title"/>
        <w:jc w:val="left"/>
        <w:rPr>
          <w:rStyle w:val="Heading1Char"/>
          <w:rFonts w:asciiTheme="minorHAnsi" w:hAnsiTheme="minorHAnsi"/>
        </w:rPr>
      </w:pPr>
      <w:r>
        <w:rPr>
          <w:rStyle w:val="Heading1Char"/>
          <w:rFonts w:asciiTheme="minorHAnsi" w:hAnsiTheme="minorHAnsi"/>
        </w:rPr>
        <w:t xml:space="preserve">POLICY NOTE: </w:t>
      </w:r>
    </w:p>
    <w:p w14:paraId="16DDD118" w14:textId="77777777" w:rsidR="00133AEB" w:rsidRDefault="00133AEB" w:rsidP="00FE11C6">
      <w:pPr>
        <w:pStyle w:val="Title"/>
        <w:jc w:val="left"/>
        <w:rPr>
          <w:rStyle w:val="Heading1Char"/>
          <w:rFonts w:asciiTheme="minorHAnsi" w:hAnsiTheme="minorHAnsi"/>
        </w:rPr>
      </w:pPr>
    </w:p>
    <w:p w14:paraId="56AB5631" w14:textId="77777777" w:rsidR="00133AEB" w:rsidRPr="00AE7BB9" w:rsidRDefault="00133AEB" w:rsidP="00FE11C6">
      <w:pPr>
        <w:pStyle w:val="Title"/>
        <w:jc w:val="left"/>
        <w:rPr>
          <w:rFonts w:asciiTheme="minorHAnsi" w:hAnsiTheme="minorHAnsi"/>
          <w:color w:val="333333"/>
          <w:sz w:val="27"/>
          <w:szCs w:val="27"/>
          <w:shd w:val="clear" w:color="auto" w:fill="FFFFFF"/>
        </w:rPr>
      </w:pPr>
      <w:r w:rsidRPr="00AE7BB9">
        <w:rPr>
          <w:rStyle w:val="Heading1Char"/>
          <w:rFonts w:asciiTheme="minorHAnsi" w:hAnsiTheme="minorHAnsi"/>
        </w:rPr>
        <w:t xml:space="preserve">Exploring factors driving </w:t>
      </w:r>
      <w:r>
        <w:rPr>
          <w:rStyle w:val="Heading1Char"/>
          <w:rFonts w:asciiTheme="minorHAnsi" w:hAnsiTheme="minorHAnsi"/>
        </w:rPr>
        <w:t xml:space="preserve">the </w:t>
      </w:r>
      <w:r w:rsidRPr="00AE7BB9">
        <w:rPr>
          <w:rStyle w:val="Heading1Char"/>
          <w:rFonts w:asciiTheme="minorHAnsi" w:hAnsiTheme="minorHAnsi"/>
        </w:rPr>
        <w:t xml:space="preserve">performance of rural health care in Papua New Guinea </w:t>
      </w:r>
      <w:r>
        <w:rPr>
          <w:rStyle w:val="FootnoteReference"/>
          <w:rFonts w:asciiTheme="minorHAnsi" w:hAnsiTheme="minorHAnsi"/>
          <w:b/>
          <w:bCs/>
          <w:color w:val="2E74B5" w:themeColor="accent1" w:themeShade="BF"/>
          <w:sz w:val="28"/>
          <w:szCs w:val="28"/>
        </w:rPr>
        <w:footnoteReference w:id="2"/>
      </w:r>
      <w:r w:rsidRPr="00AE7BB9">
        <w:rPr>
          <w:rStyle w:val="Heading1Char"/>
          <w:rFonts w:asciiTheme="minorHAnsi" w:hAnsiTheme="minorHAnsi"/>
        </w:rPr>
        <w:br/>
      </w:r>
    </w:p>
    <w:p w14:paraId="061672CA" w14:textId="77777777" w:rsidR="00133AEB" w:rsidRPr="001F6A23" w:rsidRDefault="00133AEB" w:rsidP="001F6A23">
      <w:pPr>
        <w:shd w:val="clear" w:color="auto" w:fill="FFFFFF"/>
        <w:spacing w:after="120" w:line="240" w:lineRule="auto"/>
        <w:jc w:val="left"/>
        <w:textAlignment w:val="baseline"/>
        <w:rPr>
          <w:rFonts w:asciiTheme="minorHAnsi" w:hAnsiTheme="minorHAnsi"/>
          <w:b/>
          <w:color w:val="2A2A2A"/>
          <w:sz w:val="22"/>
          <w:lang w:val="en-GB"/>
        </w:rPr>
      </w:pPr>
      <w:r w:rsidRPr="001F6A23">
        <w:rPr>
          <w:rFonts w:asciiTheme="minorHAnsi" w:hAnsiTheme="minorHAnsi"/>
          <w:b/>
          <w:color w:val="2A2A2A"/>
          <w:sz w:val="22"/>
          <w:lang w:val="en-GB"/>
        </w:rPr>
        <w:t>Key messages:</w:t>
      </w:r>
    </w:p>
    <w:p w14:paraId="263E72D2" w14:textId="3B95E5CD" w:rsidR="00133AEB" w:rsidRPr="001F6A23" w:rsidRDefault="00133AEB" w:rsidP="001F6A23">
      <w:pPr>
        <w:pStyle w:val="ListParagraph"/>
        <w:numPr>
          <w:ilvl w:val="0"/>
          <w:numId w:val="10"/>
        </w:numPr>
        <w:shd w:val="clear" w:color="auto" w:fill="FFFFFF"/>
        <w:spacing w:after="120" w:line="240" w:lineRule="auto"/>
        <w:jc w:val="left"/>
        <w:textAlignment w:val="baseline"/>
        <w:rPr>
          <w:rFonts w:asciiTheme="minorHAnsi" w:hAnsiTheme="minorHAnsi"/>
          <w:color w:val="2A2A2A"/>
          <w:sz w:val="22"/>
          <w:lang w:val="en-GB"/>
        </w:rPr>
      </w:pPr>
      <w:r w:rsidRPr="001F6A23">
        <w:rPr>
          <w:rFonts w:asciiTheme="minorHAnsi" w:hAnsiTheme="minorHAnsi"/>
          <w:color w:val="2A2A2A"/>
          <w:sz w:val="22"/>
          <w:lang w:val="en-GB"/>
        </w:rPr>
        <w:t xml:space="preserve">Papua New Guinea faces </w:t>
      </w:r>
      <w:proofErr w:type="gramStart"/>
      <w:r w:rsidRPr="001F6A23">
        <w:rPr>
          <w:rFonts w:asciiTheme="minorHAnsi" w:hAnsiTheme="minorHAnsi"/>
          <w:color w:val="2A2A2A"/>
          <w:sz w:val="22"/>
          <w:lang w:val="en-GB"/>
        </w:rPr>
        <w:t>particular geographic</w:t>
      </w:r>
      <w:proofErr w:type="gramEnd"/>
      <w:r w:rsidRPr="001F6A23">
        <w:rPr>
          <w:rFonts w:asciiTheme="minorHAnsi" w:hAnsiTheme="minorHAnsi"/>
          <w:color w:val="2A2A2A"/>
          <w:sz w:val="22"/>
          <w:lang w:val="en-GB"/>
        </w:rPr>
        <w:t xml:space="preserve"> challenges and is under-performing in relation to its neighbours on core health outputs</w:t>
      </w:r>
      <w:r w:rsidR="00B43276">
        <w:rPr>
          <w:rFonts w:asciiTheme="minorHAnsi" w:eastAsia="Times New Roman" w:hAnsiTheme="minorHAnsi" w:cstheme="minorHAnsi"/>
          <w:color w:val="2A2A2A"/>
          <w:sz w:val="22"/>
          <w:lang w:val="en-GB" w:eastAsia="en-GB"/>
        </w:rPr>
        <w:t>.</w:t>
      </w:r>
    </w:p>
    <w:p w14:paraId="147CE8ED" w14:textId="482BD5AF" w:rsidR="00430DA4" w:rsidRPr="001F6A23" w:rsidRDefault="00133AEB" w:rsidP="001F6A23">
      <w:pPr>
        <w:pStyle w:val="ListParagraph"/>
        <w:numPr>
          <w:ilvl w:val="0"/>
          <w:numId w:val="10"/>
        </w:numPr>
        <w:shd w:val="clear" w:color="auto" w:fill="FFFFFF"/>
        <w:spacing w:after="120" w:line="240" w:lineRule="auto"/>
        <w:jc w:val="left"/>
        <w:textAlignment w:val="baseline"/>
        <w:rPr>
          <w:rFonts w:asciiTheme="minorHAnsi" w:hAnsiTheme="minorHAnsi"/>
          <w:color w:val="2A2A2A"/>
          <w:sz w:val="22"/>
          <w:lang w:val="en-GB"/>
        </w:rPr>
      </w:pPr>
      <w:r w:rsidRPr="001F6A23">
        <w:rPr>
          <w:rFonts w:asciiTheme="minorHAnsi" w:hAnsiTheme="minorHAnsi"/>
          <w:color w:val="2A2A2A"/>
          <w:sz w:val="22"/>
          <w:lang w:val="en-GB"/>
        </w:rPr>
        <w:t xml:space="preserve">Analysis of </w:t>
      </w:r>
      <w:r w:rsidRPr="00430DA4">
        <w:rPr>
          <w:rFonts w:asciiTheme="minorHAnsi" w:eastAsia="Times New Roman" w:hAnsiTheme="minorHAnsi" w:cstheme="minorHAnsi"/>
          <w:color w:val="2A2A2A"/>
          <w:sz w:val="22"/>
          <w:lang w:val="en-GB" w:eastAsia="en-GB"/>
        </w:rPr>
        <w:t>the determinants of health service</w:t>
      </w:r>
      <w:r w:rsidRPr="001F6A23">
        <w:rPr>
          <w:rFonts w:asciiTheme="minorHAnsi" w:hAnsiTheme="minorHAnsi"/>
          <w:color w:val="2A2A2A"/>
          <w:sz w:val="22"/>
          <w:lang w:val="en-GB"/>
        </w:rPr>
        <w:t xml:space="preserve"> performance </w:t>
      </w:r>
      <w:r w:rsidRPr="00430DA4">
        <w:rPr>
          <w:rFonts w:asciiTheme="minorHAnsi" w:eastAsia="Times New Roman" w:hAnsiTheme="minorHAnsi" w:cstheme="minorHAnsi"/>
          <w:color w:val="2A2A2A"/>
          <w:sz w:val="22"/>
          <w:lang w:val="en-GB" w:eastAsia="en-GB"/>
        </w:rPr>
        <w:t xml:space="preserve">at sub-national levels is critical, and can be performed using </w:t>
      </w:r>
      <w:r w:rsidRPr="00430DA4">
        <w:rPr>
          <w:rFonts w:asciiTheme="minorHAnsi" w:eastAsia="Times New Roman" w:hAnsiTheme="minorHAnsi" w:cstheme="minorHAnsi"/>
          <w:sz w:val="22"/>
          <w:lang w:val="en-NZ"/>
        </w:rPr>
        <w:t>basic health information (</w:t>
      </w:r>
      <w:r w:rsidRPr="001F6A23">
        <w:rPr>
          <w:rFonts w:asciiTheme="minorHAnsi" w:hAnsiTheme="minorHAnsi"/>
          <w:sz w:val="22"/>
          <w:lang w:val="en-NZ"/>
        </w:rPr>
        <w:t xml:space="preserve">including </w:t>
      </w:r>
      <w:r w:rsidRPr="00430DA4">
        <w:rPr>
          <w:rFonts w:asciiTheme="minorHAnsi" w:eastAsia="Times New Roman" w:hAnsiTheme="minorHAnsi" w:cstheme="minorHAnsi"/>
          <w:sz w:val="22"/>
          <w:lang w:val="en-NZ"/>
        </w:rPr>
        <w:t>financial data) even in settings where the data is limited</w:t>
      </w:r>
      <w:r w:rsidR="00430DA4" w:rsidRPr="00430DA4">
        <w:rPr>
          <w:rFonts w:asciiTheme="minorHAnsi" w:eastAsia="Times New Roman" w:hAnsiTheme="minorHAnsi" w:cstheme="minorHAnsi"/>
          <w:color w:val="2A2A2A"/>
          <w:sz w:val="22"/>
          <w:lang w:val="en-GB" w:eastAsia="en-GB"/>
        </w:rPr>
        <w:t xml:space="preserve">. </w:t>
      </w:r>
    </w:p>
    <w:p w14:paraId="44C7A80C" w14:textId="152DAE1A" w:rsidR="00133AEB" w:rsidRPr="00430DA4" w:rsidRDefault="00133AEB" w:rsidP="00FD68A2">
      <w:pPr>
        <w:pStyle w:val="ListParagraph"/>
        <w:numPr>
          <w:ilvl w:val="0"/>
          <w:numId w:val="10"/>
        </w:numPr>
        <w:shd w:val="clear" w:color="auto" w:fill="FFFFFF"/>
        <w:spacing w:after="120" w:line="240" w:lineRule="auto"/>
        <w:jc w:val="left"/>
        <w:textAlignment w:val="baseline"/>
        <w:rPr>
          <w:rFonts w:asciiTheme="minorHAnsi" w:eastAsia="Times New Roman" w:hAnsiTheme="minorHAnsi" w:cstheme="minorHAnsi"/>
          <w:color w:val="2A2A2A"/>
          <w:sz w:val="22"/>
          <w:lang w:val="en-GB" w:eastAsia="en-GB"/>
        </w:rPr>
      </w:pPr>
      <w:r w:rsidRPr="00430DA4">
        <w:rPr>
          <w:rFonts w:asciiTheme="minorHAnsi" w:eastAsia="Times New Roman" w:hAnsiTheme="minorHAnsi" w:cstheme="minorHAnsi"/>
          <w:sz w:val="22"/>
          <w:lang w:val="en-NZ"/>
        </w:rPr>
        <w:t xml:space="preserve">We find that provinces with the highest overall performance rankings also do well specifically in supervision, outreach and immunisation.  These provinces are not advantaged by proximity – four of the seven which do the most outreach </w:t>
      </w:r>
      <w:proofErr w:type="gramStart"/>
      <w:r w:rsidRPr="00430DA4">
        <w:rPr>
          <w:rFonts w:asciiTheme="minorHAnsi" w:eastAsia="Times New Roman" w:hAnsiTheme="minorHAnsi" w:cstheme="minorHAnsi"/>
          <w:sz w:val="22"/>
          <w:lang w:val="en-NZ"/>
        </w:rPr>
        <w:t>have to</w:t>
      </w:r>
      <w:proofErr w:type="gramEnd"/>
      <w:r w:rsidRPr="00430DA4">
        <w:rPr>
          <w:rFonts w:asciiTheme="minorHAnsi" w:eastAsia="Times New Roman" w:hAnsiTheme="minorHAnsi" w:cstheme="minorHAnsi"/>
          <w:sz w:val="22"/>
          <w:lang w:val="en-NZ"/>
        </w:rPr>
        <w:t xml:space="preserve"> deal with some of the hardest to reach populations.  This suggests that the challenge of proximity, whilst undoubtedly significant, is surmountable with strong management.  </w:t>
      </w:r>
    </w:p>
    <w:p w14:paraId="3A86B252" w14:textId="77777777" w:rsidR="00133AEB" w:rsidRPr="00430DA4" w:rsidRDefault="00133AEB" w:rsidP="00FD68A2">
      <w:pPr>
        <w:pStyle w:val="ListParagraph"/>
        <w:numPr>
          <w:ilvl w:val="0"/>
          <w:numId w:val="10"/>
        </w:numPr>
        <w:shd w:val="clear" w:color="auto" w:fill="FFFFFF"/>
        <w:spacing w:after="120" w:line="240" w:lineRule="auto"/>
        <w:jc w:val="left"/>
        <w:textAlignment w:val="baseline"/>
        <w:rPr>
          <w:rFonts w:asciiTheme="minorHAnsi" w:eastAsia="Times New Roman" w:hAnsiTheme="minorHAnsi" w:cstheme="minorHAnsi"/>
          <w:color w:val="2A2A2A"/>
          <w:sz w:val="22"/>
          <w:lang w:val="en-GB" w:eastAsia="en-GB"/>
        </w:rPr>
      </w:pPr>
      <w:r w:rsidRPr="00430DA4">
        <w:rPr>
          <w:rFonts w:asciiTheme="minorHAnsi" w:eastAsia="Times New Roman" w:hAnsiTheme="minorHAnsi" w:cstheme="minorHAnsi"/>
          <w:sz w:val="22"/>
          <w:lang w:val="en-NZ"/>
        </w:rPr>
        <w:t xml:space="preserve">It is also interesting that the seven provinces which do well with outreach (and overall performance) do typically spend more on frontline services.  This suggests that provinces with strong management which prioritise frontline spending can better support supervision and outreach and see better immunisation levels.  </w:t>
      </w:r>
    </w:p>
    <w:p w14:paraId="5C73C516" w14:textId="77777777" w:rsidR="00133AEB" w:rsidRPr="00AE7BB9" w:rsidRDefault="00133AEB" w:rsidP="001F6A23">
      <w:pPr>
        <w:spacing w:after="160" w:line="240" w:lineRule="auto"/>
        <w:jc w:val="left"/>
        <w:rPr>
          <w:rStyle w:val="Heading1Char"/>
          <w:rFonts w:asciiTheme="minorHAnsi" w:hAnsiTheme="minorHAnsi"/>
          <w:b w:val="0"/>
          <w:bCs w:val="0"/>
        </w:rPr>
      </w:pPr>
    </w:p>
    <w:p w14:paraId="605CB9E7" w14:textId="77777777" w:rsidR="00133AEB" w:rsidRPr="00AE7BB9" w:rsidRDefault="00133AEB" w:rsidP="001F6A23">
      <w:pPr>
        <w:pStyle w:val="Heading1"/>
        <w:spacing w:line="240" w:lineRule="auto"/>
        <w:rPr>
          <w:rFonts w:asciiTheme="minorHAnsi" w:hAnsiTheme="minorHAnsi"/>
          <w:color w:val="2A2A2A"/>
          <w:shd w:val="clear" w:color="auto" w:fill="FFFFFF"/>
        </w:rPr>
      </w:pPr>
    </w:p>
    <w:p w14:paraId="6054B5BF" w14:textId="77777777" w:rsidR="00133AEB" w:rsidRDefault="00133AEB" w:rsidP="001F6A23">
      <w:pPr>
        <w:spacing w:after="160" w:line="240" w:lineRule="auto"/>
        <w:jc w:val="left"/>
        <w:rPr>
          <w:rFonts w:asciiTheme="minorHAnsi" w:eastAsiaTheme="majorEastAsia" w:hAnsiTheme="minorHAnsi" w:cstheme="majorBidi"/>
          <w:b/>
          <w:bCs/>
          <w:color w:val="2E74B5" w:themeColor="accent1" w:themeShade="BF"/>
          <w:sz w:val="28"/>
          <w:szCs w:val="28"/>
        </w:rPr>
      </w:pPr>
      <w:r>
        <w:rPr>
          <w:rFonts w:asciiTheme="minorHAnsi" w:hAnsiTheme="minorHAnsi"/>
        </w:rPr>
        <w:br w:type="page"/>
      </w:r>
    </w:p>
    <w:p w14:paraId="2CCD50A1" w14:textId="77777777" w:rsidR="00133AEB" w:rsidRDefault="00133AEB" w:rsidP="001F6A23">
      <w:pPr>
        <w:pStyle w:val="Heading1"/>
        <w:spacing w:after="120" w:line="240" w:lineRule="auto"/>
        <w:rPr>
          <w:rFonts w:asciiTheme="minorHAnsi" w:hAnsiTheme="minorHAnsi"/>
          <w:color w:val="2A2A2A"/>
          <w:shd w:val="clear" w:color="auto" w:fill="FFFFFF"/>
        </w:rPr>
      </w:pPr>
      <w:r>
        <w:rPr>
          <w:rFonts w:asciiTheme="minorHAnsi" w:hAnsiTheme="minorHAnsi"/>
        </w:rPr>
        <w:lastRenderedPageBreak/>
        <w:t xml:space="preserve">Summary </w:t>
      </w:r>
      <w:r w:rsidRPr="00AE7BB9">
        <w:rPr>
          <w:rFonts w:asciiTheme="minorHAnsi" w:hAnsiTheme="minorHAnsi"/>
          <w:color w:val="2A2A2A"/>
          <w:shd w:val="clear" w:color="auto" w:fill="FFFFFF"/>
        </w:rPr>
        <w:t xml:space="preserve"> </w:t>
      </w:r>
    </w:p>
    <w:p w14:paraId="5B9B0E13" w14:textId="54B16ABF" w:rsidR="00133AEB" w:rsidRDefault="00133AEB" w:rsidP="001F6A23">
      <w:pPr>
        <w:spacing w:after="0" w:line="240" w:lineRule="auto"/>
        <w:rPr>
          <w:rFonts w:asciiTheme="minorHAnsi" w:hAnsiTheme="minorHAnsi"/>
          <w:sz w:val="22"/>
        </w:rPr>
      </w:pPr>
      <w:r>
        <w:rPr>
          <w:rFonts w:asciiTheme="minorHAnsi" w:hAnsiTheme="minorHAnsi"/>
          <w:sz w:val="22"/>
        </w:rPr>
        <w:t xml:space="preserve">Examining performance patterns of sub-national units, such as provinces and districts, within a health system is important to understand their drivers and what might be needed to improve outputs. Such literature is relatively rare in low and </w:t>
      </w:r>
      <w:r w:rsidR="00B43276">
        <w:rPr>
          <w:rFonts w:asciiTheme="minorHAnsi" w:hAnsiTheme="minorHAnsi"/>
          <w:sz w:val="22"/>
        </w:rPr>
        <w:t>middle-income</w:t>
      </w:r>
      <w:r>
        <w:rPr>
          <w:rFonts w:asciiTheme="minorHAnsi" w:hAnsiTheme="minorHAnsi"/>
          <w:sz w:val="22"/>
        </w:rPr>
        <w:t xml:space="preserve"> countries. It is particularly relevant for Papua New Guinea, which is underperforming in relation to its neighbours and targets for core health indicators and faces </w:t>
      </w:r>
      <w:proofErr w:type="gramStart"/>
      <w:r>
        <w:rPr>
          <w:rFonts w:asciiTheme="minorHAnsi" w:hAnsiTheme="minorHAnsi"/>
          <w:sz w:val="22"/>
        </w:rPr>
        <w:t>particular geographical</w:t>
      </w:r>
      <w:proofErr w:type="gramEnd"/>
      <w:r>
        <w:rPr>
          <w:rFonts w:asciiTheme="minorHAnsi" w:hAnsiTheme="minorHAnsi"/>
          <w:sz w:val="22"/>
        </w:rPr>
        <w:t xml:space="preserve"> challenges, with a dispersed and diverse population. </w:t>
      </w:r>
    </w:p>
    <w:p w14:paraId="6677C3B8" w14:textId="77777777" w:rsidR="00133AEB" w:rsidRDefault="00133AEB" w:rsidP="001F6A23">
      <w:pPr>
        <w:spacing w:after="0" w:line="240" w:lineRule="auto"/>
        <w:rPr>
          <w:rFonts w:asciiTheme="minorHAnsi" w:hAnsiTheme="minorHAnsi"/>
          <w:sz w:val="22"/>
        </w:rPr>
      </w:pPr>
    </w:p>
    <w:p w14:paraId="1B9C5B5D" w14:textId="33B5DA35" w:rsidR="00133AEB" w:rsidRPr="00FF0F2F" w:rsidRDefault="00133AEB" w:rsidP="001F6A23">
      <w:pPr>
        <w:spacing w:after="0" w:line="240" w:lineRule="auto"/>
        <w:rPr>
          <w:rFonts w:asciiTheme="minorHAnsi" w:hAnsiTheme="minorHAnsi" w:cstheme="minorHAnsi"/>
          <w:sz w:val="22"/>
        </w:rPr>
      </w:pPr>
      <w:r w:rsidRPr="00FF0F2F">
        <w:rPr>
          <w:rFonts w:asciiTheme="minorHAnsi" w:hAnsiTheme="minorHAnsi" w:cstheme="minorHAnsi"/>
          <w:sz w:val="22"/>
        </w:rPr>
        <w:t xml:space="preserve">In this analysis, we undertake simple correlation analysis between remoteness of populations, expenditure on frontline services and core outputs by provinces and regions, such as antenatal care, outpatient visits, outreach clinics, referrals of patients and facility supervision in 2012. In the context of the challenging geography of Papua New Guinea, these are expected to be important factors. Some expected patterns were found – for </w:t>
      </w:r>
      <w:r w:rsidRPr="000315F7">
        <w:rPr>
          <w:rFonts w:asciiTheme="minorHAnsi" w:hAnsiTheme="minorHAnsi" w:cstheme="minorHAnsi"/>
          <w:sz w:val="22"/>
        </w:rPr>
        <w:t xml:space="preserve">example, between remoteness and higher service costs, as well as between remoteness and higher outreach services. Outpatient visits, however, increased with remoteness, which was surprising. Our correlation analyses suggest a virtuous circle operating in some areas (even in the most geographically challenged) </w:t>
      </w:r>
      <w:r w:rsidRPr="000315F7">
        <w:rPr>
          <w:rFonts w:asciiTheme="minorHAnsi" w:eastAsia="Times New Roman" w:hAnsiTheme="minorHAnsi" w:cstheme="minorHAnsi"/>
          <w:sz w:val="22"/>
          <w:lang w:val="en-NZ"/>
        </w:rPr>
        <w:t xml:space="preserve">between outreach clinics, immunisation coverage, supervision, frontline spending and overall health system performance, which merits further investigation into the factors supporting these and how they can be reinforced elsewhere. </w:t>
      </w:r>
      <w:r w:rsidRPr="000315F7">
        <w:rPr>
          <w:rFonts w:asciiTheme="minorHAnsi" w:hAnsiTheme="minorHAnsi" w:cstheme="minorHAnsi"/>
          <w:sz w:val="22"/>
        </w:rPr>
        <w:t xml:space="preserve"> </w:t>
      </w:r>
      <w:r w:rsidRPr="00E60895">
        <w:rPr>
          <w:rFonts w:asciiTheme="minorHAnsi" w:hAnsiTheme="minorHAnsi" w:cstheme="minorHAnsi"/>
          <w:sz w:val="22"/>
        </w:rPr>
        <w:t xml:space="preserve">Whilst expenditure did not correlate closely with provincial performance, it was evident that the provinces with higher performance across the selection of metrics typically were also the higher spenders on frontline services. </w:t>
      </w:r>
      <w:r w:rsidRPr="000315F7">
        <w:rPr>
          <w:rFonts w:asciiTheme="minorHAnsi" w:hAnsiTheme="minorHAnsi" w:cstheme="minorHAnsi"/>
          <w:sz w:val="22"/>
        </w:rPr>
        <w:t>There was some correlation of higher performance with density of public provision. More fine-grained assessment, including at the district level, will be needed to understand the low levels of outreach clinics, transfers</w:t>
      </w:r>
      <w:r w:rsidRPr="00FF0F2F">
        <w:rPr>
          <w:rFonts w:asciiTheme="minorHAnsi" w:hAnsiTheme="minorHAnsi" w:cstheme="minorHAnsi"/>
          <w:sz w:val="22"/>
        </w:rPr>
        <w:t xml:space="preserve"> and supervision, all of which are critical for quality health care in these kinds of contexts. </w:t>
      </w:r>
    </w:p>
    <w:p w14:paraId="5869B961" w14:textId="77777777" w:rsidR="00133AEB" w:rsidRDefault="00133AEB" w:rsidP="001F6A23">
      <w:pPr>
        <w:spacing w:after="0" w:line="240" w:lineRule="auto"/>
        <w:rPr>
          <w:rFonts w:asciiTheme="minorHAnsi" w:hAnsiTheme="minorHAnsi"/>
          <w:sz w:val="22"/>
        </w:rPr>
      </w:pPr>
    </w:p>
    <w:p w14:paraId="6AF999B9" w14:textId="0D5AB2AD" w:rsidR="00133AEB" w:rsidRDefault="00133AEB" w:rsidP="001F6A23">
      <w:pPr>
        <w:spacing w:after="0" w:line="240" w:lineRule="auto"/>
        <w:rPr>
          <w:rFonts w:asciiTheme="minorHAnsi" w:hAnsiTheme="minorHAnsi"/>
          <w:sz w:val="22"/>
        </w:rPr>
      </w:pPr>
      <w:r>
        <w:rPr>
          <w:rFonts w:asciiTheme="minorHAnsi" w:hAnsiTheme="minorHAnsi"/>
          <w:sz w:val="22"/>
        </w:rPr>
        <w:t>The analysis illustrates what can be learned from combining routine data sources, as well as the limits and the need to complement such analysis with more detailed local qualitative investigations. It also reinforces the message that local leadership, supportive supervision and resources directed to frontline services can be effective in raising health system performance, even in challenging settings.</w:t>
      </w:r>
    </w:p>
    <w:p w14:paraId="048B4619" w14:textId="77777777" w:rsidR="00133AEB" w:rsidRPr="004F0E71" w:rsidRDefault="00133AEB" w:rsidP="001F6A23">
      <w:pPr>
        <w:spacing w:line="240" w:lineRule="auto"/>
      </w:pPr>
    </w:p>
    <w:p w14:paraId="6E0CD22B" w14:textId="77777777" w:rsidR="00133AEB" w:rsidRDefault="00133AEB" w:rsidP="001F6A23">
      <w:pPr>
        <w:spacing w:after="160" w:line="240" w:lineRule="auto"/>
        <w:jc w:val="left"/>
        <w:rPr>
          <w:rFonts w:asciiTheme="minorHAnsi" w:eastAsiaTheme="majorEastAsia" w:hAnsiTheme="minorHAnsi" w:cstheme="majorBidi"/>
          <w:b/>
          <w:bCs/>
          <w:color w:val="2E74B5" w:themeColor="accent1" w:themeShade="BF"/>
          <w:sz w:val="28"/>
          <w:szCs w:val="28"/>
          <w:shd w:val="clear" w:color="auto" w:fill="FFFFFF"/>
        </w:rPr>
      </w:pPr>
      <w:r>
        <w:rPr>
          <w:rFonts w:asciiTheme="minorHAnsi" w:hAnsiTheme="minorHAnsi"/>
          <w:shd w:val="clear" w:color="auto" w:fill="FFFFFF"/>
        </w:rPr>
        <w:br w:type="page"/>
      </w:r>
    </w:p>
    <w:p w14:paraId="7CE7B873" w14:textId="77777777" w:rsidR="00133AEB" w:rsidRPr="00AE7BB9" w:rsidRDefault="00133AEB" w:rsidP="001F6A23">
      <w:pPr>
        <w:pStyle w:val="Heading1"/>
        <w:spacing w:line="240" w:lineRule="auto"/>
        <w:rPr>
          <w:rFonts w:asciiTheme="minorHAnsi" w:hAnsiTheme="minorHAnsi"/>
          <w:shd w:val="clear" w:color="auto" w:fill="FFFFFF"/>
        </w:rPr>
      </w:pPr>
      <w:r w:rsidRPr="00AE7BB9">
        <w:rPr>
          <w:rFonts w:asciiTheme="minorHAnsi" w:hAnsiTheme="minorHAnsi"/>
          <w:shd w:val="clear" w:color="auto" w:fill="FFFFFF"/>
        </w:rPr>
        <w:lastRenderedPageBreak/>
        <w:t>Introduction</w:t>
      </w:r>
    </w:p>
    <w:p w14:paraId="609C054B" w14:textId="5942C251" w:rsidR="00133AEB" w:rsidRPr="00031C0F" w:rsidRDefault="00133AEB" w:rsidP="001F6A23">
      <w:pPr>
        <w:pStyle w:val="Numberedparagraph"/>
        <w:numPr>
          <w:ilvl w:val="0"/>
          <w:numId w:val="0"/>
        </w:numPr>
        <w:spacing w:after="240"/>
        <w:contextualSpacing w:val="0"/>
        <w:rPr>
          <w:rFonts w:asciiTheme="minorHAnsi" w:hAnsiTheme="minorHAnsi" w:cstheme="minorHAnsi"/>
          <w:sz w:val="22"/>
        </w:rPr>
      </w:pPr>
      <w:r w:rsidRPr="00031C0F">
        <w:rPr>
          <w:rFonts w:asciiTheme="minorHAnsi" w:hAnsiTheme="minorHAnsi" w:cstheme="minorHAnsi"/>
          <w:color w:val="333333"/>
          <w:sz w:val="22"/>
          <w:shd w:val="clear" w:color="auto" w:fill="FFFFFF"/>
        </w:rPr>
        <w:t>National health systems performance assessments are critical to understanding how well the delivery of healthcare meets the needs of citizens. Benchmarking has often been done between countries to inform the global public health space</w:t>
      </w:r>
      <w:r>
        <w:rPr>
          <w:rFonts w:asciiTheme="minorHAnsi" w:hAnsiTheme="minorHAnsi" w:cstheme="minorHAnsi"/>
          <w:color w:val="333333"/>
          <w:sz w:val="22"/>
          <w:shd w:val="clear" w:color="auto" w:fill="FFFFFF"/>
        </w:rPr>
        <w:fldChar w:fldCharType="begin"/>
      </w:r>
      <w:r>
        <w:rPr>
          <w:rFonts w:asciiTheme="minorHAnsi" w:hAnsiTheme="minorHAnsi" w:cstheme="minorHAnsi"/>
          <w:color w:val="333333"/>
          <w:sz w:val="22"/>
          <w:shd w:val="clear" w:color="auto" w:fill="FFFFFF"/>
        </w:rPr>
        <w:instrText xml:space="preserve"> ADDIN EN.CITE &lt;EndNote&gt;&lt;Cite&gt;&lt;Year&gt;1993&lt;/Year&gt;&lt;RecNum&gt;0&lt;/RecNum&gt;&lt;IDText&gt;World Development Report 1993 : Investing in Health&lt;/IDText&gt;&lt;DisplayText&gt;(1993)&lt;/DisplayText&gt;&lt;record&gt;&lt;ref-type name="Report"&gt;27&lt;/ref-type&gt;&lt;contributors&gt;&lt;/contributors&gt;&lt;titles&gt;&lt;title&gt;World Development Report 1993 : Investing in Health&lt;/title&gt;&lt;/titles&gt;&lt;dates&gt;&lt;year&gt;1993&lt;/year&gt;&lt;/dates&gt;&lt;pub-location&gt;New York&lt;/pub-location&gt;&lt;publisher&gt;Oxford University Press&lt;/publisher&gt;&lt;/record&gt;&lt;/Cite&gt;&lt;/EndNote&gt;</w:instrText>
      </w:r>
      <w:r>
        <w:rPr>
          <w:rFonts w:asciiTheme="minorHAnsi" w:hAnsiTheme="minorHAnsi" w:cstheme="minorHAnsi"/>
          <w:color w:val="333333"/>
          <w:sz w:val="22"/>
          <w:shd w:val="clear" w:color="auto" w:fill="FFFFFF"/>
        </w:rPr>
        <w:fldChar w:fldCharType="separate"/>
      </w:r>
      <w:r>
        <w:rPr>
          <w:rFonts w:asciiTheme="minorHAnsi" w:hAnsiTheme="minorHAnsi" w:cstheme="minorHAnsi"/>
          <w:noProof/>
          <w:color w:val="333333"/>
          <w:sz w:val="22"/>
          <w:shd w:val="clear" w:color="auto" w:fill="FFFFFF"/>
        </w:rPr>
        <w:t>(1993)</w:t>
      </w:r>
      <w:r>
        <w:rPr>
          <w:rFonts w:asciiTheme="minorHAnsi" w:hAnsiTheme="minorHAnsi" w:cstheme="minorHAnsi"/>
          <w:color w:val="333333"/>
          <w:sz w:val="22"/>
          <w:shd w:val="clear" w:color="auto" w:fill="FFFFFF"/>
        </w:rPr>
        <w:fldChar w:fldCharType="end"/>
      </w:r>
      <w:r w:rsidRPr="00031C0F">
        <w:rPr>
          <w:rFonts w:asciiTheme="minorHAnsi" w:hAnsiTheme="minorHAnsi" w:cstheme="minorHAnsi"/>
          <w:color w:val="333333"/>
          <w:sz w:val="22"/>
          <w:shd w:val="clear" w:color="auto" w:fill="FFFFFF"/>
        </w:rPr>
        <w:t xml:space="preserve">. However, its impact is likely to be far greater when implemented sub-nationally to inform actual decisions on resource allocations and performance improvements, especially in high disease burden, low-income countries, where the </w:t>
      </w:r>
      <w:r w:rsidRPr="005C0155">
        <w:rPr>
          <w:rFonts w:asciiTheme="minorHAnsi" w:hAnsiTheme="minorHAnsi" w:cstheme="minorHAnsi"/>
          <w:color w:val="333333"/>
          <w:sz w:val="22"/>
          <w:shd w:val="clear" w:color="auto" w:fill="FFFFFF"/>
        </w:rPr>
        <w:t>resource envelope available for health is inadequate</w:t>
      </w:r>
      <w:r>
        <w:rPr>
          <w:rFonts w:asciiTheme="minorHAnsi" w:hAnsiTheme="minorHAnsi" w:cstheme="minorHAnsi"/>
          <w:color w:val="333333"/>
          <w:sz w:val="22"/>
          <w:shd w:val="clear" w:color="auto" w:fill="FFFFFF"/>
        </w:rPr>
        <w:fldChar w:fldCharType="begin"/>
      </w:r>
      <w:r>
        <w:rPr>
          <w:rFonts w:asciiTheme="minorHAnsi" w:hAnsiTheme="minorHAnsi" w:cstheme="minorHAnsi"/>
          <w:color w:val="333333"/>
          <w:sz w:val="22"/>
          <w:shd w:val="clear" w:color="auto" w:fill="FFFFFF"/>
        </w:rPr>
        <w:instrText xml:space="preserve"> ADDIN EN.CITE &lt;EndNote&gt;&lt;Cite&gt;&lt;Author&gt;Noor&lt;/Author&gt;&lt;Year&gt;2015&lt;/Year&gt;&lt;RecNum&gt;0&lt;/RecNum&gt;&lt;IDText&gt;Subnational benchmarking of health systems performance in Africa using health outcome and coverage indicators&lt;/IDText&gt;&lt;DisplayText&gt;(Noor 2015)&lt;/DisplayText&gt;&lt;record&gt;&lt;ref-type name="Journal Article"&gt;17&lt;/ref-type&gt;&lt;contributors&gt;&lt;authors&gt;&lt;author&gt;Noor, Abdisalan Mohamed&lt;/author&gt;&lt;/authors&gt;&lt;/contributors&gt;&lt;titles&gt;&lt;title&gt;Subnational benchmarking of health systems performance in Africa using health outcome and coverage indicators&lt;/title&gt;&lt;secondary-title&gt;BMC Medicine&lt;/secondary-title&gt;&lt;/titles&gt;&lt;dates&gt;&lt;year&gt;2015&lt;/year&gt;&lt;/dates&gt;&lt;pages&gt;13:299&lt;/pages&gt;&lt;/record&gt;&lt;/Cite&gt;&lt;/EndNote&gt;</w:instrText>
      </w:r>
      <w:r>
        <w:rPr>
          <w:rFonts w:asciiTheme="minorHAnsi" w:hAnsiTheme="minorHAnsi" w:cstheme="minorHAnsi"/>
          <w:color w:val="333333"/>
          <w:sz w:val="22"/>
          <w:shd w:val="clear" w:color="auto" w:fill="FFFFFF"/>
        </w:rPr>
        <w:fldChar w:fldCharType="separate"/>
      </w:r>
      <w:r>
        <w:rPr>
          <w:rFonts w:asciiTheme="minorHAnsi" w:hAnsiTheme="minorHAnsi" w:cstheme="minorHAnsi"/>
          <w:noProof/>
          <w:color w:val="333333"/>
          <w:sz w:val="22"/>
          <w:shd w:val="clear" w:color="auto" w:fill="FFFFFF"/>
        </w:rPr>
        <w:t>(Noor 2015)</w:t>
      </w:r>
      <w:r>
        <w:rPr>
          <w:rFonts w:asciiTheme="minorHAnsi" w:hAnsiTheme="minorHAnsi" w:cstheme="minorHAnsi"/>
          <w:color w:val="333333"/>
          <w:sz w:val="22"/>
          <w:shd w:val="clear" w:color="auto" w:fill="FFFFFF"/>
        </w:rPr>
        <w:fldChar w:fldCharType="end"/>
      </w:r>
      <w:r w:rsidRPr="00031C0F">
        <w:rPr>
          <w:rFonts w:asciiTheme="minorHAnsi" w:hAnsiTheme="minorHAnsi" w:cstheme="minorHAnsi"/>
          <w:color w:val="333333"/>
          <w:sz w:val="22"/>
          <w:shd w:val="clear" w:color="auto" w:fill="FFFFFF"/>
        </w:rPr>
        <w:t>.</w:t>
      </w:r>
    </w:p>
    <w:p w14:paraId="5C83EF47" w14:textId="5DBE2024" w:rsidR="00133AEB" w:rsidRPr="00244DC5" w:rsidRDefault="00133AEB" w:rsidP="001F6A23">
      <w:pPr>
        <w:pStyle w:val="Numberedparagraph"/>
        <w:numPr>
          <w:ilvl w:val="0"/>
          <w:numId w:val="0"/>
        </w:numPr>
        <w:spacing w:after="240"/>
        <w:contextualSpacing w:val="0"/>
        <w:rPr>
          <w:rFonts w:asciiTheme="minorHAnsi" w:hAnsiTheme="minorHAnsi" w:cstheme="minorHAnsi"/>
          <w:sz w:val="22"/>
        </w:rPr>
      </w:pPr>
      <w:r w:rsidRPr="00031C0F">
        <w:rPr>
          <w:rFonts w:asciiTheme="minorHAnsi" w:hAnsiTheme="minorHAnsi" w:cstheme="minorHAnsi"/>
          <w:sz w:val="22"/>
        </w:rPr>
        <w:t xml:space="preserve">Papua New Guinea (PNG) had a population of just over </w:t>
      </w:r>
      <w:r>
        <w:rPr>
          <w:rFonts w:asciiTheme="minorHAnsi" w:hAnsiTheme="minorHAnsi" w:cstheme="minorHAnsi"/>
          <w:sz w:val="22"/>
        </w:rPr>
        <w:t>8</w:t>
      </w:r>
      <w:r w:rsidRPr="00031C0F">
        <w:rPr>
          <w:rFonts w:asciiTheme="minorHAnsi" w:hAnsiTheme="minorHAnsi" w:cstheme="minorHAnsi"/>
          <w:sz w:val="22"/>
        </w:rPr>
        <w:t xml:space="preserve"> million in 201</w:t>
      </w:r>
      <w:r>
        <w:rPr>
          <w:rFonts w:asciiTheme="minorHAnsi" w:hAnsiTheme="minorHAnsi" w:cstheme="minorHAnsi"/>
          <w:sz w:val="22"/>
        </w:rPr>
        <w:t>6</w:t>
      </w:r>
      <w:r w:rsidRPr="00031C0F">
        <w:rPr>
          <w:rFonts w:asciiTheme="minorHAnsi" w:hAnsiTheme="minorHAnsi" w:cstheme="minorHAnsi"/>
          <w:sz w:val="22"/>
        </w:rPr>
        <w:t xml:space="preserve">, but faces </w:t>
      </w:r>
      <w:proofErr w:type="gramStart"/>
      <w:r w:rsidRPr="00031C0F">
        <w:rPr>
          <w:rFonts w:asciiTheme="minorHAnsi" w:hAnsiTheme="minorHAnsi" w:cstheme="minorHAnsi"/>
          <w:sz w:val="22"/>
        </w:rPr>
        <w:t>particular geographical</w:t>
      </w:r>
      <w:proofErr w:type="gramEnd"/>
      <w:r w:rsidRPr="00031C0F">
        <w:rPr>
          <w:rFonts w:asciiTheme="minorHAnsi" w:hAnsiTheme="minorHAnsi" w:cstheme="minorHAnsi"/>
          <w:sz w:val="22"/>
        </w:rPr>
        <w:t xml:space="preserve"> challenges, with its provinces being mountainous and spread over more </w:t>
      </w:r>
      <w:r w:rsidRPr="005C0155">
        <w:rPr>
          <w:rFonts w:asciiTheme="minorHAnsi" w:hAnsiTheme="minorHAnsi" w:cstheme="minorHAnsi"/>
          <w:sz w:val="22"/>
        </w:rPr>
        <w:t>than 600 islands. There is also wide cultural diversity, with more than 800 indigenous languages across the country</w:t>
      </w:r>
      <w:r>
        <w:rPr>
          <w:rFonts w:asciiTheme="minorHAnsi" w:hAnsiTheme="minorHAnsi" w:cstheme="minorHAnsi"/>
          <w:sz w:val="22"/>
        </w:rPr>
        <w:fldChar w:fldCharType="begin"/>
      </w:r>
      <w:r>
        <w:rPr>
          <w:rFonts w:asciiTheme="minorHAnsi" w:hAnsiTheme="minorHAnsi" w:cstheme="minorHAnsi"/>
          <w:sz w:val="22"/>
        </w:rPr>
        <w:instrText xml:space="preserve"> ADDIN EN.CITE &lt;EndNote&gt;&lt;Cite&gt;&lt;Year&gt;2012&lt;/Year&gt;&lt;RecNum&gt;0&lt;/RecNum&gt;&lt;IDText&gt;Health Service Delivery Profile Papua New Guinea 2012&lt;/IDText&gt;&lt;DisplayText&gt;(2012)&lt;/DisplayText&gt;&lt;record&gt;&lt;ref-type name="Online Multimedia"&gt;48&lt;/ref-type&gt;&lt;contributors&gt;&lt;/contributors&gt;&lt;titles&gt;&lt;title&gt;Health Service Delivery Profile Papua New Guinea 2012&lt;/title&gt;&lt;secondary-title&gt;World Health Organization Western Pacific Region&lt;/secondary-title&gt;&lt;/titles&gt;&lt;dates&gt;&lt;year&gt;2012&lt;/year&gt;&lt;/dates&gt;&lt;urls&gt;&lt;related-urls&gt;&lt;url&gt;http://www.wpro.who.int/health_services/service_delivery_profile_papua_new_guinea.pdf&lt;/url&gt;&lt;/related-urls&gt;&lt;/urls&gt;&lt;/record&gt;&lt;/Cite&gt;&lt;/EndNote&gt;</w:instrText>
      </w:r>
      <w:r>
        <w:rPr>
          <w:rFonts w:asciiTheme="minorHAnsi" w:hAnsiTheme="minorHAnsi" w:cstheme="minorHAnsi"/>
          <w:sz w:val="22"/>
        </w:rPr>
        <w:fldChar w:fldCharType="separate"/>
      </w:r>
      <w:r>
        <w:rPr>
          <w:rFonts w:asciiTheme="minorHAnsi" w:hAnsiTheme="minorHAnsi" w:cstheme="minorHAnsi"/>
          <w:noProof/>
          <w:sz w:val="22"/>
        </w:rPr>
        <w:t>(2012)</w:t>
      </w:r>
      <w:r>
        <w:rPr>
          <w:rFonts w:asciiTheme="minorHAnsi" w:hAnsiTheme="minorHAnsi" w:cstheme="minorHAnsi"/>
          <w:sz w:val="22"/>
        </w:rPr>
        <w:fldChar w:fldCharType="end"/>
      </w:r>
      <w:r w:rsidRPr="00031C0F">
        <w:rPr>
          <w:rFonts w:asciiTheme="minorHAnsi" w:hAnsiTheme="minorHAnsi" w:cstheme="minorHAnsi"/>
          <w:sz w:val="22"/>
        </w:rPr>
        <w:t>. PNG has experienced a steady improvement in health indicators since independence in 1975</w:t>
      </w:r>
      <w:r>
        <w:rPr>
          <w:rFonts w:asciiTheme="minorHAnsi" w:hAnsiTheme="minorHAnsi" w:cstheme="minorHAnsi"/>
          <w:sz w:val="22"/>
        </w:rPr>
        <w:fldChar w:fldCharType="begin"/>
      </w:r>
      <w:r>
        <w:rPr>
          <w:rFonts w:asciiTheme="minorHAnsi" w:hAnsiTheme="minorHAnsi" w:cstheme="minorHAnsi"/>
          <w:sz w:val="22"/>
        </w:rPr>
        <w:instrText xml:space="preserve"> ADDIN EN.CITE &lt;EndNote&gt;&lt;Cite&gt;&lt;Year&gt;2016&lt;/Year&gt;&lt;RecNum&gt;0&lt;/RecNum&gt;&lt;IDText&gt;The World Bank&lt;/IDText&gt;&lt;DisplayText&gt;(2016)&lt;/DisplayText&gt;&lt;record&gt;&lt;ref-type name="Online Multimedia"&gt;48&lt;/ref-type&gt;&lt;contributors&gt;&lt;/contributors&gt;&lt;titles&gt;&lt;title&gt;The World Bank&lt;/title&gt;&lt;secondary-title&gt;World Development Indicators&lt;/secondary-title&gt;&lt;/titles&gt;&lt;dates&gt;&lt;year&gt;2016&lt;/year&gt;&lt;/dates&gt;&lt;urls&gt;&lt;related-urls&gt;&lt;url&gt;http://data.worldbank.org/data-catalog/world-development-indicators&lt;/url&gt;&lt;/related-urls&gt;&lt;/urls&gt;&lt;/record&gt;&lt;/Cite&gt;&lt;/EndNote&gt;</w:instrText>
      </w:r>
      <w:r>
        <w:rPr>
          <w:rFonts w:asciiTheme="minorHAnsi" w:hAnsiTheme="minorHAnsi" w:cstheme="minorHAnsi"/>
          <w:sz w:val="22"/>
        </w:rPr>
        <w:fldChar w:fldCharType="separate"/>
      </w:r>
      <w:r>
        <w:rPr>
          <w:rFonts w:asciiTheme="minorHAnsi" w:hAnsiTheme="minorHAnsi" w:cstheme="minorHAnsi"/>
          <w:noProof/>
          <w:sz w:val="22"/>
        </w:rPr>
        <w:t>(2016)</w:t>
      </w:r>
      <w:r>
        <w:rPr>
          <w:rFonts w:asciiTheme="minorHAnsi" w:hAnsiTheme="minorHAnsi" w:cstheme="minorHAnsi"/>
          <w:sz w:val="22"/>
        </w:rPr>
        <w:fldChar w:fldCharType="end"/>
      </w:r>
      <w:r w:rsidRPr="00031C0F">
        <w:rPr>
          <w:rFonts w:asciiTheme="minorHAnsi" w:hAnsiTheme="minorHAnsi" w:cstheme="minorHAnsi"/>
          <w:sz w:val="22"/>
        </w:rPr>
        <w:t xml:space="preserve">. Life expectancy increased from less than 40 years in 1960 to 63 years in 2014. Under-five mortality declined from 200 per 1,000 live births in 1960 to 57 in 2015. </w:t>
      </w:r>
      <w:r w:rsidRPr="005C0155">
        <w:rPr>
          <w:rFonts w:asciiTheme="minorHAnsi" w:hAnsiTheme="minorHAnsi" w:cstheme="minorHAnsi"/>
          <w:sz w:val="22"/>
        </w:rPr>
        <w:t>Infant mortality in Papua New Guinea in 2013 is recorded as 47 per 1,000 live births</w:t>
      </w:r>
      <w:r w:rsidRPr="00B11F6D">
        <w:rPr>
          <w:rFonts w:asciiTheme="minorHAnsi" w:hAnsiTheme="minorHAnsi" w:cstheme="minorHAnsi"/>
          <w:sz w:val="22"/>
        </w:rPr>
        <w:t>,</w:t>
      </w:r>
      <w:r w:rsidRPr="00113E66">
        <w:rPr>
          <w:rFonts w:asciiTheme="minorHAnsi" w:hAnsiTheme="minorHAnsi" w:cstheme="minorHAnsi"/>
          <w:sz w:val="22"/>
        </w:rPr>
        <w:t xml:space="preserve"> which is a significant improvement on the level of 57 reported in 2003. </w:t>
      </w:r>
      <w:r w:rsidRPr="00244DC5">
        <w:rPr>
          <w:rFonts w:asciiTheme="minorHAnsi" w:hAnsiTheme="minorHAnsi" w:cstheme="minorHAnsi"/>
          <w:sz w:val="22"/>
        </w:rPr>
        <w:t xml:space="preserve">However, the </w:t>
      </w:r>
      <w:r w:rsidR="00277B7A">
        <w:rPr>
          <w:rFonts w:asciiTheme="minorHAnsi" w:hAnsiTheme="minorHAnsi" w:cstheme="minorHAnsi"/>
          <w:sz w:val="22"/>
        </w:rPr>
        <w:t xml:space="preserve">pace of progress has slowed </w:t>
      </w:r>
      <w:r w:rsidR="001560F0">
        <w:rPr>
          <w:rFonts w:asciiTheme="minorHAnsi" w:hAnsiTheme="minorHAnsi" w:cstheme="minorHAnsi"/>
          <w:sz w:val="22"/>
        </w:rPr>
        <w:t xml:space="preserve">and </w:t>
      </w:r>
      <w:r w:rsidRPr="00244DC5">
        <w:rPr>
          <w:rFonts w:asciiTheme="minorHAnsi" w:hAnsiTheme="minorHAnsi" w:cstheme="minorHAnsi"/>
          <w:sz w:val="22"/>
        </w:rPr>
        <w:t xml:space="preserve">PNG still </w:t>
      </w:r>
      <w:proofErr w:type="gramStart"/>
      <w:r w:rsidRPr="00244DC5">
        <w:rPr>
          <w:rFonts w:asciiTheme="minorHAnsi" w:hAnsiTheme="minorHAnsi" w:cstheme="minorHAnsi"/>
          <w:sz w:val="22"/>
        </w:rPr>
        <w:t>lags behind</w:t>
      </w:r>
      <w:proofErr w:type="gramEnd"/>
      <w:r w:rsidRPr="00244DC5">
        <w:rPr>
          <w:rFonts w:asciiTheme="minorHAnsi" w:hAnsiTheme="minorHAnsi" w:cstheme="minorHAnsi"/>
          <w:sz w:val="22"/>
        </w:rPr>
        <w:t xml:space="preserve"> other countries in the region and those of similar income status.</w:t>
      </w:r>
    </w:p>
    <w:p w14:paraId="4C7F5940" w14:textId="77777777" w:rsidR="00133AEB" w:rsidRPr="00906919" w:rsidRDefault="00133AEB" w:rsidP="001F6A23">
      <w:pPr>
        <w:pStyle w:val="Numberedparagraph"/>
        <w:numPr>
          <w:ilvl w:val="0"/>
          <w:numId w:val="0"/>
        </w:numPr>
        <w:spacing w:after="240"/>
        <w:contextualSpacing w:val="0"/>
        <w:rPr>
          <w:rFonts w:asciiTheme="minorHAnsi" w:hAnsiTheme="minorHAnsi" w:cstheme="minorHAnsi"/>
          <w:sz w:val="22"/>
        </w:rPr>
      </w:pPr>
      <w:r w:rsidRPr="00244DC5">
        <w:rPr>
          <w:rFonts w:asciiTheme="minorHAnsi" w:hAnsiTheme="minorHAnsi" w:cstheme="minorHAnsi"/>
          <w:sz w:val="22"/>
          <w:lang w:val="en-US"/>
        </w:rPr>
        <w:t xml:space="preserve">Access to health services is particularly challenging in rural PNG. </w:t>
      </w:r>
      <w:proofErr w:type="gramStart"/>
      <w:r w:rsidRPr="00244DC5">
        <w:rPr>
          <w:rFonts w:asciiTheme="minorHAnsi" w:hAnsiTheme="minorHAnsi" w:cstheme="minorHAnsi"/>
          <w:sz w:val="22"/>
        </w:rPr>
        <w:t>The majority of</w:t>
      </w:r>
      <w:proofErr w:type="gramEnd"/>
      <w:r w:rsidRPr="00244DC5">
        <w:rPr>
          <w:rFonts w:asciiTheme="minorHAnsi" w:hAnsiTheme="minorHAnsi" w:cstheme="minorHAnsi"/>
          <w:sz w:val="22"/>
        </w:rPr>
        <w:t xml:space="preserve"> the population (85% or more) live in rural villages, which are often difficult to access. The challenging terrain of PNG limits the population’s access to health services and health providers’ ability to reach remote populations for even basic programs such as immunization. In PNG, many villages can only be reached on foot and less than 39 percent of the limited road network is in good condition</w:t>
      </w:r>
      <w:r w:rsidRPr="00906919" w:rsidDel="00C95551">
        <w:rPr>
          <w:rFonts w:asciiTheme="minorHAnsi" w:hAnsiTheme="minorHAnsi" w:cstheme="minorHAnsi"/>
          <w:sz w:val="22"/>
        </w:rPr>
        <w:t xml:space="preserve"> </w:t>
      </w:r>
      <w:r w:rsidRPr="00906919">
        <w:rPr>
          <w:rFonts w:asciiTheme="minorHAnsi" w:hAnsiTheme="minorHAnsi" w:cstheme="minorHAnsi"/>
          <w:sz w:val="22"/>
        </w:rPr>
        <w:t>(</w:t>
      </w:r>
      <w:r w:rsidRPr="00906919">
        <w:rPr>
          <w:rFonts w:asciiTheme="minorHAnsi" w:hAnsiTheme="minorHAnsi" w:cstheme="minorHAnsi"/>
          <w:sz w:val="22"/>
          <w:lang w:val="en-US"/>
        </w:rPr>
        <w:t>Department of National Planning and Monitoring 2015)</w:t>
      </w:r>
      <w:r w:rsidRPr="00906919">
        <w:rPr>
          <w:rFonts w:asciiTheme="minorHAnsi" w:hAnsiTheme="minorHAnsi" w:cstheme="minorHAnsi"/>
          <w:sz w:val="22"/>
        </w:rPr>
        <w:t xml:space="preserve">. In coastal areas, the main mode of transport is by boat. In addition to rural challenges, there is an increasing population in unplanned urban settlements, which is presenting a new set of health demands. </w:t>
      </w:r>
    </w:p>
    <w:p w14:paraId="4C8FB9A7" w14:textId="225C8F85" w:rsidR="00133AEB" w:rsidRPr="00AE7BB9" w:rsidRDefault="00133AEB" w:rsidP="001F6A23">
      <w:pPr>
        <w:pStyle w:val="Numberedparagraph"/>
        <w:numPr>
          <w:ilvl w:val="0"/>
          <w:numId w:val="0"/>
        </w:numPr>
        <w:spacing w:after="240"/>
        <w:contextualSpacing w:val="0"/>
        <w:rPr>
          <w:rFonts w:asciiTheme="minorHAnsi" w:hAnsiTheme="minorHAnsi" w:cs="Times New Roman"/>
          <w:sz w:val="22"/>
        </w:rPr>
      </w:pPr>
      <w:r w:rsidRPr="00AE7BB9">
        <w:rPr>
          <w:rFonts w:asciiTheme="minorHAnsi" w:eastAsiaTheme="minorEastAsia" w:hAnsiTheme="minorHAnsi" w:cs="Times New Roman"/>
          <w:sz w:val="22"/>
          <w:lang w:val="en-US" w:eastAsia="zh-CN"/>
        </w:rPr>
        <w:t xml:space="preserve">PNG has a formal government-funded health system throughout much of the country. It is supplemented by government-subsidized health services provided by various faith-based organizations.  At the time of independence from Australia in 1975, a centralized National Department of Health (NDOH) managed the whole health system. Since independence, the government has taken successive steps to decentralize the provision of services to provincial and local </w:t>
      </w:r>
      <w:r w:rsidRPr="001F6A23">
        <w:rPr>
          <w:rFonts w:asciiTheme="minorHAnsi" w:hAnsiTheme="minorHAnsi"/>
          <w:sz w:val="22"/>
        </w:rPr>
        <w:t>governments</w:t>
      </w:r>
      <w:r w:rsidRPr="00AE7BB9">
        <w:rPr>
          <w:rFonts w:asciiTheme="minorHAnsi" w:eastAsiaTheme="minorEastAsia" w:hAnsiTheme="minorHAnsi" w:cs="Times New Roman"/>
          <w:sz w:val="22"/>
          <w:lang w:val="en-US" w:eastAsia="zh-CN"/>
        </w:rPr>
        <w:t>, including the introduction of two significant Organic (Constitutional) Laws (in 1977 and 1995). This legislation gives provinces and local level governments’ enhanced control over health service delivery and resources. The 1995 Organic Law devolved primary health care services to the provincial level</w:t>
      </w:r>
      <w:r>
        <w:rPr>
          <w:rFonts w:asciiTheme="minorHAnsi" w:eastAsiaTheme="minorEastAsia" w:hAnsiTheme="minorHAnsi" w:cs="Times New Roman"/>
          <w:sz w:val="22"/>
          <w:lang w:val="en-US" w:eastAsia="zh-CN"/>
        </w:rPr>
        <w:fldChar w:fldCharType="begin"/>
      </w:r>
      <w:r>
        <w:rPr>
          <w:rFonts w:asciiTheme="minorHAnsi" w:eastAsiaTheme="minorEastAsia" w:hAnsiTheme="minorHAnsi" w:cs="Times New Roman"/>
          <w:sz w:val="22"/>
          <w:lang w:val="en-US" w:eastAsia="zh-CN"/>
        </w:rPr>
        <w:instrText xml:space="preserve"> ADDIN EN.CITE &lt;EndNote&gt;&lt;Cite&gt;&lt;Year&gt;1995&lt;/Year&gt;&lt;RecNum&gt;0&lt;/RecNum&gt;&lt;IDText&gt;Organic Law on Provincial Governments and Local-Level Governments&lt;/IDText&gt;&lt;DisplayText&gt;(1995)&lt;/DisplayText&gt;&lt;record&gt;&lt;ref-type name="Book"&gt;6&lt;/ref-type&gt;&lt;contributors&gt;&lt;/contributors&gt;&lt;titles&gt;&lt;title&gt;Organic Law on Provincial Governments and Local-Level Governments&lt;/title&gt;&lt;/titles&gt;&lt;dates&gt;&lt;year&gt;1995&lt;/year&gt;&lt;/dates&gt;&lt;pub-location&gt;Port Moresby &lt;/pub-location&gt;&lt;/record&gt;&lt;/Cite&gt;&lt;/EndNote&gt;</w:instrText>
      </w:r>
      <w:r>
        <w:rPr>
          <w:rFonts w:asciiTheme="minorHAnsi" w:eastAsiaTheme="minorEastAsia" w:hAnsiTheme="minorHAnsi" w:cs="Times New Roman"/>
          <w:sz w:val="22"/>
          <w:lang w:val="en-US" w:eastAsia="zh-CN"/>
        </w:rPr>
        <w:fldChar w:fldCharType="separate"/>
      </w:r>
      <w:r>
        <w:rPr>
          <w:rFonts w:asciiTheme="minorHAnsi" w:eastAsiaTheme="minorEastAsia" w:hAnsiTheme="minorHAnsi" w:cs="Times New Roman"/>
          <w:noProof/>
          <w:sz w:val="22"/>
          <w:lang w:val="en-US" w:eastAsia="zh-CN"/>
        </w:rPr>
        <w:t>(1995)</w:t>
      </w:r>
      <w:r>
        <w:rPr>
          <w:rFonts w:asciiTheme="minorHAnsi" w:eastAsiaTheme="minorEastAsia" w:hAnsiTheme="minorHAnsi" w:cs="Times New Roman"/>
          <w:sz w:val="22"/>
          <w:lang w:val="en-US" w:eastAsia="zh-CN"/>
        </w:rPr>
        <w:fldChar w:fldCharType="end"/>
      </w:r>
      <w:r w:rsidRPr="00AE7BB9">
        <w:rPr>
          <w:rFonts w:asciiTheme="minorHAnsi" w:eastAsiaTheme="minorEastAsia" w:hAnsiTheme="minorHAnsi" w:cs="Times New Roman"/>
          <w:sz w:val="22"/>
          <w:lang w:val="en-US" w:eastAsia="zh-CN"/>
        </w:rPr>
        <w:t>.</w:t>
      </w:r>
      <w:r w:rsidRPr="00AE7BB9">
        <w:rPr>
          <w:rFonts w:asciiTheme="minorHAnsi" w:hAnsiTheme="minorHAnsi" w:cs="Times New Roman"/>
          <w:sz w:val="22"/>
        </w:rPr>
        <w:t xml:space="preserve"> </w:t>
      </w:r>
    </w:p>
    <w:p w14:paraId="40D2077F" w14:textId="78F93183" w:rsidR="00133AEB" w:rsidRPr="00AE7BB9" w:rsidRDefault="00133AEB" w:rsidP="001F6A23">
      <w:pPr>
        <w:pStyle w:val="Numberedparagraph"/>
        <w:numPr>
          <w:ilvl w:val="0"/>
          <w:numId w:val="0"/>
        </w:numPr>
        <w:spacing w:after="240"/>
        <w:contextualSpacing w:val="0"/>
        <w:rPr>
          <w:rFonts w:asciiTheme="minorHAnsi" w:hAnsiTheme="minorHAnsi" w:cs="Times New Roman"/>
          <w:szCs w:val="24"/>
        </w:rPr>
      </w:pPr>
      <w:r w:rsidRPr="00AE7BB9">
        <w:rPr>
          <w:rFonts w:asciiTheme="minorHAnsi" w:hAnsiTheme="minorHAnsi" w:cs="Times New Roman"/>
          <w:sz w:val="22"/>
        </w:rPr>
        <w:t>Total health expenditure, as a proportion of Gross Domestic Product, has been stagnating at between four to five percent in recent years, despite steady economic growth. Health financing is predominately public. In 2014, government spending (including government spending financed by external sources) accounted for over 80 percent of total health spending; the remaining 20 per</w:t>
      </w:r>
      <w:r w:rsidR="001560F0">
        <w:rPr>
          <w:rFonts w:asciiTheme="minorHAnsi" w:hAnsiTheme="minorHAnsi" w:cs="Times New Roman"/>
          <w:sz w:val="22"/>
        </w:rPr>
        <w:t>c</w:t>
      </w:r>
      <w:r w:rsidRPr="00AE7BB9">
        <w:rPr>
          <w:rFonts w:asciiTheme="minorHAnsi" w:hAnsiTheme="minorHAnsi" w:cs="Times New Roman"/>
          <w:sz w:val="22"/>
        </w:rPr>
        <w:t xml:space="preserve">ent was attributed to private expenditure. </w:t>
      </w:r>
      <w:r w:rsidRPr="00AE7BB9">
        <w:rPr>
          <w:rFonts w:asciiTheme="minorHAnsi" w:hAnsiTheme="minorHAnsi"/>
          <w:sz w:val="22"/>
        </w:rPr>
        <w:t>In principle, all public health and primary health care services are free of charge</w:t>
      </w:r>
      <w:r>
        <w:rPr>
          <w:rFonts w:asciiTheme="minorHAnsi" w:hAnsiTheme="minorHAnsi"/>
          <w:sz w:val="22"/>
        </w:rPr>
        <w:fldChar w:fldCharType="begin"/>
      </w:r>
      <w:r>
        <w:rPr>
          <w:rFonts w:asciiTheme="minorHAnsi" w:hAnsiTheme="minorHAnsi"/>
          <w:sz w:val="22"/>
        </w:rPr>
        <w:instrText xml:space="preserve"> ADDIN EN.CITE &lt;EndNote&gt;&lt;Cite&gt;&lt;Year&gt;2012&lt;/Year&gt;&lt;RecNum&gt;0&lt;/RecNum&gt;&lt;IDText&gt;Health Service Delivery Profile Papua New Guinea 2012&lt;/IDText&gt;&lt;DisplayText&gt;(2012)&lt;/DisplayText&gt;&lt;record&gt;&lt;ref-type name="Online Multimedia"&gt;48&lt;/ref-type&gt;&lt;contributors&gt;&lt;/contributors&gt;&lt;titles&gt;&lt;title&gt;Health Service Delivery Profile Papua New Guinea 2012&lt;/title&gt;&lt;secondary-title&gt;World Health Organization Western Pacific Region&lt;/secondary-title&gt;&lt;/titles&gt;&lt;dates&gt;&lt;year&gt;2012&lt;/year&gt;&lt;/dates&gt;&lt;urls&gt;&lt;related-urls&gt;&lt;url&gt;http://www.wpro.who.int/health_services/service_delivery_profile_papua_new_guinea.pdf&lt;/url&gt;&lt;/related-urls&gt;&lt;/urls&gt;&lt;/record&gt;&lt;/Cite&gt;&lt;/EndNote&gt;</w:instrText>
      </w:r>
      <w:r>
        <w:rPr>
          <w:rFonts w:asciiTheme="minorHAnsi" w:hAnsiTheme="minorHAnsi"/>
          <w:sz w:val="22"/>
        </w:rPr>
        <w:fldChar w:fldCharType="separate"/>
      </w:r>
      <w:r>
        <w:rPr>
          <w:rFonts w:asciiTheme="minorHAnsi" w:hAnsiTheme="minorHAnsi"/>
          <w:noProof/>
          <w:sz w:val="22"/>
        </w:rPr>
        <w:t>(2012)</w:t>
      </w:r>
      <w:r>
        <w:rPr>
          <w:rFonts w:asciiTheme="minorHAnsi" w:hAnsiTheme="minorHAnsi"/>
          <w:sz w:val="22"/>
        </w:rPr>
        <w:fldChar w:fldCharType="end"/>
      </w:r>
      <w:r w:rsidRPr="00AE7BB9">
        <w:rPr>
          <w:rFonts w:asciiTheme="minorHAnsi" w:hAnsiTheme="minorHAnsi"/>
          <w:sz w:val="22"/>
        </w:rPr>
        <w:t>, and out-of-pocket payments are estimated at 15.9%, which is below the threshold where they are likely to create catastrophic payments for households (WHO, 2010).</w:t>
      </w:r>
    </w:p>
    <w:p w14:paraId="54766615" w14:textId="0AED6C40" w:rsidR="00133AEB" w:rsidRDefault="00133AEB" w:rsidP="001F6A23">
      <w:pPr>
        <w:spacing w:after="0" w:line="240" w:lineRule="auto"/>
        <w:rPr>
          <w:rFonts w:asciiTheme="minorHAnsi" w:hAnsiTheme="minorHAnsi" w:cs="Times New Roman"/>
          <w:sz w:val="22"/>
        </w:rPr>
      </w:pPr>
      <w:r w:rsidRPr="00AE7BB9">
        <w:rPr>
          <w:rFonts w:asciiTheme="minorHAnsi" w:hAnsiTheme="minorHAnsi" w:cs="Times New Roman"/>
          <w:sz w:val="22"/>
        </w:rPr>
        <w:t xml:space="preserve">This </w:t>
      </w:r>
      <w:r>
        <w:rPr>
          <w:rFonts w:asciiTheme="minorHAnsi" w:hAnsiTheme="minorHAnsi" w:cs="Times New Roman"/>
          <w:sz w:val="22"/>
        </w:rPr>
        <w:t>paper</w:t>
      </w:r>
      <w:r w:rsidRPr="00AE7BB9">
        <w:rPr>
          <w:rFonts w:asciiTheme="minorHAnsi" w:hAnsiTheme="minorHAnsi" w:cs="Times New Roman"/>
          <w:sz w:val="22"/>
        </w:rPr>
        <w:t xml:space="preserve"> aims to understand the differential performance of provinces in relation to health care in PNG, and especially to understand the relationship between expenditure, proximity to facilities and core health outputs. By combining routine data analysis with existing reports and interviews with key informants, explanations for patterns can be found which point to areas of strength and weakness on which the health system can build. </w:t>
      </w:r>
    </w:p>
    <w:p w14:paraId="5D371064" w14:textId="77777777" w:rsidR="00133AEB" w:rsidRDefault="00133AEB" w:rsidP="001F6A23">
      <w:pPr>
        <w:spacing w:after="0" w:line="240" w:lineRule="auto"/>
        <w:rPr>
          <w:rFonts w:asciiTheme="minorHAnsi" w:hAnsiTheme="minorHAnsi" w:cs="Times New Roman"/>
          <w:sz w:val="22"/>
        </w:rPr>
      </w:pPr>
    </w:p>
    <w:p w14:paraId="247CA139" w14:textId="6F7386E4" w:rsidR="00133AEB" w:rsidRPr="00244DC5" w:rsidRDefault="00133AEB" w:rsidP="001F6A23">
      <w:pPr>
        <w:spacing w:line="240" w:lineRule="auto"/>
        <w:rPr>
          <w:rFonts w:asciiTheme="minorHAnsi" w:hAnsiTheme="minorHAnsi" w:cstheme="minorHAnsi"/>
          <w:sz w:val="22"/>
        </w:rPr>
      </w:pPr>
      <w:r w:rsidRPr="00113E66">
        <w:rPr>
          <w:rFonts w:asciiTheme="minorHAnsi" w:hAnsiTheme="minorHAnsi" w:cstheme="minorHAnsi"/>
          <w:sz w:val="22"/>
        </w:rPr>
        <w:t>In addition to contributing to the small but growing number of studies of sub-national efficiency in low and middle income countries</w:t>
      </w:r>
      <w:r>
        <w:rPr>
          <w:rFonts w:asciiTheme="minorHAnsi" w:hAnsiTheme="minorHAnsi" w:cstheme="minorHAnsi"/>
          <w:sz w:val="22"/>
        </w:rPr>
        <w:fldChar w:fldCharType="begin"/>
      </w:r>
      <w:r>
        <w:rPr>
          <w:rFonts w:asciiTheme="minorHAnsi" w:hAnsiTheme="minorHAnsi" w:cstheme="minorHAnsi"/>
          <w:sz w:val="22"/>
        </w:rPr>
        <w:instrText xml:space="preserve"> ADDIN EN.CITE &lt;EndNote&gt;&lt;Cite&gt;&lt;Author&gt;Ensor&lt;/Author&gt;&lt;Year&gt;2016&lt;/Year&gt;&lt;RecNum&gt;0&lt;/RecNum&gt;&lt;IDText&gt;Exploring the influence of context and policy on health district productivity in Cambodia.&lt;/IDText&gt;&lt;DisplayText&gt;(Ensor, So  et al. 2016)&lt;/DisplayText&gt;&lt;record&gt;&lt;ref-type name="Journal Article"&gt;17&lt;/ref-type&gt;&lt;contributors&gt;&lt;authors&gt;&lt;author&gt;Ensor, T&lt;/author&gt;&lt;author&gt;So , S. &lt;/author&gt;&lt;author&gt;Witter, Sophie&lt;/author&gt;&lt;/authors&gt;&lt;/contributors&gt;&lt;titles&gt;&lt;title&gt;Exploring the influence of context and policy on health district productivity in Cambodia.&lt;/title&gt;&lt;secondary-title&gt;Cost effectiveness and resource allocation,&lt;/secondary-title&gt;&lt;/titles&gt;&lt;dates&gt;&lt;year&gt;2016&lt;/year&gt;&lt;/dates&gt;&lt;pages&gt;14:1.http://www.resource-allocation.com/content/14/1/1&lt;/pages&gt;&lt;publisher&gt;Cost effectiveness and resource allocation, 14:1.http://www.resource-allocation.com/content/14/1/1&lt;/publisher&gt;&lt;/record&gt;&lt;/Cite&gt;&lt;/EndNote&gt;</w:instrText>
      </w:r>
      <w:r>
        <w:rPr>
          <w:rFonts w:asciiTheme="minorHAnsi" w:hAnsiTheme="minorHAnsi" w:cstheme="minorHAnsi"/>
          <w:sz w:val="22"/>
        </w:rPr>
        <w:fldChar w:fldCharType="separate"/>
      </w:r>
      <w:r>
        <w:rPr>
          <w:rFonts w:asciiTheme="minorHAnsi" w:hAnsiTheme="minorHAnsi" w:cstheme="minorHAnsi"/>
          <w:noProof/>
          <w:sz w:val="22"/>
        </w:rPr>
        <w:t>(Ensor, So  et al. 2016)</w:t>
      </w:r>
      <w:r>
        <w:rPr>
          <w:rFonts w:asciiTheme="minorHAnsi" w:hAnsiTheme="minorHAnsi" w:cstheme="minorHAnsi"/>
          <w:sz w:val="22"/>
        </w:rPr>
        <w:fldChar w:fldCharType="end"/>
      </w:r>
      <w:r w:rsidRPr="00113E66">
        <w:rPr>
          <w:rFonts w:asciiTheme="minorHAnsi" w:hAnsiTheme="minorHAnsi" w:cstheme="minorHAnsi"/>
          <w:sz w:val="22"/>
        </w:rPr>
        <w:t>, this analysis contributes to the literature on the relationship between health spending and o</w:t>
      </w:r>
      <w:r w:rsidRPr="00244DC5">
        <w:rPr>
          <w:rFonts w:asciiTheme="minorHAnsi" w:hAnsiTheme="minorHAnsi" w:cstheme="minorHAnsi"/>
          <w:sz w:val="22"/>
        </w:rPr>
        <w:t xml:space="preserve">utputs. It is well understood that the likelihood of health spending leading to better health outputs depends on health system efficiency </w:t>
      </w:r>
      <w:r>
        <w:rPr>
          <w:rFonts w:asciiTheme="minorHAnsi" w:hAnsiTheme="minorHAnsi" w:cstheme="minorHAnsi"/>
          <w:sz w:val="22"/>
        </w:rPr>
        <w:fldChar w:fldCharType="begin"/>
      </w:r>
      <w:r>
        <w:rPr>
          <w:rFonts w:asciiTheme="minorHAnsi" w:hAnsiTheme="minorHAnsi" w:cstheme="minorHAnsi"/>
          <w:sz w:val="22"/>
        </w:rPr>
        <w:instrText xml:space="preserve"> ADDIN EN.CITE &lt;EndNote&gt;&lt;Cite&gt;&lt;Author&gt;WHO&lt;/Author&gt;&lt;Year&gt;2010&lt;/Year&gt;&lt;RecNum&gt;0&lt;/RecNum&gt;&lt;IDText&gt;Health systems financing: the path to universal coverage&lt;/IDText&gt;&lt;DisplayText&gt;(WHO 2010)&lt;/DisplayText&gt;&lt;record&gt;&lt;ref-type name="Report"&gt;27&lt;/ref-type&gt;&lt;contributors&gt;&lt;authors&gt;&lt;author&gt;WHO&lt;/author&gt;&lt;/authors&gt;&lt;/contributors&gt;&lt;titles&gt;&lt;title&gt;Health systems financing: the path to universal coverage&lt;/title&gt;&lt;/titles&gt;&lt;dates&gt;&lt;year&gt;2010&lt;/year&gt;&lt;/dates&gt;&lt;/record&gt;&lt;/Cite&gt;&lt;/EndNote&gt;</w:instrText>
      </w:r>
      <w:r>
        <w:rPr>
          <w:rFonts w:asciiTheme="minorHAnsi" w:hAnsiTheme="minorHAnsi" w:cstheme="minorHAnsi"/>
          <w:sz w:val="22"/>
        </w:rPr>
        <w:fldChar w:fldCharType="separate"/>
      </w:r>
      <w:r>
        <w:rPr>
          <w:rFonts w:asciiTheme="minorHAnsi" w:hAnsiTheme="minorHAnsi" w:cstheme="minorHAnsi"/>
          <w:noProof/>
          <w:sz w:val="22"/>
        </w:rPr>
        <w:t>(WHO 2010)</w:t>
      </w:r>
      <w:r>
        <w:rPr>
          <w:rFonts w:asciiTheme="minorHAnsi" w:hAnsiTheme="minorHAnsi" w:cstheme="minorHAnsi"/>
          <w:sz w:val="22"/>
        </w:rPr>
        <w:fldChar w:fldCharType="end"/>
      </w:r>
      <w:r w:rsidR="001560F0">
        <w:rPr>
          <w:rFonts w:asciiTheme="minorHAnsi" w:hAnsiTheme="minorHAnsi" w:cstheme="minorHAnsi"/>
          <w:sz w:val="22"/>
        </w:rPr>
        <w:t>. A</w:t>
      </w:r>
      <w:r w:rsidRPr="00113E66">
        <w:rPr>
          <w:rFonts w:asciiTheme="minorHAnsi" w:hAnsiTheme="minorHAnsi" w:cstheme="minorHAnsi"/>
          <w:sz w:val="22"/>
        </w:rPr>
        <w:t xml:space="preserve"> recent WHO report</w:t>
      </w:r>
      <w:r w:rsidRPr="00244DC5">
        <w:rPr>
          <w:rFonts w:asciiTheme="minorHAnsi" w:hAnsiTheme="minorHAnsi" w:cstheme="minorHAnsi"/>
          <w:sz w:val="22"/>
        </w:rPr>
        <w:t xml:space="preserve"> </w:t>
      </w:r>
      <w:r w:rsidRPr="00244DC5">
        <w:rPr>
          <w:rFonts w:asciiTheme="minorHAnsi" w:hAnsiTheme="minorHAnsi" w:cstheme="minorHAnsi"/>
          <w:color w:val="333333"/>
          <w:sz w:val="22"/>
          <w:shd w:val="clear" w:color="auto" w:fill="FFFFFF"/>
        </w:rPr>
        <w:t>highlights the limited utility of spending targets to inform country policy dialogue and decision making</w:t>
      </w:r>
      <w:r>
        <w:rPr>
          <w:rFonts w:asciiTheme="minorHAnsi" w:hAnsiTheme="minorHAnsi" w:cstheme="minorHAnsi"/>
          <w:color w:val="333333"/>
          <w:sz w:val="22"/>
          <w:shd w:val="clear" w:color="auto" w:fill="FFFFFF"/>
        </w:rPr>
        <w:fldChar w:fldCharType="begin"/>
      </w:r>
      <w:r>
        <w:rPr>
          <w:rFonts w:asciiTheme="minorHAnsi" w:hAnsiTheme="minorHAnsi" w:cstheme="minorHAnsi"/>
          <w:color w:val="333333"/>
          <w:sz w:val="22"/>
          <w:shd w:val="clear" w:color="auto" w:fill="FFFFFF"/>
        </w:rPr>
        <w:instrText xml:space="preserve"> ADDIN EN.CITE &lt;EndNote&gt;&lt;Cite&gt;&lt;Author&gt;Jowett&lt;/Author&gt;&lt;Year&gt;2016&lt;/Year&gt;&lt;RecNum&gt;0&lt;/RecNum&gt;&lt;IDText&gt;Spending Targets for Health: No Magic Number&lt;/IDText&gt;&lt;DisplayText&gt;(Jowett, Brunal et al. 2016)&lt;/DisplayText&gt;&lt;record&gt;&lt;ref-type name="Online Multimedia"&gt;48&lt;/ref-type&gt;&lt;contributors&gt;&lt;authors&gt;&lt;author&gt;Jowett, Matthew&lt;/author&gt;&lt;author&gt;Brunal, Maria Petro&lt;/author&gt;&lt;author&gt;Flores, Gabriela&lt;/author&gt;&lt;author&gt;Cylus, Jonathan&lt;/author&gt;&lt;/authors&gt;&lt;/contributors&gt;&lt;titles&gt;&lt;title&gt;Spending Targets for Health: No Magic Number&lt;/title&gt;&lt;secondary-title&gt;World Health Organisation&lt;/secondary-title&gt;&lt;/titles&gt;&lt;dates&gt;&lt;year&gt;2016&lt;/year&gt;&lt;/dates&gt;&lt;urls&gt;&lt;related-urls&gt;&lt;url&gt;http://www.who.int/health_financing/documents/no-magic-number/en/&lt;/url&gt;&lt;/related-urls&gt;&lt;/urls&gt;&lt;/record&gt;&lt;/Cite&gt;&lt;/EndNote&gt;</w:instrText>
      </w:r>
      <w:r>
        <w:rPr>
          <w:rFonts w:asciiTheme="minorHAnsi" w:hAnsiTheme="minorHAnsi" w:cstheme="minorHAnsi"/>
          <w:color w:val="333333"/>
          <w:sz w:val="22"/>
          <w:shd w:val="clear" w:color="auto" w:fill="FFFFFF"/>
        </w:rPr>
        <w:fldChar w:fldCharType="separate"/>
      </w:r>
      <w:r>
        <w:rPr>
          <w:rFonts w:asciiTheme="minorHAnsi" w:hAnsiTheme="minorHAnsi" w:cstheme="minorHAnsi"/>
          <w:noProof/>
          <w:color w:val="333333"/>
          <w:sz w:val="22"/>
          <w:shd w:val="clear" w:color="auto" w:fill="FFFFFF"/>
        </w:rPr>
        <w:t>(Jowett, Brunal et al. 2016)</w:t>
      </w:r>
      <w:r>
        <w:rPr>
          <w:rFonts w:asciiTheme="minorHAnsi" w:hAnsiTheme="minorHAnsi" w:cstheme="minorHAnsi"/>
          <w:color w:val="333333"/>
          <w:sz w:val="22"/>
          <w:shd w:val="clear" w:color="auto" w:fill="FFFFFF"/>
        </w:rPr>
        <w:fldChar w:fldCharType="end"/>
      </w:r>
      <w:r w:rsidRPr="00113E66">
        <w:rPr>
          <w:rFonts w:asciiTheme="minorHAnsi" w:hAnsiTheme="minorHAnsi" w:cstheme="minorHAnsi"/>
          <w:color w:val="333333"/>
          <w:sz w:val="22"/>
          <w:shd w:val="clear" w:color="auto" w:fill="FFFFFF"/>
        </w:rPr>
        <w:t xml:space="preserve">. </w:t>
      </w:r>
      <w:r w:rsidRPr="00113E66">
        <w:rPr>
          <w:rFonts w:asciiTheme="minorHAnsi" w:hAnsiTheme="minorHAnsi" w:cstheme="minorHAnsi"/>
          <w:sz w:val="22"/>
        </w:rPr>
        <w:t>However, in general, low-income countries and poorer populations within countries are likely to benefit more fro</w:t>
      </w:r>
      <w:r w:rsidRPr="00244DC5">
        <w:rPr>
          <w:rFonts w:asciiTheme="minorHAnsi" w:hAnsiTheme="minorHAnsi" w:cstheme="minorHAnsi"/>
          <w:sz w:val="22"/>
        </w:rPr>
        <w:t>m increased health expenditure. One paper estimated that a one percent increase in public spending on health had twice the impact on child mortality for the poor- than for the non-poor</w:t>
      </w:r>
      <w:r>
        <w:rPr>
          <w:rFonts w:asciiTheme="minorHAnsi" w:hAnsiTheme="minorHAnsi" w:cstheme="minorHAnsi"/>
          <w:sz w:val="22"/>
        </w:rPr>
        <w:fldChar w:fldCharType="begin"/>
      </w:r>
      <w:r>
        <w:rPr>
          <w:rFonts w:asciiTheme="minorHAnsi" w:hAnsiTheme="minorHAnsi" w:cstheme="minorHAnsi"/>
          <w:sz w:val="22"/>
        </w:rPr>
        <w:instrText xml:space="preserve"> ADDIN EN.CITE &lt;EndNote&gt;&lt;Cite&gt;&lt;Author&gt;Gupta&lt;/Author&gt;&lt;Year&gt;2001&lt;/Year&gt;&lt;RecNum&gt;0&lt;/RecNum&gt;&lt;IDText&gt;Public Spending on Health Care and the Poor&lt;/IDText&gt;&lt;DisplayText&gt;(Gupta, Verhoeven et al. 2001)&lt;/DisplayText&gt;&lt;record&gt;&lt;ref-type name="Report"&gt;27&lt;/ref-type&gt;&lt;contributors&gt;&lt;authors&gt;&lt;author&gt;Gupta, Sanjeev&lt;/author&gt;&lt;author&gt;Verhoeven, Marijn&lt;/author&gt;&lt;author&gt;Tiongson, Erwin&lt;/author&gt;&lt;/authors&gt;&lt;/contributors&gt;&lt;titles&gt;&lt;title&gt;Public Spending on Health Care and the Poor&lt;/title&gt;&lt;/titles&gt;&lt;dates&gt;&lt;year&gt;2001&lt;/year&gt;&lt;/dates&gt;&lt;/record&gt;&lt;/Cite&gt;&lt;/EndNote&gt;</w:instrText>
      </w:r>
      <w:r>
        <w:rPr>
          <w:rFonts w:asciiTheme="minorHAnsi" w:hAnsiTheme="minorHAnsi" w:cstheme="minorHAnsi"/>
          <w:sz w:val="22"/>
        </w:rPr>
        <w:fldChar w:fldCharType="separate"/>
      </w:r>
      <w:r>
        <w:rPr>
          <w:rFonts w:asciiTheme="minorHAnsi" w:hAnsiTheme="minorHAnsi" w:cstheme="minorHAnsi"/>
          <w:noProof/>
          <w:sz w:val="22"/>
        </w:rPr>
        <w:t>(Gupta, Verhoeven et al. 2001)</w:t>
      </w:r>
      <w:r>
        <w:rPr>
          <w:rFonts w:asciiTheme="minorHAnsi" w:hAnsiTheme="minorHAnsi" w:cstheme="minorHAnsi"/>
          <w:sz w:val="22"/>
        </w:rPr>
        <w:fldChar w:fldCharType="end"/>
      </w:r>
      <w:r w:rsidRPr="00113E66">
        <w:rPr>
          <w:rFonts w:asciiTheme="minorHAnsi" w:hAnsiTheme="minorHAnsi" w:cstheme="minorHAnsi"/>
          <w:sz w:val="22"/>
        </w:rPr>
        <w:t xml:space="preserve">.  Equally, a study in Nigeria </w:t>
      </w:r>
      <w:r>
        <w:rPr>
          <w:rFonts w:asciiTheme="minorHAnsi" w:hAnsiTheme="minorHAnsi" w:cstheme="minorHAnsi"/>
          <w:sz w:val="22"/>
        </w:rPr>
        <w:fldChar w:fldCharType="begin"/>
      </w:r>
      <w:r>
        <w:rPr>
          <w:rFonts w:asciiTheme="minorHAnsi" w:hAnsiTheme="minorHAnsi" w:cstheme="minorHAnsi"/>
          <w:sz w:val="22"/>
        </w:rPr>
        <w:instrText xml:space="preserve"> ADDIN EN.CITE &lt;EndNote&gt;&lt;Cite&gt;&lt;Author&gt;Olaniyan&lt;/Author&gt;&lt;Year&gt;2010&lt;/Year&gt;&lt;RecNum&gt;0&lt;/RecNum&gt;&lt;IDText&gt;Health Expenditure and Health Status in Northern and Southern Nigeria: A Comparative Analysis Using NHA Framework&lt;/IDText&gt;&lt;DisplayText&gt;(Olaniyan and Lawanson 2010)&lt;/DisplayText&gt;&lt;record&gt;&lt;ref-type name="Report"&gt;27&lt;/ref-type&gt;&lt;contributors&gt;&lt;authors&gt;&lt;author&gt;Olaniyan, Olanrewaju&lt;/author&gt;&lt;author&gt;Lawanson, A. Olayinka&lt;/author&gt;&lt;/authors&gt;&lt;/contributors&gt;&lt;titles&gt;&lt;title&gt;Health Expenditure and Health Status in Northern and Southern Nigeria: A Comparative Analysis Using NHA Framework&lt;/title&gt;&lt;/titles&gt;&lt;dates&gt;&lt;year&gt;2010&lt;/year&gt;&lt;/dates&gt;&lt;/record&gt;&lt;/Cite&gt;&lt;/EndNote&gt;</w:instrText>
      </w:r>
      <w:r>
        <w:rPr>
          <w:rFonts w:asciiTheme="minorHAnsi" w:hAnsiTheme="minorHAnsi" w:cstheme="minorHAnsi"/>
          <w:sz w:val="22"/>
        </w:rPr>
        <w:fldChar w:fldCharType="separate"/>
      </w:r>
      <w:r>
        <w:rPr>
          <w:rFonts w:asciiTheme="minorHAnsi" w:hAnsiTheme="minorHAnsi" w:cstheme="minorHAnsi"/>
          <w:noProof/>
          <w:sz w:val="22"/>
        </w:rPr>
        <w:t>(Olaniyan and Lawanson 2010)</w:t>
      </w:r>
      <w:r>
        <w:rPr>
          <w:rFonts w:asciiTheme="minorHAnsi" w:hAnsiTheme="minorHAnsi" w:cstheme="minorHAnsi"/>
          <w:sz w:val="22"/>
        </w:rPr>
        <w:fldChar w:fldCharType="end"/>
      </w:r>
      <w:r w:rsidRPr="00113E66">
        <w:rPr>
          <w:rFonts w:asciiTheme="minorHAnsi" w:hAnsiTheme="minorHAnsi" w:cstheme="minorHAnsi"/>
          <w:sz w:val="22"/>
        </w:rPr>
        <w:t xml:space="preserve"> found that lower per capita expenditure in health in northern states made insufficient health funding a primary issue, while </w:t>
      </w:r>
      <w:r w:rsidRPr="00244DC5">
        <w:rPr>
          <w:rFonts w:asciiTheme="minorHAnsi" w:hAnsiTheme="minorHAnsi" w:cstheme="minorHAnsi"/>
          <w:sz w:val="22"/>
        </w:rPr>
        <w:t xml:space="preserve">the context of greater per capita expenditure on health in southern states and higher public funding made efficiency of expenditure a greater issue. </w:t>
      </w:r>
    </w:p>
    <w:p w14:paraId="5C41D9D4" w14:textId="77777777" w:rsidR="00133AEB" w:rsidRPr="00AE7BB9" w:rsidRDefault="00133AEB" w:rsidP="001F6A23">
      <w:pPr>
        <w:pStyle w:val="Heading1"/>
        <w:spacing w:line="240" w:lineRule="auto"/>
        <w:rPr>
          <w:rFonts w:asciiTheme="minorHAnsi" w:hAnsiTheme="minorHAnsi"/>
        </w:rPr>
      </w:pPr>
      <w:r w:rsidRPr="00AE7BB9">
        <w:rPr>
          <w:rFonts w:asciiTheme="minorHAnsi" w:hAnsiTheme="minorHAnsi"/>
        </w:rPr>
        <w:t xml:space="preserve">Methods </w:t>
      </w:r>
    </w:p>
    <w:p w14:paraId="654E76DA" w14:textId="134AE8DC" w:rsidR="00133AEB" w:rsidRPr="00AE7BB9" w:rsidRDefault="00133AEB" w:rsidP="001F6A23">
      <w:pPr>
        <w:spacing w:after="240" w:line="240" w:lineRule="auto"/>
        <w:rPr>
          <w:rFonts w:asciiTheme="minorHAnsi" w:hAnsiTheme="minorHAnsi"/>
          <w:sz w:val="22"/>
        </w:rPr>
      </w:pPr>
      <w:proofErr w:type="gramStart"/>
      <w:r w:rsidRPr="00AE7BB9">
        <w:rPr>
          <w:rFonts w:asciiTheme="minorHAnsi" w:hAnsiTheme="minorHAnsi" w:cs="Times New Roman"/>
          <w:sz w:val="22"/>
        </w:rPr>
        <w:t>In order to</w:t>
      </w:r>
      <w:proofErr w:type="gramEnd"/>
      <w:r w:rsidRPr="00AE7BB9">
        <w:rPr>
          <w:rFonts w:asciiTheme="minorHAnsi" w:hAnsiTheme="minorHAnsi" w:cs="Times New Roman"/>
          <w:sz w:val="22"/>
        </w:rPr>
        <w:t xml:space="preserve"> understand the overall performance of the health system in PNG, as a first step, core universal health coverage (UHC) tracking indicators which were relevant for PNG and for which data were available were compared with neighbouring countries in the East Asia and Pacific region. </w:t>
      </w:r>
      <w:r w:rsidRPr="00AE7BB9">
        <w:rPr>
          <w:rFonts w:asciiTheme="minorHAnsi" w:hAnsiTheme="minorHAnsi"/>
          <w:sz w:val="22"/>
        </w:rPr>
        <w:t>PNG’s close Pacific neighbours - Fiji, Solomon Islands and Vanuatu - and Cambodia, Laos and Myanmar in East Asia were included. The analysis included essential</w:t>
      </w:r>
      <w:r w:rsidRPr="00AE7BB9">
        <w:rPr>
          <w:rFonts w:asciiTheme="minorHAnsi" w:hAnsiTheme="minorHAnsi" w:cs="Times New Roman"/>
          <w:sz w:val="22"/>
        </w:rPr>
        <w:t xml:space="preserve"> </w:t>
      </w:r>
      <w:r w:rsidRPr="00AE7BB9">
        <w:rPr>
          <w:rFonts w:asciiTheme="minorHAnsi" w:hAnsiTheme="minorHAnsi"/>
          <w:sz w:val="22"/>
        </w:rPr>
        <w:t xml:space="preserve">health prevention, promotion and treatment outputs – elements which contribute to longer life expectancy and lower infant mortality. </w:t>
      </w:r>
    </w:p>
    <w:p w14:paraId="0E326510" w14:textId="4552771A" w:rsidR="00133AEB" w:rsidRDefault="00133AEB" w:rsidP="001F6A23">
      <w:pPr>
        <w:spacing w:after="240" w:line="240" w:lineRule="auto"/>
        <w:rPr>
          <w:rFonts w:asciiTheme="minorHAnsi" w:hAnsiTheme="minorHAnsi" w:cs="Times New Roman"/>
          <w:sz w:val="22"/>
        </w:rPr>
      </w:pPr>
      <w:r w:rsidRPr="00AE7BB9">
        <w:rPr>
          <w:rFonts w:asciiTheme="minorHAnsi" w:hAnsiTheme="minorHAnsi" w:cs="Times New Roman"/>
          <w:sz w:val="22"/>
        </w:rPr>
        <w:t>The study then compared the spending on a set of frontline service delivery activities with a set of relevant performance indicators, using 2012 data provided by the National Department of Health</w:t>
      </w:r>
      <w:r>
        <w:rPr>
          <w:rFonts w:asciiTheme="minorHAnsi" w:hAnsiTheme="minorHAnsi" w:cs="Times New Roman"/>
          <w:sz w:val="22"/>
        </w:rPr>
        <w:t xml:space="preserve"> (NDOH)</w:t>
      </w:r>
      <w:r w:rsidRPr="00AE7BB9">
        <w:rPr>
          <w:rFonts w:asciiTheme="minorHAnsi" w:hAnsiTheme="minorHAnsi" w:cs="Times New Roman"/>
          <w:sz w:val="22"/>
        </w:rPr>
        <w:t xml:space="preserve"> and the National Economic and Fiscal Commission (NEFC), PNG. All provinces in PNG were included in the analysis, </w:t>
      </w:r>
      <w:proofErr w:type="gramStart"/>
      <w:r w:rsidRPr="00AE7BB9">
        <w:rPr>
          <w:rFonts w:asciiTheme="minorHAnsi" w:hAnsiTheme="minorHAnsi" w:cs="Times New Roman"/>
          <w:sz w:val="22"/>
        </w:rPr>
        <w:t>with the exception of</w:t>
      </w:r>
      <w:proofErr w:type="gramEnd"/>
      <w:r w:rsidRPr="00AE7BB9">
        <w:rPr>
          <w:rFonts w:asciiTheme="minorHAnsi" w:hAnsiTheme="minorHAnsi" w:cs="Times New Roman"/>
          <w:sz w:val="22"/>
        </w:rPr>
        <w:t xml:space="preserve"> the Autonomous Region of Bougainville (ABG) and the National Capital District. The ABG and NCD have different funding arrangements to provinces. </w:t>
      </w:r>
      <w:bookmarkStart w:id="0" w:name="_Hlk483581041"/>
      <w:r w:rsidRPr="00AE7BB9">
        <w:rPr>
          <w:rFonts w:asciiTheme="minorHAnsi" w:hAnsiTheme="minorHAnsi" w:cs="Times New Roman"/>
          <w:sz w:val="22"/>
        </w:rPr>
        <w:t xml:space="preserve">The health expenditure data at provincial level includes spending by provincial governments from health function grants and internal revenue, but excludes spending by church-run facilities from church operating grants. The expenditures cover the non-salary recurrent costs which are critical to the functioning of frontline service delivery activities.  </w:t>
      </w:r>
      <w:bookmarkEnd w:id="0"/>
    </w:p>
    <w:p w14:paraId="3E5BBE73" w14:textId="77777777" w:rsidR="00133AEB" w:rsidRPr="00AE7BB9" w:rsidRDefault="00133AEB" w:rsidP="001F6A23">
      <w:pPr>
        <w:spacing w:after="240" w:line="240" w:lineRule="auto"/>
        <w:rPr>
          <w:rFonts w:asciiTheme="minorHAnsi" w:hAnsiTheme="minorHAnsi" w:cs="Times New Roman"/>
          <w:sz w:val="22"/>
        </w:rPr>
      </w:pPr>
      <w:r w:rsidRPr="00AE7BB9">
        <w:rPr>
          <w:rFonts w:asciiTheme="minorHAnsi" w:hAnsiTheme="minorHAnsi" w:cs="Times New Roman"/>
          <w:sz w:val="22"/>
        </w:rPr>
        <w:t>The performance indicators were identified in a review of facility data from the National Department of Health information system (NHIS). The performance data were reviewed for consistency. Six indicators were chosen:</w:t>
      </w:r>
    </w:p>
    <w:p w14:paraId="60A61EFD" w14:textId="77777777" w:rsidR="00133AEB" w:rsidRPr="00AE7BB9" w:rsidRDefault="00133AEB" w:rsidP="001F6A23">
      <w:pPr>
        <w:spacing w:after="240" w:line="240" w:lineRule="auto"/>
        <w:rPr>
          <w:rFonts w:asciiTheme="minorHAnsi" w:hAnsiTheme="minorHAnsi" w:cs="Times New Roman"/>
          <w:sz w:val="22"/>
        </w:rPr>
      </w:pPr>
      <w:r w:rsidRPr="00AE7BB9">
        <w:rPr>
          <w:rFonts w:asciiTheme="minorHAnsi" w:hAnsiTheme="minorHAnsi" w:cs="Times New Roman"/>
          <w:sz w:val="22"/>
        </w:rPr>
        <w:t>(1) Antenatal fourth visit, defined as the percentage of pregnant women that attend their 4</w:t>
      </w:r>
      <w:r w:rsidRPr="001F6A23">
        <w:rPr>
          <w:rFonts w:asciiTheme="minorHAnsi" w:hAnsiTheme="minorHAnsi"/>
          <w:sz w:val="22"/>
          <w:vertAlign w:val="superscript"/>
        </w:rPr>
        <w:t>th</w:t>
      </w:r>
      <w:r w:rsidRPr="00AE7BB9">
        <w:rPr>
          <w:rFonts w:asciiTheme="minorHAnsi" w:hAnsiTheme="minorHAnsi" w:cs="Times New Roman"/>
          <w:sz w:val="22"/>
        </w:rPr>
        <w:t xml:space="preserve"> antenatal visit at a health centre or outreach clinic during the pregnancy.  This visit presents opportunities for reaching pregnant women with interventions that may be vital to their health and well-being and that of their infants; </w:t>
      </w:r>
    </w:p>
    <w:p w14:paraId="5FFFA840" w14:textId="77777777" w:rsidR="00133AEB" w:rsidRPr="00AE7BB9" w:rsidRDefault="00133AEB" w:rsidP="001F6A23">
      <w:pPr>
        <w:spacing w:after="240" w:line="240" w:lineRule="auto"/>
        <w:rPr>
          <w:rFonts w:asciiTheme="minorHAnsi" w:hAnsiTheme="minorHAnsi" w:cs="Times New Roman"/>
          <w:sz w:val="22"/>
        </w:rPr>
      </w:pPr>
      <w:r w:rsidRPr="00AE7BB9">
        <w:rPr>
          <w:rFonts w:asciiTheme="minorHAnsi" w:hAnsiTheme="minorHAnsi" w:cs="Times New Roman"/>
          <w:sz w:val="22"/>
        </w:rPr>
        <w:t xml:space="preserve">(2) Outreach clinics held per 1,000 population per year.  This indicator was chosen because rural outreach provides the key platform for preventive child health programmes, and an opportunity for individual community health education;  </w:t>
      </w:r>
    </w:p>
    <w:p w14:paraId="6DE67F02" w14:textId="77777777" w:rsidR="00133AEB" w:rsidRPr="00AE7BB9" w:rsidRDefault="00133AEB" w:rsidP="001F6A23">
      <w:pPr>
        <w:spacing w:after="240" w:line="240" w:lineRule="auto"/>
        <w:rPr>
          <w:rFonts w:asciiTheme="minorHAnsi" w:hAnsiTheme="minorHAnsi" w:cs="Times New Roman"/>
          <w:sz w:val="22"/>
        </w:rPr>
      </w:pPr>
      <w:r w:rsidRPr="00AE7BB9">
        <w:rPr>
          <w:rFonts w:asciiTheme="minorHAnsi" w:hAnsiTheme="minorHAnsi" w:cs="Times New Roman"/>
          <w:sz w:val="22"/>
        </w:rPr>
        <w:t>(3) Outpatient visits per person per year. This provides a measure of general use of health facilities by the local community, as well as being a sign of confidence in the services available;</w:t>
      </w:r>
    </w:p>
    <w:p w14:paraId="3EA34ED0" w14:textId="77777777" w:rsidR="00133AEB" w:rsidRPr="00AE7BB9" w:rsidRDefault="00133AEB" w:rsidP="001F6A23">
      <w:pPr>
        <w:spacing w:after="240" w:line="240" w:lineRule="auto"/>
        <w:rPr>
          <w:rFonts w:asciiTheme="minorHAnsi" w:hAnsiTheme="minorHAnsi" w:cs="Times New Roman"/>
          <w:sz w:val="22"/>
        </w:rPr>
      </w:pPr>
      <w:r w:rsidRPr="00AE7BB9">
        <w:rPr>
          <w:rFonts w:asciiTheme="minorHAnsi" w:hAnsiTheme="minorHAnsi" w:cs="Times New Roman"/>
          <w:sz w:val="22"/>
        </w:rPr>
        <w:lastRenderedPageBreak/>
        <w:t xml:space="preserve"> (4) Patient referrals, defined as the number of patients recorded as being transferred from health centres to other health facilities per 1,000 people per year.  This indicator is important as in rural settings health centres often need to assist patients to transfer to another hospital for urgent medical care; </w:t>
      </w:r>
    </w:p>
    <w:p w14:paraId="1A13485F" w14:textId="77777777" w:rsidR="00133AEB" w:rsidRPr="00AE7BB9" w:rsidRDefault="00133AEB" w:rsidP="001F6A23">
      <w:pPr>
        <w:spacing w:after="240" w:line="240" w:lineRule="auto"/>
        <w:rPr>
          <w:rFonts w:asciiTheme="minorHAnsi" w:hAnsiTheme="minorHAnsi" w:cs="Times New Roman"/>
          <w:sz w:val="22"/>
        </w:rPr>
      </w:pPr>
      <w:r w:rsidRPr="00AE7BB9">
        <w:rPr>
          <w:rFonts w:asciiTheme="minorHAnsi" w:hAnsiTheme="minorHAnsi" w:cs="Times New Roman"/>
          <w:sz w:val="22"/>
        </w:rPr>
        <w:t xml:space="preserve">(5) Essential medicine stock outs, monitoring the proportion of months in a year that have nil stock out of eight essential medical supplies. This indicator is included as the availability of basic drugs and medical supplies are critical enabling elements for health centre staff; and </w:t>
      </w:r>
    </w:p>
    <w:p w14:paraId="70CC30F0" w14:textId="77777777" w:rsidR="00133AEB" w:rsidRPr="00AE7BB9" w:rsidRDefault="00133AEB" w:rsidP="001F6A23">
      <w:pPr>
        <w:spacing w:after="240" w:line="240" w:lineRule="auto"/>
        <w:rPr>
          <w:rFonts w:asciiTheme="minorHAnsi" w:hAnsiTheme="minorHAnsi" w:cs="Times New Roman"/>
          <w:sz w:val="22"/>
        </w:rPr>
      </w:pPr>
      <w:r w:rsidRPr="00AE7BB9">
        <w:rPr>
          <w:rFonts w:asciiTheme="minorHAnsi" w:hAnsiTheme="minorHAnsi" w:cs="Times New Roman"/>
          <w:sz w:val="22"/>
        </w:rPr>
        <w:t>(6) Supervision, defined as the proportion of health centres that have received at least one supervisory visit by provincial health officers (PHOs) and doctors in one year.</w:t>
      </w:r>
    </w:p>
    <w:p w14:paraId="647E4B84" w14:textId="389B6D00" w:rsidR="00133AEB" w:rsidRPr="00FD68A2" w:rsidRDefault="00133AEB" w:rsidP="00FD68A2">
      <w:pPr>
        <w:spacing w:after="240" w:line="240" w:lineRule="auto"/>
        <w:rPr>
          <w:rFonts w:asciiTheme="minorHAnsi" w:hAnsiTheme="minorHAnsi" w:cs="Times New Roman"/>
          <w:sz w:val="22"/>
        </w:rPr>
      </w:pPr>
      <w:r w:rsidRPr="00FD68A2">
        <w:rPr>
          <w:rFonts w:asciiTheme="minorHAnsi" w:hAnsiTheme="minorHAnsi" w:cs="Times New Roman"/>
          <w:sz w:val="22"/>
        </w:rPr>
        <w:t xml:space="preserve">A frontline performance index was created, allowing for comparison between the provinces. It included the following outputs reported by rural facilities (excluding hospitals) within a province:  antenatal fourth visit &amp; antenatal TT; outreach clinics held; outpatient visits; patient referrals; essential medicine stock outs; supervision activities by doctors and by provincial health officers.  The results for each output were ranked from 1 to 18 for each province, with the best performing province highest and the lowest performing province lowest.  Each output was given equal weighting, with the average of the output results providing the index score.  </w:t>
      </w:r>
    </w:p>
    <w:p w14:paraId="5C23E92F" w14:textId="77777777" w:rsidR="00133AEB" w:rsidRDefault="00133AEB" w:rsidP="001F6A23">
      <w:pPr>
        <w:spacing w:after="240" w:line="240" w:lineRule="auto"/>
        <w:rPr>
          <w:rFonts w:asciiTheme="minorHAnsi" w:hAnsiTheme="minorHAnsi"/>
          <w:sz w:val="22"/>
        </w:rPr>
      </w:pPr>
      <w:r w:rsidRPr="00AE7BB9">
        <w:rPr>
          <w:rFonts w:asciiTheme="minorHAnsi" w:hAnsiTheme="minorHAnsi"/>
          <w:sz w:val="22"/>
        </w:rPr>
        <w:t>Spending was also compared against an independent costing study</w:t>
      </w:r>
      <w:r>
        <w:rPr>
          <w:rFonts w:asciiTheme="minorHAnsi" w:hAnsiTheme="minorHAnsi"/>
          <w:sz w:val="22"/>
        </w:rPr>
        <w:fldChar w:fldCharType="begin"/>
      </w:r>
      <w:r>
        <w:rPr>
          <w:rFonts w:asciiTheme="minorHAnsi" w:hAnsiTheme="minorHAnsi"/>
          <w:sz w:val="22"/>
        </w:rPr>
        <w:instrText xml:space="preserve"> ADDIN EN.CITE &lt;EndNote&gt;&lt;Cite&gt;&lt;Author&gt;Commission&lt;/Author&gt;&lt;Year&gt;2014&lt;/Year&gt;&lt;RecNum&gt;0&lt;/RecNum&gt;&lt;IDText&gt;The Thin Blue Line: The Methodology and Results of the Cost of Sub-national Services Study (O&amp;amp;M).&lt;/IDText&gt;&lt;DisplayText&gt;(Commission 2014)&lt;/DisplayText&gt;&lt;record&gt;&lt;ref-type name="Report"&gt;27&lt;/ref-type&gt;&lt;contributors&gt;&lt;authors&gt;&lt;author&gt;Commission, National Economic and Fiscal&lt;/author&gt;&lt;/authors&gt;&lt;/contributors&gt;&lt;titles&gt;&lt;title&gt;The Thin Blue Line: The Methodology and Results of the Cost of Sub-national Services Study (O&amp;amp;M).&lt;/title&gt;&lt;/titles&gt;&lt;dates&gt;&lt;year&gt;2014&lt;/year&gt;&lt;/dates&gt;&lt;pub-location&gt;Port Moresby, PNG &lt;/pub-location&gt;&lt;/record&gt;&lt;/Cite&gt;&lt;/EndNote&gt;</w:instrText>
      </w:r>
      <w:r>
        <w:rPr>
          <w:rFonts w:asciiTheme="minorHAnsi" w:hAnsiTheme="minorHAnsi"/>
          <w:sz w:val="22"/>
        </w:rPr>
        <w:fldChar w:fldCharType="separate"/>
      </w:r>
      <w:r>
        <w:rPr>
          <w:rFonts w:asciiTheme="minorHAnsi" w:hAnsiTheme="minorHAnsi"/>
          <w:noProof/>
          <w:sz w:val="22"/>
        </w:rPr>
        <w:t>(Commission 2014)</w:t>
      </w:r>
      <w:r>
        <w:rPr>
          <w:rFonts w:asciiTheme="minorHAnsi" w:hAnsiTheme="minorHAnsi"/>
          <w:sz w:val="22"/>
        </w:rPr>
        <w:fldChar w:fldCharType="end"/>
      </w:r>
      <w:r w:rsidRPr="00AE7BB9">
        <w:rPr>
          <w:rFonts w:asciiTheme="minorHAnsi" w:hAnsiTheme="minorHAnsi"/>
          <w:sz w:val="22"/>
        </w:rPr>
        <w:t>, which acts as a benchmark for the adequacy of the spending. Proximity was also included</w:t>
      </w:r>
      <w:r>
        <w:rPr>
          <w:rFonts w:asciiTheme="minorHAnsi" w:hAnsiTheme="minorHAnsi"/>
          <w:sz w:val="22"/>
        </w:rPr>
        <w:fldChar w:fldCharType="begin"/>
      </w:r>
      <w:r>
        <w:rPr>
          <w:rFonts w:asciiTheme="minorHAnsi" w:hAnsiTheme="minorHAnsi"/>
          <w:sz w:val="22"/>
        </w:rPr>
        <w:instrText xml:space="preserve"> ADDIN EN.CITE &lt;EndNote&gt;&lt;Cite&gt;&lt;Year&gt;2014&lt;/Year&gt;&lt;RecNum&gt;0&lt;/RecNum&gt;&lt;IDText&gt;Go Long Ples: Reducing inequality in education funding.&lt;/IDText&gt;&lt;DisplayText&gt;(2014)&lt;/DisplayText&gt;&lt;record&gt;&lt;ref-type name="Report"&gt;27&lt;/ref-type&gt;&lt;contributors&gt;&lt;/contributors&gt;&lt;titles&gt;&lt;title&gt;Go Long Ples: Reducing inequality in education funding.&lt;/title&gt;&lt;/titles&gt;&lt;dates&gt;&lt;year&gt;2014&lt;/year&gt;&lt;/dates&gt;&lt;pub-location&gt;Port Moresby, PNG&lt;/pub-location&gt;&lt;publisher&gt;National Economic and Fiscal Commission&lt;/publisher&gt;&lt;/record&gt;&lt;/Cite&gt;&lt;/EndNote&gt;</w:instrText>
      </w:r>
      <w:r>
        <w:rPr>
          <w:rFonts w:asciiTheme="minorHAnsi" w:hAnsiTheme="minorHAnsi"/>
          <w:sz w:val="22"/>
        </w:rPr>
        <w:fldChar w:fldCharType="separate"/>
      </w:r>
      <w:r>
        <w:rPr>
          <w:rFonts w:asciiTheme="minorHAnsi" w:hAnsiTheme="minorHAnsi"/>
          <w:noProof/>
          <w:sz w:val="22"/>
        </w:rPr>
        <w:t>(2014)</w:t>
      </w:r>
      <w:r>
        <w:rPr>
          <w:rFonts w:asciiTheme="minorHAnsi" w:hAnsiTheme="minorHAnsi"/>
          <w:sz w:val="22"/>
        </w:rPr>
        <w:fldChar w:fldCharType="end"/>
      </w:r>
      <w:r w:rsidRPr="00AE7BB9">
        <w:rPr>
          <w:rFonts w:asciiTheme="minorHAnsi" w:hAnsiTheme="minorHAnsi"/>
          <w:sz w:val="22"/>
        </w:rPr>
        <w:t>, based on local government scores for accessibility and remoteness; this allowed the study to consider the influence of remoteness and isolation upon the health system, which is particularly relevant for PNG. Finally, the findings were explored through</w:t>
      </w:r>
      <w:r>
        <w:rPr>
          <w:rFonts w:asciiTheme="minorHAnsi" w:hAnsiTheme="minorHAnsi"/>
          <w:sz w:val="22"/>
        </w:rPr>
        <w:t xml:space="preserve"> ten</w:t>
      </w:r>
      <w:r w:rsidRPr="00AE7BB9">
        <w:rPr>
          <w:rFonts w:asciiTheme="minorHAnsi" w:hAnsiTheme="minorHAnsi"/>
          <w:sz w:val="22"/>
        </w:rPr>
        <w:t xml:space="preserve"> interviews with senior provincial health officials from a selection of provinces in</w:t>
      </w:r>
      <w:r w:rsidRPr="00AE7BB9">
        <w:rPr>
          <w:rFonts w:asciiTheme="minorHAnsi" w:hAnsiTheme="minorHAnsi"/>
        </w:rPr>
        <w:t xml:space="preserve"> October 2015 </w:t>
      </w:r>
      <w:r w:rsidRPr="00AE7BB9">
        <w:rPr>
          <w:rFonts w:asciiTheme="minorHAnsi" w:hAnsiTheme="minorHAnsi"/>
          <w:sz w:val="22"/>
        </w:rPr>
        <w:t xml:space="preserve">and compared with the findings of other recent studies on rural health care in Papua New Guinea. </w:t>
      </w:r>
    </w:p>
    <w:p w14:paraId="68B58EEE" w14:textId="3DB170D1" w:rsidR="00133AEB" w:rsidRPr="00FD68A2" w:rsidRDefault="00133AEB" w:rsidP="001F6A23">
      <w:pPr>
        <w:spacing w:after="240" w:line="240" w:lineRule="auto"/>
        <w:rPr>
          <w:rFonts w:asciiTheme="minorHAnsi" w:hAnsiTheme="minorHAnsi" w:cs="Times New Roman"/>
          <w:sz w:val="22"/>
        </w:rPr>
      </w:pPr>
      <w:r w:rsidRPr="00FD68A2">
        <w:rPr>
          <w:rFonts w:asciiTheme="minorHAnsi" w:hAnsiTheme="minorHAnsi" w:cs="Times New Roman"/>
          <w:sz w:val="22"/>
        </w:rPr>
        <w:t xml:space="preserve">We could not use regression method in this study because the number of observations is too small. Therefore, we used correlation diagrams to explore the factors driving the performance of rural health care in Papua New Guinea. </w:t>
      </w:r>
    </w:p>
    <w:p w14:paraId="18393F04" w14:textId="77777777" w:rsidR="00133AEB" w:rsidRPr="001F6A23" w:rsidRDefault="00133AEB" w:rsidP="001F6A23">
      <w:pPr>
        <w:pStyle w:val="Heading1"/>
        <w:spacing w:line="240" w:lineRule="auto"/>
        <w:rPr>
          <w:rFonts w:asciiTheme="minorHAnsi" w:hAnsiTheme="minorHAnsi"/>
        </w:rPr>
      </w:pPr>
      <w:r w:rsidRPr="001F6A23">
        <w:rPr>
          <w:rFonts w:asciiTheme="minorHAnsi" w:hAnsiTheme="minorHAnsi"/>
        </w:rPr>
        <w:t>Limitations</w:t>
      </w:r>
    </w:p>
    <w:p w14:paraId="67334E46" w14:textId="07EC47A3" w:rsidR="00133AEB" w:rsidRPr="001F6A23" w:rsidRDefault="00133AEB" w:rsidP="00FD68A2">
      <w:pPr>
        <w:spacing w:after="240" w:line="240" w:lineRule="auto"/>
        <w:rPr>
          <w:rFonts w:asciiTheme="minorHAnsi" w:hAnsiTheme="minorHAnsi"/>
          <w:sz w:val="22"/>
        </w:rPr>
      </w:pPr>
      <w:r w:rsidRPr="001F6A23">
        <w:rPr>
          <w:rFonts w:asciiTheme="minorHAnsi" w:hAnsiTheme="minorHAnsi"/>
          <w:sz w:val="22"/>
        </w:rPr>
        <w:t xml:space="preserve">The study has several limitations. The first is the quality of the data. Efforts have been made to clean the data to ensure consistency, however variability in the recording, coding and accuracy of both the NHIS output data and the expenditure data are noted. The second is that our methods are primarily descriptive, focusing on the correlation between the performance indicators in respect to proximity to health services and the spending, rather than using multivariate regressions. This method is partly driven by limited data points. The analysis, while limited, still serves to illustrate the importance of </w:t>
      </w:r>
      <w:r w:rsidRPr="00EE1D7E">
        <w:rPr>
          <w:rFonts w:asciiTheme="minorHAnsi" w:hAnsiTheme="minorHAnsi" w:cs="Times New Roman"/>
          <w:sz w:val="22"/>
        </w:rPr>
        <w:t xml:space="preserve">different </w:t>
      </w:r>
      <w:r w:rsidRPr="001F6A23">
        <w:rPr>
          <w:rFonts w:asciiTheme="minorHAnsi" w:hAnsiTheme="minorHAnsi"/>
          <w:sz w:val="22"/>
        </w:rPr>
        <w:t>factors in driving local system performance.</w:t>
      </w:r>
    </w:p>
    <w:p w14:paraId="364EBAC2" w14:textId="77777777" w:rsidR="00133AEB" w:rsidRPr="00AE7BB9" w:rsidRDefault="00133AEB" w:rsidP="001F6A23">
      <w:pPr>
        <w:pStyle w:val="Heading1"/>
        <w:spacing w:line="240" w:lineRule="auto"/>
        <w:rPr>
          <w:rFonts w:asciiTheme="minorHAnsi" w:hAnsiTheme="minorHAnsi"/>
        </w:rPr>
      </w:pPr>
      <w:r w:rsidRPr="00AE7BB9">
        <w:rPr>
          <w:rFonts w:asciiTheme="minorHAnsi" w:hAnsiTheme="minorHAnsi"/>
        </w:rPr>
        <w:t>Results</w:t>
      </w:r>
    </w:p>
    <w:p w14:paraId="055F6A77" w14:textId="77777777" w:rsidR="00133AEB" w:rsidRPr="001F6A23" w:rsidRDefault="00133AEB" w:rsidP="00FD68A2">
      <w:pPr>
        <w:pStyle w:val="Heading2"/>
      </w:pPr>
      <w:r w:rsidRPr="001F6A23">
        <w:t>Overall performance of the health system</w:t>
      </w:r>
    </w:p>
    <w:p w14:paraId="3883FD5F" w14:textId="77777777"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fldChar w:fldCharType="begin"/>
      </w:r>
      <w:r w:rsidRPr="00AE7BB9">
        <w:rPr>
          <w:rFonts w:asciiTheme="minorHAnsi" w:hAnsiTheme="minorHAnsi"/>
          <w:sz w:val="22"/>
        </w:rPr>
        <w:instrText xml:space="preserve"> REF _Ref478728369 \h </w:instrText>
      </w:r>
      <w:r>
        <w:rPr>
          <w:rFonts w:asciiTheme="minorHAnsi" w:hAnsiTheme="minorHAnsi"/>
          <w:sz w:val="22"/>
        </w:rPr>
        <w:instrText xml:space="preserve"> \* MERGEFORMAT </w:instrText>
      </w:r>
      <w:r w:rsidRPr="00AE7BB9">
        <w:rPr>
          <w:rFonts w:asciiTheme="minorHAnsi" w:hAnsiTheme="minorHAnsi"/>
          <w:sz w:val="22"/>
        </w:rPr>
      </w:r>
      <w:r w:rsidRPr="00AE7BB9">
        <w:rPr>
          <w:rFonts w:asciiTheme="minorHAnsi" w:hAnsiTheme="minorHAnsi"/>
          <w:sz w:val="22"/>
        </w:rPr>
        <w:fldChar w:fldCharType="separate"/>
      </w:r>
      <w:r w:rsidRPr="00AE7BB9">
        <w:rPr>
          <w:rFonts w:asciiTheme="minorHAnsi" w:hAnsiTheme="minorHAnsi"/>
          <w:sz w:val="22"/>
        </w:rPr>
        <w:t xml:space="preserve">Figure </w:t>
      </w:r>
      <w:r w:rsidRPr="00AE7BB9">
        <w:rPr>
          <w:rFonts w:asciiTheme="minorHAnsi" w:hAnsiTheme="minorHAnsi"/>
          <w:noProof/>
          <w:sz w:val="22"/>
        </w:rPr>
        <w:t>1</w:t>
      </w:r>
      <w:r w:rsidRPr="00AE7BB9">
        <w:rPr>
          <w:rFonts w:asciiTheme="minorHAnsi" w:hAnsiTheme="minorHAnsi"/>
          <w:sz w:val="22"/>
        </w:rPr>
        <w:fldChar w:fldCharType="end"/>
      </w:r>
      <w:r w:rsidRPr="00AE7BB9">
        <w:rPr>
          <w:rFonts w:asciiTheme="minorHAnsi" w:hAnsiTheme="minorHAnsi"/>
          <w:sz w:val="22"/>
        </w:rPr>
        <w:t xml:space="preserve"> shows how PNG as a country performs relative to its neighbours and the S</w:t>
      </w:r>
      <w:r>
        <w:rPr>
          <w:rFonts w:asciiTheme="minorHAnsi" w:hAnsiTheme="minorHAnsi"/>
          <w:sz w:val="22"/>
        </w:rPr>
        <w:t>ustainable Development Goal (S</w:t>
      </w:r>
      <w:r w:rsidRPr="00AE7BB9">
        <w:rPr>
          <w:rFonts w:asciiTheme="minorHAnsi" w:hAnsiTheme="minorHAnsi"/>
          <w:sz w:val="22"/>
        </w:rPr>
        <w:t>DG</w:t>
      </w:r>
      <w:r>
        <w:rPr>
          <w:rFonts w:asciiTheme="minorHAnsi" w:hAnsiTheme="minorHAnsi"/>
          <w:sz w:val="22"/>
        </w:rPr>
        <w:t>)</w:t>
      </w:r>
      <w:r w:rsidRPr="00AE7BB9">
        <w:rPr>
          <w:rFonts w:asciiTheme="minorHAnsi" w:hAnsiTheme="minorHAnsi"/>
          <w:sz w:val="22"/>
        </w:rPr>
        <w:t xml:space="preserve"> target</w:t>
      </w:r>
      <w:r>
        <w:rPr>
          <w:rFonts w:asciiTheme="minorHAnsi" w:hAnsiTheme="minorHAnsi"/>
          <w:sz w:val="22"/>
        </w:rPr>
        <w:t>s</w:t>
      </w:r>
      <w:r w:rsidRPr="00AE7BB9">
        <w:rPr>
          <w:rFonts w:asciiTheme="minorHAnsi" w:hAnsiTheme="minorHAnsi"/>
          <w:sz w:val="22"/>
        </w:rPr>
        <w:t xml:space="preserve"> for key indicators of health prevention and promotion. It demonstrates </w:t>
      </w:r>
      <w:r w:rsidRPr="00AE7BB9">
        <w:rPr>
          <w:rFonts w:asciiTheme="minorHAnsi" w:hAnsiTheme="minorHAnsi"/>
          <w:sz w:val="22"/>
        </w:rPr>
        <w:lastRenderedPageBreak/>
        <w:t>that overall it is performing below the regional average, especially for indicators such as skilled birth attendance which are closely linked to functional health systems, as well as falling short of SDG targets.</w:t>
      </w:r>
    </w:p>
    <w:p w14:paraId="3A9BEA72" w14:textId="77777777" w:rsidR="00133AEB" w:rsidRPr="00AE7BB9" w:rsidRDefault="00133AEB" w:rsidP="001F6A23">
      <w:pPr>
        <w:spacing w:after="0" w:line="240" w:lineRule="auto"/>
        <w:rPr>
          <w:rFonts w:asciiTheme="minorHAnsi" w:hAnsiTheme="minorHAnsi"/>
          <w:sz w:val="22"/>
        </w:rPr>
      </w:pPr>
    </w:p>
    <w:p w14:paraId="0A7DF574" w14:textId="77777777" w:rsidR="00133AEB" w:rsidRPr="001F6A23" w:rsidRDefault="00133AEB" w:rsidP="00FD68A2">
      <w:pPr>
        <w:pStyle w:val="Caption"/>
        <w:rPr>
          <w:rFonts w:asciiTheme="minorHAnsi" w:hAnsiTheme="minorHAnsi"/>
          <w:b w:val="0"/>
          <w:sz w:val="22"/>
        </w:rPr>
      </w:pPr>
      <w:bookmarkStart w:id="1" w:name="_Ref478728369"/>
      <w:r w:rsidRPr="001F6A23">
        <w:rPr>
          <w:rFonts w:asciiTheme="minorHAnsi" w:hAnsiTheme="minorHAnsi"/>
          <w:b w:val="0"/>
          <w:sz w:val="22"/>
        </w:rPr>
        <w:t xml:space="preserve">Figure </w:t>
      </w:r>
      <w:r w:rsidRPr="001F6A23">
        <w:rPr>
          <w:rFonts w:asciiTheme="minorHAnsi" w:hAnsiTheme="minorHAnsi"/>
          <w:b w:val="0"/>
          <w:sz w:val="22"/>
        </w:rPr>
        <w:fldChar w:fldCharType="begin"/>
      </w:r>
      <w:r w:rsidRPr="001F6A23">
        <w:rPr>
          <w:rFonts w:asciiTheme="minorHAnsi" w:hAnsiTheme="minorHAnsi"/>
          <w:b w:val="0"/>
          <w:sz w:val="22"/>
        </w:rPr>
        <w:instrText xml:space="preserve"> SEQ Figure \* ARABIC </w:instrText>
      </w:r>
      <w:r w:rsidRPr="001F6A23">
        <w:rPr>
          <w:rFonts w:asciiTheme="minorHAnsi" w:hAnsiTheme="minorHAnsi"/>
          <w:b w:val="0"/>
          <w:sz w:val="22"/>
        </w:rPr>
        <w:fldChar w:fldCharType="separate"/>
      </w:r>
      <w:r w:rsidRPr="001F6A23">
        <w:rPr>
          <w:rFonts w:asciiTheme="minorHAnsi" w:hAnsiTheme="minorHAnsi"/>
          <w:b w:val="0"/>
          <w:sz w:val="22"/>
        </w:rPr>
        <w:t>1</w:t>
      </w:r>
      <w:r w:rsidRPr="001F6A23">
        <w:rPr>
          <w:rFonts w:asciiTheme="minorHAnsi" w:hAnsiTheme="minorHAnsi"/>
          <w:b w:val="0"/>
          <w:sz w:val="22"/>
        </w:rPr>
        <w:fldChar w:fldCharType="end"/>
      </w:r>
      <w:bookmarkEnd w:id="1"/>
      <w:r w:rsidRPr="001F6A23">
        <w:rPr>
          <w:rFonts w:asciiTheme="minorHAnsi" w:hAnsiTheme="minorHAnsi"/>
          <w:b w:val="0"/>
          <w:sz w:val="22"/>
        </w:rPr>
        <w:t xml:space="preserve"> PNG in the </w:t>
      </w:r>
      <w:proofErr w:type="spellStart"/>
      <w:r w:rsidRPr="001F6A23">
        <w:rPr>
          <w:rFonts w:asciiTheme="minorHAnsi" w:hAnsiTheme="minorHAnsi"/>
          <w:b w:val="0"/>
          <w:sz w:val="22"/>
        </w:rPr>
        <w:t>regional</w:t>
      </w:r>
      <w:proofErr w:type="spellEnd"/>
      <w:r w:rsidRPr="001F6A23">
        <w:rPr>
          <w:rFonts w:asciiTheme="minorHAnsi" w:hAnsiTheme="minorHAnsi"/>
          <w:b w:val="0"/>
          <w:sz w:val="22"/>
        </w:rPr>
        <w:t xml:space="preserve"> </w:t>
      </w:r>
      <w:proofErr w:type="spellStart"/>
      <w:r w:rsidRPr="001F6A23">
        <w:rPr>
          <w:rFonts w:asciiTheme="minorHAnsi" w:hAnsiTheme="minorHAnsi"/>
          <w:b w:val="0"/>
          <w:sz w:val="22"/>
        </w:rPr>
        <w:t>context</w:t>
      </w:r>
      <w:proofErr w:type="spellEnd"/>
      <w:r w:rsidRPr="001F6A23">
        <w:rPr>
          <w:rFonts w:asciiTheme="minorHAnsi" w:hAnsiTheme="minorHAnsi"/>
          <w:b w:val="0"/>
          <w:sz w:val="22"/>
        </w:rPr>
        <w:t xml:space="preserve">, </w:t>
      </w:r>
      <w:proofErr w:type="spellStart"/>
      <w:r w:rsidRPr="001F6A23">
        <w:rPr>
          <w:rFonts w:asciiTheme="minorHAnsi" w:hAnsiTheme="minorHAnsi"/>
          <w:b w:val="0"/>
          <w:sz w:val="22"/>
        </w:rPr>
        <w:t>comparing</w:t>
      </w:r>
      <w:proofErr w:type="spellEnd"/>
      <w:r w:rsidRPr="001F6A23">
        <w:rPr>
          <w:rFonts w:asciiTheme="minorHAnsi" w:hAnsiTheme="minorHAnsi"/>
          <w:b w:val="0"/>
          <w:sz w:val="22"/>
        </w:rPr>
        <w:t xml:space="preserve"> key UHC </w:t>
      </w:r>
      <w:proofErr w:type="spellStart"/>
      <w:r w:rsidRPr="001F6A23">
        <w:rPr>
          <w:rFonts w:asciiTheme="minorHAnsi" w:hAnsiTheme="minorHAnsi"/>
          <w:b w:val="0"/>
          <w:sz w:val="22"/>
        </w:rPr>
        <w:t>indicators</w:t>
      </w:r>
      <w:proofErr w:type="spellEnd"/>
    </w:p>
    <w:p w14:paraId="1D3E150C" w14:textId="77777777" w:rsidR="00133AEB" w:rsidRPr="00550541" w:rsidRDefault="00133AEB" w:rsidP="00FD68A2">
      <w:pPr>
        <w:spacing w:after="0" w:line="240" w:lineRule="auto"/>
        <w:jc w:val="left"/>
        <w:rPr>
          <w:rFonts w:asciiTheme="minorHAnsi" w:hAnsiTheme="minorHAnsi"/>
          <w:sz w:val="22"/>
        </w:rPr>
      </w:pPr>
      <w:r w:rsidRPr="00AE7BB9">
        <w:rPr>
          <w:noProof/>
          <w:lang w:val="en-GB" w:eastAsia="en-GB"/>
        </w:rPr>
        <w:drawing>
          <wp:inline distT="0" distB="0" distL="0" distR="0" wp14:anchorId="30247972" wp14:editId="0253CBD5">
            <wp:extent cx="3153410" cy="2400935"/>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104" t="5850" r="11552" b="1950"/>
                    <a:stretch/>
                  </pic:blipFill>
                  <pic:spPr bwMode="auto">
                    <a:xfrm>
                      <a:off x="0" y="0"/>
                      <a:ext cx="3153410" cy="2400935"/>
                    </a:xfrm>
                    <a:prstGeom prst="rect">
                      <a:avLst/>
                    </a:prstGeom>
                    <a:noFill/>
                    <a:ln>
                      <a:noFill/>
                    </a:ln>
                    <a:extLst>
                      <a:ext uri="{53640926-AAD7-44D8-BBD7-CCE9431645EC}">
                        <a14:shadowObscured xmlns:a14="http://schemas.microsoft.com/office/drawing/2010/main"/>
                      </a:ext>
                    </a:extLst>
                  </pic:spPr>
                </pic:pic>
              </a:graphicData>
            </a:graphic>
          </wp:inline>
        </w:drawing>
      </w:r>
    </w:p>
    <w:p w14:paraId="71BA1FC9" w14:textId="77777777" w:rsidR="00133AEB" w:rsidRDefault="00133AEB" w:rsidP="00FD68A2">
      <w:pPr>
        <w:pStyle w:val="CommentText"/>
        <w:spacing w:after="0"/>
        <w:rPr>
          <w:rFonts w:asciiTheme="minorHAnsi" w:hAnsiTheme="minorHAnsi"/>
          <w:sz w:val="22"/>
          <w:szCs w:val="22"/>
        </w:rPr>
      </w:pPr>
    </w:p>
    <w:p w14:paraId="0C62453A" w14:textId="58E72705" w:rsidR="00133AEB" w:rsidRPr="001F6A23" w:rsidRDefault="00133AEB" w:rsidP="00FD68A2">
      <w:pPr>
        <w:pStyle w:val="CommentText"/>
        <w:rPr>
          <w:rFonts w:asciiTheme="minorHAnsi" w:hAnsiTheme="minorHAnsi"/>
          <w:sz w:val="18"/>
        </w:rPr>
      </w:pPr>
      <w:r w:rsidRPr="001F6A23">
        <w:rPr>
          <w:rFonts w:asciiTheme="minorHAnsi" w:hAnsiTheme="minorHAnsi"/>
          <w:sz w:val="18"/>
        </w:rPr>
        <w:t>Source: Indicators are from WDI database; the SDG target was defined as 80% coverage</w:t>
      </w:r>
      <w:r>
        <w:rPr>
          <w:rFonts w:asciiTheme="minorHAnsi" w:hAnsiTheme="minorHAnsi"/>
          <w:sz w:val="18"/>
          <w:szCs w:val="18"/>
        </w:rPr>
        <w:fldChar w:fldCharType="begin"/>
      </w:r>
      <w:r>
        <w:rPr>
          <w:rFonts w:asciiTheme="minorHAnsi" w:hAnsiTheme="minorHAnsi"/>
          <w:sz w:val="18"/>
          <w:szCs w:val="18"/>
        </w:rPr>
        <w:instrText xml:space="preserve"> ADDIN EN.CITE &lt;EndNote&gt;&lt;Cite&gt;&lt;Year&gt;2015&lt;/Year&gt;&lt;RecNum&gt;0&lt;/RecNum&gt;&lt;IDText&gt;Tracking Universal Health Coverage, First Global Monitoring Report &lt;/IDText&gt;&lt;DisplayText&gt;(2015)&lt;/DisplayText&gt;&lt;record&gt;&lt;ref-type name="Report"&gt;27&lt;/ref-type&gt;&lt;contributors&gt;&lt;/contributors&gt;&lt;titles&gt;&lt;title&gt;Tracking Universal Health Coverage, First Global Monitoring Report &lt;/title&gt;&lt;/titles&gt;&lt;dates&gt;&lt;year&gt;2015&lt;/year&gt;&lt;/dates&gt;&lt;publisher&gt;World Health Organization&lt;/publisher&gt;&lt;/record&gt;&lt;/Cite&gt;&lt;/EndNote&gt;</w:instrText>
      </w:r>
      <w:r>
        <w:rPr>
          <w:rFonts w:asciiTheme="minorHAnsi" w:hAnsiTheme="minorHAnsi"/>
          <w:sz w:val="18"/>
          <w:szCs w:val="18"/>
        </w:rPr>
        <w:fldChar w:fldCharType="separate"/>
      </w:r>
      <w:r>
        <w:rPr>
          <w:rFonts w:asciiTheme="minorHAnsi" w:hAnsiTheme="minorHAnsi"/>
          <w:noProof/>
          <w:sz w:val="18"/>
          <w:szCs w:val="18"/>
        </w:rPr>
        <w:t>(2015)</w:t>
      </w:r>
      <w:r>
        <w:rPr>
          <w:rFonts w:asciiTheme="minorHAnsi" w:hAnsiTheme="minorHAnsi"/>
          <w:sz w:val="18"/>
          <w:szCs w:val="18"/>
        </w:rPr>
        <w:fldChar w:fldCharType="end"/>
      </w:r>
      <w:r w:rsidRPr="001F6A23">
        <w:rPr>
          <w:rFonts w:asciiTheme="minorHAnsi" w:hAnsiTheme="minorHAnsi"/>
          <w:sz w:val="18"/>
        </w:rPr>
        <w:t xml:space="preserve"> </w:t>
      </w:r>
    </w:p>
    <w:p w14:paraId="3106886E" w14:textId="77777777" w:rsidR="00133AEB" w:rsidRPr="00AE7BB9" w:rsidRDefault="00133AEB" w:rsidP="001F6A23">
      <w:pPr>
        <w:pStyle w:val="ListParagraph"/>
        <w:spacing w:after="0" w:line="240" w:lineRule="auto"/>
        <w:ind w:left="0"/>
        <w:rPr>
          <w:rFonts w:asciiTheme="minorHAnsi" w:hAnsiTheme="minorHAnsi"/>
          <w:sz w:val="22"/>
        </w:rPr>
      </w:pPr>
    </w:p>
    <w:p w14:paraId="62ACACF0" w14:textId="77777777"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t>Three of the indicators focus on reproductive health. Achieving family planning coverage with modern methods (i.e. contraceptives) promotes women’s health and family wellbeing. Against this indicator PNG recorded 32%, compared to a regional average of 48%. Good practice in antenatal care requires at least four visits to a care provider during a pregnancy. Against this indicator PNG recorded 66%, compared to a regional average of 89%. When births are attended by skilled health professionals</w:t>
      </w:r>
      <w:r>
        <w:rPr>
          <w:rFonts w:asciiTheme="minorHAnsi" w:hAnsiTheme="minorHAnsi"/>
          <w:sz w:val="22"/>
        </w:rPr>
        <w:t>,</w:t>
      </w:r>
      <w:r w:rsidRPr="00AE7BB9">
        <w:rPr>
          <w:rFonts w:asciiTheme="minorHAnsi" w:hAnsiTheme="minorHAnsi"/>
          <w:sz w:val="22"/>
        </w:rPr>
        <w:t xml:space="preserve"> the outcomes for mother and child improve markedly.</w:t>
      </w:r>
      <w:r w:rsidRPr="00AE7BB9">
        <w:rPr>
          <w:rFonts w:asciiTheme="minorHAnsi" w:hAnsiTheme="minorHAnsi"/>
          <w:i/>
          <w:sz w:val="22"/>
        </w:rPr>
        <w:t xml:space="preserve"> </w:t>
      </w:r>
      <w:r w:rsidRPr="00AE7BB9">
        <w:rPr>
          <w:rFonts w:asciiTheme="minorHAnsi" w:hAnsiTheme="minorHAnsi"/>
          <w:sz w:val="22"/>
        </w:rPr>
        <w:t xml:space="preserve">Against this indicator PNG recorded 44%, compared to a regional average of 89%. </w:t>
      </w:r>
    </w:p>
    <w:p w14:paraId="1573703F" w14:textId="77777777" w:rsidR="00133AEB" w:rsidRPr="00AE7BB9" w:rsidRDefault="00133AEB" w:rsidP="001F6A23">
      <w:pPr>
        <w:spacing w:after="0" w:line="240" w:lineRule="auto"/>
        <w:rPr>
          <w:rFonts w:asciiTheme="minorHAnsi" w:hAnsiTheme="minorHAnsi"/>
          <w:sz w:val="22"/>
        </w:rPr>
      </w:pPr>
    </w:p>
    <w:p w14:paraId="08A5DA6F" w14:textId="77777777" w:rsidR="00133AEB" w:rsidRPr="00AE7BB9" w:rsidRDefault="00133AEB" w:rsidP="001F6A23">
      <w:pPr>
        <w:spacing w:after="0" w:line="240" w:lineRule="auto"/>
        <w:rPr>
          <w:rFonts w:asciiTheme="minorHAnsi" w:hAnsiTheme="minorHAnsi"/>
          <w:b/>
          <w:i/>
          <w:sz w:val="22"/>
        </w:rPr>
      </w:pPr>
      <w:r w:rsidRPr="00AE7BB9">
        <w:rPr>
          <w:rFonts w:asciiTheme="minorHAnsi" w:hAnsiTheme="minorHAnsi"/>
          <w:sz w:val="22"/>
        </w:rPr>
        <w:t>Three are focused on prevention. DPT3 – the percentage of children receiving the third dose of the combined diphtheria, pertussis and tetanus vaccine - is an indicator of how well countries provide routine immunization. Against this indicator PNG recorded 62%, compared to the regional average of 86%. Access to clean water for drinking and personal use is a basic need. It combats disease and helps promotes a healthy community. Against this indicator PNG recorded 40%, compared to a regional average of 87%. For PNG’s rural majority, the situation is even worse, with 33% of people in rural areas having access to improved water sources.</w:t>
      </w:r>
      <w:r w:rsidRPr="00AE7BB9">
        <w:rPr>
          <w:rFonts w:asciiTheme="minorHAnsi" w:hAnsiTheme="minorHAnsi"/>
          <w:b/>
          <w:i/>
          <w:sz w:val="22"/>
        </w:rPr>
        <w:t xml:space="preserve"> </w:t>
      </w:r>
      <w:r w:rsidRPr="00AE7BB9">
        <w:rPr>
          <w:rFonts w:asciiTheme="minorHAnsi" w:hAnsiTheme="minorHAnsi"/>
          <w:sz w:val="22"/>
        </w:rPr>
        <w:t>Access to sanitation and hygiene facilities combats the spread of disease and promotes a healthy community. Against this indicator PNG recorded a very low 19%, less than one-third of the regional average of 67%. Again, the situation is even worse for people in rural areas, with only 13% recorded as having improved sanitary facilities.</w:t>
      </w:r>
    </w:p>
    <w:p w14:paraId="5DB99AFB" w14:textId="77777777" w:rsidR="00133AEB" w:rsidRPr="00AE7BB9" w:rsidRDefault="00133AEB" w:rsidP="001F6A23">
      <w:pPr>
        <w:spacing w:after="0" w:line="240" w:lineRule="auto"/>
        <w:rPr>
          <w:rFonts w:asciiTheme="minorHAnsi" w:hAnsiTheme="minorHAnsi"/>
          <w:b/>
          <w:i/>
          <w:sz w:val="22"/>
        </w:rPr>
      </w:pPr>
    </w:p>
    <w:p w14:paraId="347B740A" w14:textId="77777777" w:rsidR="00133AEB" w:rsidRPr="00AE7BB9" w:rsidRDefault="00133AEB" w:rsidP="001F6A23">
      <w:pPr>
        <w:spacing w:line="240" w:lineRule="auto"/>
        <w:rPr>
          <w:rFonts w:asciiTheme="minorHAnsi" w:hAnsiTheme="minorHAnsi"/>
          <w:sz w:val="22"/>
        </w:rPr>
      </w:pPr>
      <w:r w:rsidRPr="00AE7BB9">
        <w:rPr>
          <w:rFonts w:asciiTheme="minorHAnsi" w:hAnsiTheme="minorHAnsi"/>
          <w:sz w:val="22"/>
        </w:rPr>
        <w:t xml:space="preserve">The final three indicators focus on treatment of diseases. The coverage of antiretroviral therapy enables people to live with HIV. Against this indicator PNG recorded 44%, slightly higher than the regional average of 38%. For TB treatment, PNG recorded 68%, below the regional average of 88%. In relation to treatment of diabetes, PNG recorded 16%, which is slightly higher than the regional average of 14% (which is however extremely low). </w:t>
      </w:r>
    </w:p>
    <w:p w14:paraId="7F1F69D6" w14:textId="77777777" w:rsidR="00133AEB" w:rsidRDefault="00133AEB" w:rsidP="00FD68A2">
      <w:pPr>
        <w:spacing w:after="160" w:line="240" w:lineRule="auto"/>
        <w:jc w:val="left"/>
        <w:rPr>
          <w:rFonts w:cs="Times New Roman"/>
          <w:b/>
          <w:color w:val="000000" w:themeColor="text1"/>
          <w:szCs w:val="24"/>
        </w:rPr>
      </w:pPr>
      <w:r>
        <w:br w:type="page"/>
      </w:r>
    </w:p>
    <w:p w14:paraId="732C3E82" w14:textId="77777777" w:rsidR="00133AEB" w:rsidRPr="001F6A23" w:rsidRDefault="00133AEB" w:rsidP="00FD68A2">
      <w:pPr>
        <w:pStyle w:val="Heading2"/>
      </w:pPr>
      <w:r w:rsidRPr="001F6A23">
        <w:lastRenderedPageBreak/>
        <w:t>Performance at provincial level</w:t>
      </w:r>
    </w:p>
    <w:p w14:paraId="03670687" w14:textId="77777777" w:rsidR="00133AEB" w:rsidRDefault="00133AEB" w:rsidP="001F6A23">
      <w:pPr>
        <w:spacing w:after="0" w:line="240" w:lineRule="auto"/>
        <w:rPr>
          <w:rFonts w:asciiTheme="minorHAnsi" w:hAnsiTheme="minorHAnsi"/>
          <w:sz w:val="22"/>
        </w:rPr>
      </w:pPr>
      <w:r w:rsidRPr="00AE7BB9">
        <w:rPr>
          <w:rFonts w:asciiTheme="minorHAnsi" w:hAnsiTheme="minorHAnsi"/>
          <w:sz w:val="22"/>
        </w:rPr>
        <w:t xml:space="preserve">Within this overall context, it is important to analyse and understand the drivers of health system performance at the provincial level. </w:t>
      </w:r>
      <w:r w:rsidRPr="00AE7BB9">
        <w:rPr>
          <w:rFonts w:asciiTheme="minorHAnsi" w:hAnsiTheme="minorHAnsi"/>
          <w:sz w:val="22"/>
        </w:rPr>
        <w:fldChar w:fldCharType="begin"/>
      </w:r>
      <w:r w:rsidRPr="00AE7BB9">
        <w:rPr>
          <w:rFonts w:asciiTheme="minorHAnsi" w:hAnsiTheme="minorHAnsi"/>
          <w:sz w:val="22"/>
        </w:rPr>
        <w:instrText xml:space="preserve"> REF _Ref478728439 \h </w:instrText>
      </w:r>
      <w:r>
        <w:rPr>
          <w:rFonts w:asciiTheme="minorHAnsi" w:hAnsiTheme="minorHAnsi"/>
          <w:sz w:val="22"/>
        </w:rPr>
        <w:instrText xml:space="preserve"> \* MERGEFORMAT </w:instrText>
      </w:r>
      <w:r w:rsidRPr="00AE7BB9">
        <w:rPr>
          <w:rFonts w:asciiTheme="minorHAnsi" w:hAnsiTheme="minorHAnsi"/>
          <w:sz w:val="22"/>
        </w:rPr>
      </w:r>
      <w:r w:rsidRPr="00AE7BB9">
        <w:rPr>
          <w:rFonts w:asciiTheme="minorHAnsi" w:hAnsiTheme="minorHAnsi"/>
          <w:sz w:val="22"/>
        </w:rPr>
        <w:fldChar w:fldCharType="separate"/>
      </w:r>
      <w:r w:rsidRPr="001F6A23">
        <w:rPr>
          <w:rFonts w:asciiTheme="minorHAnsi" w:hAnsiTheme="minorHAnsi"/>
          <w:sz w:val="22"/>
        </w:rPr>
        <w:t>Table 1</w:t>
      </w:r>
      <w:r w:rsidRPr="00AE7BB9">
        <w:rPr>
          <w:rFonts w:asciiTheme="minorHAnsi" w:hAnsiTheme="minorHAnsi"/>
          <w:sz w:val="22"/>
        </w:rPr>
        <w:fldChar w:fldCharType="end"/>
      </w:r>
      <w:r w:rsidRPr="00AE7BB9">
        <w:rPr>
          <w:rFonts w:asciiTheme="minorHAnsi" w:hAnsiTheme="minorHAnsi"/>
          <w:sz w:val="22"/>
        </w:rPr>
        <w:t xml:space="preserve"> gives an overview of the regions, provinces and their context, including the distance to health facilities within each province (proximity), the proportion of health centres which are state-owned in each, and the expenditure on frontline services. </w:t>
      </w:r>
      <w:r>
        <w:rPr>
          <w:rFonts w:asciiTheme="minorHAnsi" w:hAnsiTheme="minorHAnsi"/>
          <w:sz w:val="22"/>
        </w:rPr>
        <w:t>S</w:t>
      </w:r>
      <w:r w:rsidRPr="00AE7BB9">
        <w:rPr>
          <w:rFonts w:asciiTheme="minorHAnsi" w:hAnsiTheme="minorHAnsi"/>
          <w:sz w:val="22"/>
        </w:rPr>
        <w:t>ix indicators of health system performance are reported, grouped into</w:t>
      </w:r>
      <w:r>
        <w:rPr>
          <w:rFonts w:asciiTheme="minorHAnsi" w:hAnsiTheme="minorHAnsi"/>
          <w:sz w:val="22"/>
        </w:rPr>
        <w:t xml:space="preserve"> quartiles</w:t>
      </w:r>
      <w:r w:rsidRPr="00AE7BB9">
        <w:rPr>
          <w:rFonts w:asciiTheme="minorHAnsi" w:hAnsiTheme="minorHAnsi"/>
          <w:sz w:val="22"/>
        </w:rPr>
        <w:t xml:space="preserve">.  </w:t>
      </w:r>
      <w:proofErr w:type="gramStart"/>
      <w:r w:rsidRPr="00AE7BB9">
        <w:rPr>
          <w:rFonts w:asciiTheme="minorHAnsi" w:hAnsiTheme="minorHAnsi"/>
          <w:sz w:val="22"/>
        </w:rPr>
        <w:t>It is clear that there</w:t>
      </w:r>
      <w:proofErr w:type="gramEnd"/>
      <w:r w:rsidRPr="00AE7BB9">
        <w:rPr>
          <w:rFonts w:asciiTheme="minorHAnsi" w:hAnsiTheme="minorHAnsi"/>
          <w:sz w:val="22"/>
        </w:rPr>
        <w:t xml:space="preserve"> is considerable variation across provinces and domains, with however broadly higher performance in some regions (for example, Islands) compared to other (e.g. Highlands).</w:t>
      </w:r>
    </w:p>
    <w:p w14:paraId="227221EA" w14:textId="77777777" w:rsidR="00133AEB" w:rsidRPr="00AE7BB9" w:rsidRDefault="00133AEB" w:rsidP="001F6A23">
      <w:pPr>
        <w:spacing w:after="0" w:line="240" w:lineRule="auto"/>
        <w:rPr>
          <w:rFonts w:asciiTheme="minorHAnsi" w:hAnsiTheme="minorHAnsi"/>
          <w:sz w:val="22"/>
        </w:rPr>
      </w:pPr>
    </w:p>
    <w:p w14:paraId="0F8BE2AE" w14:textId="77777777" w:rsidR="00133AEB" w:rsidRPr="001F6A23" w:rsidRDefault="00133AEB" w:rsidP="00FD68A2">
      <w:pPr>
        <w:pStyle w:val="Caption"/>
        <w:rPr>
          <w:rFonts w:asciiTheme="minorHAnsi" w:hAnsiTheme="minorHAnsi"/>
          <w:b w:val="0"/>
          <w:sz w:val="22"/>
        </w:rPr>
      </w:pPr>
      <w:bookmarkStart w:id="2" w:name="_Ref478728439"/>
      <w:r w:rsidRPr="001F6A23">
        <w:rPr>
          <w:rFonts w:asciiTheme="minorHAnsi" w:hAnsiTheme="minorHAnsi"/>
          <w:b w:val="0"/>
          <w:sz w:val="22"/>
        </w:rPr>
        <w:t xml:space="preserve">Table </w:t>
      </w:r>
      <w:r w:rsidRPr="001F6A23">
        <w:rPr>
          <w:rFonts w:asciiTheme="minorHAnsi" w:hAnsiTheme="minorHAnsi"/>
          <w:b w:val="0"/>
          <w:sz w:val="22"/>
        </w:rPr>
        <w:fldChar w:fldCharType="begin"/>
      </w:r>
      <w:r w:rsidRPr="001F6A23">
        <w:rPr>
          <w:rFonts w:asciiTheme="minorHAnsi" w:hAnsiTheme="minorHAnsi"/>
          <w:b w:val="0"/>
          <w:sz w:val="22"/>
        </w:rPr>
        <w:instrText xml:space="preserve"> SEQ Table \* ARABIC </w:instrText>
      </w:r>
      <w:r w:rsidRPr="001F6A23">
        <w:rPr>
          <w:rFonts w:asciiTheme="minorHAnsi" w:hAnsiTheme="minorHAnsi"/>
          <w:b w:val="0"/>
          <w:sz w:val="22"/>
        </w:rPr>
        <w:fldChar w:fldCharType="separate"/>
      </w:r>
      <w:r w:rsidRPr="001F6A23">
        <w:rPr>
          <w:rFonts w:asciiTheme="minorHAnsi" w:hAnsiTheme="minorHAnsi"/>
          <w:b w:val="0"/>
          <w:sz w:val="22"/>
        </w:rPr>
        <w:t>1</w:t>
      </w:r>
      <w:r w:rsidRPr="001F6A23">
        <w:rPr>
          <w:rFonts w:asciiTheme="minorHAnsi" w:hAnsiTheme="minorHAnsi"/>
          <w:b w:val="0"/>
          <w:sz w:val="22"/>
        </w:rPr>
        <w:fldChar w:fldCharType="end"/>
      </w:r>
      <w:bookmarkEnd w:id="2"/>
      <w:r w:rsidRPr="001F6A23">
        <w:rPr>
          <w:rFonts w:asciiTheme="minorHAnsi" w:hAnsiTheme="minorHAnsi"/>
          <w:b w:val="0"/>
          <w:sz w:val="22"/>
        </w:rPr>
        <w:t xml:space="preserve"> </w:t>
      </w:r>
      <w:proofErr w:type="spellStart"/>
      <w:r w:rsidRPr="001F6A23">
        <w:rPr>
          <w:rFonts w:asciiTheme="minorHAnsi" w:hAnsiTheme="minorHAnsi"/>
          <w:b w:val="0"/>
          <w:sz w:val="22"/>
        </w:rPr>
        <w:t>Context</w:t>
      </w:r>
      <w:proofErr w:type="spellEnd"/>
      <w:r w:rsidRPr="001F6A23">
        <w:rPr>
          <w:rFonts w:asciiTheme="minorHAnsi" w:hAnsiTheme="minorHAnsi"/>
          <w:b w:val="0"/>
          <w:sz w:val="22"/>
        </w:rPr>
        <w:t xml:space="preserve">, </w:t>
      </w:r>
      <w:proofErr w:type="spellStart"/>
      <w:r w:rsidRPr="001F6A23">
        <w:rPr>
          <w:rFonts w:asciiTheme="minorHAnsi" w:hAnsiTheme="minorHAnsi"/>
          <w:b w:val="0"/>
          <w:sz w:val="22"/>
        </w:rPr>
        <w:t>frontline</w:t>
      </w:r>
      <w:proofErr w:type="spellEnd"/>
      <w:r w:rsidRPr="001F6A23">
        <w:rPr>
          <w:rFonts w:asciiTheme="minorHAnsi" w:hAnsiTheme="minorHAnsi"/>
          <w:b w:val="0"/>
          <w:sz w:val="22"/>
        </w:rPr>
        <w:t xml:space="preserve"> </w:t>
      </w:r>
      <w:proofErr w:type="spellStart"/>
      <w:r w:rsidRPr="001F6A23">
        <w:rPr>
          <w:rFonts w:asciiTheme="minorHAnsi" w:hAnsiTheme="minorHAnsi"/>
          <w:b w:val="0"/>
          <w:sz w:val="22"/>
        </w:rPr>
        <w:t>spending</w:t>
      </w:r>
      <w:proofErr w:type="spellEnd"/>
      <w:r w:rsidRPr="001F6A23">
        <w:rPr>
          <w:rFonts w:asciiTheme="minorHAnsi" w:hAnsiTheme="minorHAnsi"/>
          <w:b w:val="0"/>
          <w:sz w:val="22"/>
        </w:rPr>
        <w:t xml:space="preserve"> and performance </w:t>
      </w:r>
      <w:proofErr w:type="spellStart"/>
      <w:r w:rsidRPr="001F6A23">
        <w:rPr>
          <w:rFonts w:asciiTheme="minorHAnsi" w:hAnsiTheme="minorHAnsi"/>
          <w:b w:val="0"/>
          <w:sz w:val="22"/>
        </w:rPr>
        <w:t>metrics</w:t>
      </w:r>
      <w:proofErr w:type="spellEnd"/>
      <w:r w:rsidRPr="001F6A23">
        <w:rPr>
          <w:rFonts w:asciiTheme="minorHAnsi" w:hAnsiTheme="minorHAnsi"/>
          <w:b w:val="0"/>
          <w:sz w:val="22"/>
        </w:rPr>
        <w:t>, by province</w:t>
      </w:r>
    </w:p>
    <w:p w14:paraId="0483EA6E" w14:textId="55B5E92D" w:rsidR="00133AEB" w:rsidRPr="00906919" w:rsidRDefault="00133AEB" w:rsidP="00FD68A2">
      <w:pPr>
        <w:spacing w:line="240" w:lineRule="auto"/>
        <w:rPr>
          <w:lang w:val="fr-FR" w:eastAsia="zh-CN"/>
        </w:rPr>
      </w:pPr>
      <w:r w:rsidRPr="00F71A81">
        <w:rPr>
          <w:noProof/>
          <w:lang w:val="en-GB" w:eastAsia="en-GB"/>
        </w:rPr>
        <w:drawing>
          <wp:inline distT="0" distB="0" distL="0" distR="0" wp14:anchorId="63BF4D72" wp14:editId="3D0AE88E">
            <wp:extent cx="5731510" cy="35071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507105"/>
                    </a:xfrm>
                    <a:prstGeom prst="rect">
                      <a:avLst/>
                    </a:prstGeom>
                  </pic:spPr>
                </pic:pic>
              </a:graphicData>
            </a:graphic>
          </wp:inline>
        </w:drawing>
      </w:r>
    </w:p>
    <w:p w14:paraId="53C540CC" w14:textId="77777777" w:rsidR="00133AEB" w:rsidRPr="00AE7BB9" w:rsidRDefault="00133AEB" w:rsidP="001F6A23">
      <w:pPr>
        <w:spacing w:after="0" w:line="240" w:lineRule="auto"/>
        <w:rPr>
          <w:rFonts w:asciiTheme="minorHAnsi" w:hAnsiTheme="minorHAnsi" w:cs="Arial"/>
          <w:b/>
          <w:sz w:val="22"/>
        </w:rPr>
      </w:pPr>
    </w:p>
    <w:p w14:paraId="5153ACD9" w14:textId="77777777" w:rsidR="00133AEB" w:rsidRPr="00AE7BB9" w:rsidRDefault="00133AEB" w:rsidP="001F6A23">
      <w:pPr>
        <w:spacing w:after="0" w:line="240" w:lineRule="auto"/>
        <w:rPr>
          <w:rFonts w:asciiTheme="minorHAnsi" w:hAnsiTheme="minorHAnsi"/>
          <w:i/>
          <w:sz w:val="22"/>
        </w:rPr>
      </w:pPr>
    </w:p>
    <w:p w14:paraId="121AD967" w14:textId="77777777" w:rsidR="00133AEB" w:rsidRPr="001F6A23" w:rsidRDefault="00133AEB" w:rsidP="001F6A23">
      <w:pPr>
        <w:spacing w:after="0" w:line="240" w:lineRule="auto"/>
        <w:rPr>
          <w:rFonts w:asciiTheme="minorHAnsi" w:hAnsiTheme="minorHAnsi"/>
          <w:b/>
          <w:sz w:val="18"/>
        </w:rPr>
      </w:pPr>
      <w:r w:rsidRPr="001F6A23">
        <w:rPr>
          <w:rFonts w:asciiTheme="minorHAnsi" w:hAnsiTheme="minorHAnsi"/>
          <w:sz w:val="18"/>
        </w:rPr>
        <w:t>Source:  Performance data from the National Health Information System (</w:t>
      </w:r>
      <w:proofErr w:type="spellStart"/>
      <w:r w:rsidRPr="001F6A23">
        <w:rPr>
          <w:rFonts w:asciiTheme="minorHAnsi" w:hAnsiTheme="minorHAnsi"/>
          <w:sz w:val="18"/>
        </w:rPr>
        <w:t>NDoH</w:t>
      </w:r>
      <w:proofErr w:type="spellEnd"/>
      <w:r w:rsidRPr="001F6A23">
        <w:rPr>
          <w:rFonts w:asciiTheme="minorHAnsi" w:hAnsiTheme="minorHAnsi"/>
          <w:sz w:val="18"/>
        </w:rPr>
        <w:t xml:space="preserve">) and proximity and expenditure data from the National Economic &amp; Fiscal Commission.  </w:t>
      </w:r>
    </w:p>
    <w:p w14:paraId="2B12EC5B" w14:textId="77777777" w:rsidR="00133AEB" w:rsidRPr="00A73A67" w:rsidRDefault="00133AEB" w:rsidP="001F6A23">
      <w:pPr>
        <w:pStyle w:val="Heading3"/>
        <w:spacing w:before="240" w:after="120" w:line="240" w:lineRule="auto"/>
        <w:rPr>
          <w:rFonts w:asciiTheme="minorHAnsi" w:hAnsiTheme="minorHAnsi"/>
          <w:szCs w:val="24"/>
        </w:rPr>
      </w:pPr>
      <w:r w:rsidRPr="00A73A67">
        <w:rPr>
          <w:rFonts w:asciiTheme="minorHAnsi" w:hAnsiTheme="minorHAnsi"/>
          <w:szCs w:val="24"/>
        </w:rPr>
        <w:t>The relationship between service delivery costs and remoteness</w:t>
      </w:r>
    </w:p>
    <w:p w14:paraId="100231C8" w14:textId="29457A94"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t xml:space="preserve">In this dispersed and geographically challenging context, it is important to understand the relationship between the proximity of people to health services and the estimated cost to deliver health services in each province. This is depicted in </w:t>
      </w:r>
      <w:r w:rsidRPr="00AE7BB9">
        <w:rPr>
          <w:rFonts w:asciiTheme="minorHAnsi" w:hAnsiTheme="minorHAnsi"/>
          <w:sz w:val="22"/>
        </w:rPr>
        <w:fldChar w:fldCharType="begin"/>
      </w:r>
      <w:r w:rsidRPr="00AE7BB9">
        <w:rPr>
          <w:rFonts w:asciiTheme="minorHAnsi" w:hAnsiTheme="minorHAnsi"/>
          <w:sz w:val="22"/>
        </w:rPr>
        <w:instrText xml:space="preserve"> REF _Ref478728049 \h  \* MERGEFORMAT </w:instrText>
      </w:r>
      <w:r w:rsidRPr="00AE7BB9">
        <w:rPr>
          <w:rFonts w:asciiTheme="minorHAnsi" w:hAnsiTheme="minorHAnsi"/>
          <w:sz w:val="22"/>
        </w:rPr>
      </w:r>
      <w:r w:rsidRPr="00AE7BB9">
        <w:rPr>
          <w:rFonts w:asciiTheme="minorHAnsi" w:hAnsiTheme="minorHAnsi"/>
          <w:sz w:val="22"/>
        </w:rPr>
        <w:fldChar w:fldCharType="separate"/>
      </w:r>
      <w:r w:rsidRPr="0059060F">
        <w:rPr>
          <w:rFonts w:asciiTheme="minorHAnsi" w:hAnsiTheme="minorHAnsi"/>
          <w:sz w:val="22"/>
        </w:rPr>
        <w:t xml:space="preserve">Figure </w:t>
      </w:r>
      <w:r w:rsidRPr="0059060F">
        <w:rPr>
          <w:rFonts w:asciiTheme="minorHAnsi" w:hAnsiTheme="minorHAnsi"/>
          <w:noProof/>
          <w:sz w:val="22"/>
        </w:rPr>
        <w:t>2</w:t>
      </w:r>
      <w:r w:rsidRPr="00AE7BB9">
        <w:rPr>
          <w:rFonts w:asciiTheme="minorHAnsi" w:hAnsiTheme="minorHAnsi"/>
          <w:sz w:val="22"/>
        </w:rPr>
        <w:fldChar w:fldCharType="end"/>
      </w:r>
      <w:r w:rsidRPr="00AE7BB9">
        <w:rPr>
          <w:rFonts w:asciiTheme="minorHAnsi" w:hAnsiTheme="minorHAnsi"/>
          <w:sz w:val="22"/>
        </w:rPr>
        <w:t>, which shows a strong correlation between increased remoteness and higher costs of rural health service delivery</w:t>
      </w:r>
      <w:r>
        <w:rPr>
          <w:rFonts w:asciiTheme="minorHAnsi" w:hAnsiTheme="minorHAnsi"/>
          <w:sz w:val="22"/>
        </w:rPr>
        <w:fldChar w:fldCharType="begin"/>
      </w:r>
      <w:r>
        <w:rPr>
          <w:rFonts w:asciiTheme="minorHAnsi" w:hAnsiTheme="minorHAnsi"/>
          <w:sz w:val="22"/>
        </w:rPr>
        <w:instrText xml:space="preserve"> ADDIN EN.CITE &lt;EndNote&gt;&lt;Cite&gt;&lt;Year&gt;2014&lt;/Year&gt;&lt;RecNum&gt;0&lt;/RecNum&gt;&lt;IDText&gt;The Thin Blue Line: The Methodology and Results of the Cost of Sub-national Services Study (O&amp;amp;M)&lt;/IDText&gt;&lt;DisplayText&gt;(2014, NEFC 2014)&lt;/DisplayText&gt;&lt;record&gt;&lt;ref-type name="Report"&gt;27&lt;/ref-type&gt;&lt;contributors&gt;&lt;/contributors&gt;&lt;titles&gt;&lt;title&gt;The Thin Blue Line: The Methodology and Results of the Cost of Sub-national Services Study (O&amp;amp;M)&lt;/title&gt;&lt;/titles&gt;&lt;dates&gt;&lt;year&gt;2014&lt;/year&gt;&lt;/dates&gt;&lt;pub-location&gt;Port Moresby&lt;/pub-location&gt;&lt;/record&gt;&lt;/Cite&gt;&lt;Cite&gt;&lt;Author&gt;NEFC&lt;/Author&gt;&lt;Year&gt;2014&lt;/Year&gt;&lt;RecNum&gt;0&lt;/RecNum&gt;&lt;IDText&gt;Go Long Ples: Reducing inequality in education funding&lt;/IDText&gt;&lt;record&gt;&lt;ref-type name="Report"&gt;27&lt;/ref-type&gt;&lt;contributors&gt;&lt;authors&gt;&lt;author&gt;NEFC&lt;/author&gt;&lt;/authors&gt;&lt;/contributors&gt;&lt;titles&gt;&lt;title&gt;Go Long Ples: Reducing inequality in education funding&lt;/title&gt;&lt;/titles&gt;&lt;dates&gt;&lt;year&gt;2014&lt;/year&gt;&lt;/dates&gt;&lt;pub-location&gt;Port Moresby &lt;/pub-location&gt;&lt;publisher&gt;National Economics and Fiscal Commission&lt;/publisher&gt;&lt;/record&gt;&lt;/Cite&gt;&lt;/EndNote&gt;</w:instrText>
      </w:r>
      <w:r>
        <w:rPr>
          <w:rFonts w:asciiTheme="minorHAnsi" w:hAnsiTheme="minorHAnsi"/>
          <w:sz w:val="22"/>
        </w:rPr>
        <w:fldChar w:fldCharType="separate"/>
      </w:r>
      <w:r>
        <w:rPr>
          <w:rFonts w:asciiTheme="minorHAnsi" w:hAnsiTheme="minorHAnsi"/>
          <w:noProof/>
          <w:sz w:val="22"/>
        </w:rPr>
        <w:t>(2014, NEFC 2014)</w:t>
      </w:r>
      <w:r>
        <w:rPr>
          <w:rFonts w:asciiTheme="minorHAnsi" w:hAnsiTheme="minorHAnsi"/>
          <w:sz w:val="22"/>
        </w:rPr>
        <w:fldChar w:fldCharType="end"/>
      </w:r>
      <w:r w:rsidRPr="00AE7BB9">
        <w:rPr>
          <w:rFonts w:asciiTheme="minorHAnsi" w:hAnsiTheme="minorHAnsi"/>
          <w:sz w:val="22"/>
        </w:rPr>
        <w:t xml:space="preserve">. Maritime provinces and other provinces with small </w:t>
      </w:r>
      <w:r>
        <w:rPr>
          <w:rFonts w:asciiTheme="minorHAnsi" w:hAnsiTheme="minorHAnsi"/>
          <w:sz w:val="22"/>
        </w:rPr>
        <w:t xml:space="preserve">and </w:t>
      </w:r>
      <w:r w:rsidRPr="00AE7BB9">
        <w:rPr>
          <w:rFonts w:asciiTheme="minorHAnsi" w:hAnsiTheme="minorHAnsi"/>
          <w:sz w:val="22"/>
        </w:rPr>
        <w:t xml:space="preserve">dispersed populations (such as Western Province) often have higher costs of service delivery. Provinces in the Highlands and much of </w:t>
      </w:r>
      <w:proofErr w:type="spellStart"/>
      <w:r w:rsidRPr="00AE7BB9">
        <w:rPr>
          <w:rFonts w:asciiTheme="minorHAnsi" w:hAnsiTheme="minorHAnsi"/>
          <w:sz w:val="22"/>
        </w:rPr>
        <w:t>Momase</w:t>
      </w:r>
      <w:proofErr w:type="spellEnd"/>
      <w:r w:rsidRPr="00AE7BB9">
        <w:rPr>
          <w:rFonts w:asciiTheme="minorHAnsi" w:hAnsiTheme="minorHAnsi"/>
          <w:sz w:val="22"/>
        </w:rPr>
        <w:t xml:space="preserve"> have larger populations, and are generally closer to services and have lower service delivery costs.  That sai</w:t>
      </w:r>
      <w:r>
        <w:rPr>
          <w:rFonts w:asciiTheme="minorHAnsi" w:hAnsiTheme="minorHAnsi"/>
          <w:sz w:val="22"/>
        </w:rPr>
        <w:t xml:space="preserve">d, </w:t>
      </w:r>
      <w:proofErr w:type="gramStart"/>
      <w:r>
        <w:rPr>
          <w:rFonts w:asciiTheme="minorHAnsi" w:hAnsiTheme="minorHAnsi"/>
          <w:sz w:val="22"/>
        </w:rPr>
        <w:t>particular districts</w:t>
      </w:r>
      <w:proofErr w:type="gramEnd"/>
      <w:r>
        <w:rPr>
          <w:rFonts w:asciiTheme="minorHAnsi" w:hAnsiTheme="minorHAnsi"/>
          <w:sz w:val="22"/>
        </w:rPr>
        <w:t xml:space="preserve"> in the H</w:t>
      </w:r>
      <w:r w:rsidRPr="00AE7BB9">
        <w:rPr>
          <w:rFonts w:asciiTheme="minorHAnsi" w:hAnsiTheme="minorHAnsi"/>
          <w:sz w:val="22"/>
        </w:rPr>
        <w:t xml:space="preserve">ighlands can also be remote and suffer the challenge of proximity. </w:t>
      </w:r>
    </w:p>
    <w:p w14:paraId="3F3C8D83" w14:textId="77777777" w:rsidR="00133AEB" w:rsidRPr="00AE7BB9" w:rsidRDefault="00133AEB" w:rsidP="001F6A23">
      <w:pPr>
        <w:spacing w:after="0" w:line="240" w:lineRule="auto"/>
        <w:rPr>
          <w:rFonts w:asciiTheme="minorHAnsi" w:hAnsiTheme="minorHAnsi" w:cs="Arial"/>
          <w:b/>
          <w:sz w:val="21"/>
          <w:szCs w:val="21"/>
        </w:rPr>
      </w:pPr>
    </w:p>
    <w:p w14:paraId="110DBBDA" w14:textId="77777777" w:rsidR="00133AEB" w:rsidRPr="001F6A23" w:rsidRDefault="00133AEB" w:rsidP="00FD68A2">
      <w:pPr>
        <w:pStyle w:val="Caption"/>
        <w:rPr>
          <w:rFonts w:asciiTheme="minorHAnsi" w:hAnsiTheme="minorHAnsi"/>
          <w:b w:val="0"/>
          <w:sz w:val="22"/>
        </w:rPr>
      </w:pPr>
      <w:bookmarkStart w:id="3" w:name="_Ref478728049"/>
      <w:r w:rsidRPr="001F6A23">
        <w:rPr>
          <w:rFonts w:asciiTheme="minorHAnsi" w:hAnsiTheme="minorHAnsi"/>
          <w:b w:val="0"/>
          <w:sz w:val="22"/>
        </w:rPr>
        <w:lastRenderedPageBreak/>
        <w:t xml:space="preserve">Figure </w:t>
      </w:r>
      <w:r w:rsidRPr="001F6A23">
        <w:rPr>
          <w:rFonts w:asciiTheme="minorHAnsi" w:hAnsiTheme="minorHAnsi"/>
          <w:b w:val="0"/>
          <w:sz w:val="22"/>
        </w:rPr>
        <w:fldChar w:fldCharType="begin"/>
      </w:r>
      <w:r w:rsidRPr="001F6A23">
        <w:rPr>
          <w:rFonts w:asciiTheme="minorHAnsi" w:hAnsiTheme="minorHAnsi"/>
          <w:b w:val="0"/>
          <w:sz w:val="22"/>
        </w:rPr>
        <w:instrText xml:space="preserve"> SEQ Figure \* ARABIC </w:instrText>
      </w:r>
      <w:r w:rsidRPr="001F6A23">
        <w:rPr>
          <w:rFonts w:asciiTheme="minorHAnsi" w:hAnsiTheme="minorHAnsi"/>
          <w:b w:val="0"/>
          <w:sz w:val="22"/>
        </w:rPr>
        <w:fldChar w:fldCharType="separate"/>
      </w:r>
      <w:r w:rsidRPr="001F6A23">
        <w:rPr>
          <w:rFonts w:asciiTheme="minorHAnsi" w:hAnsiTheme="minorHAnsi"/>
          <w:b w:val="0"/>
          <w:sz w:val="22"/>
        </w:rPr>
        <w:t>2</w:t>
      </w:r>
      <w:r w:rsidRPr="001F6A23">
        <w:rPr>
          <w:rFonts w:asciiTheme="minorHAnsi" w:hAnsiTheme="minorHAnsi"/>
          <w:b w:val="0"/>
          <w:sz w:val="22"/>
        </w:rPr>
        <w:fldChar w:fldCharType="end"/>
      </w:r>
      <w:bookmarkEnd w:id="3"/>
      <w:r w:rsidRPr="001F6A23">
        <w:rPr>
          <w:rFonts w:asciiTheme="minorHAnsi" w:hAnsiTheme="minorHAnsi"/>
          <w:b w:val="0"/>
          <w:sz w:val="22"/>
        </w:rPr>
        <w:t xml:space="preserve">  </w:t>
      </w:r>
      <w:proofErr w:type="spellStart"/>
      <w:r w:rsidRPr="001F6A23">
        <w:rPr>
          <w:rFonts w:asciiTheme="minorHAnsi" w:hAnsiTheme="minorHAnsi"/>
          <w:b w:val="0"/>
          <w:sz w:val="22"/>
        </w:rPr>
        <w:t>Estimated</w:t>
      </w:r>
      <w:proofErr w:type="spellEnd"/>
      <w:r w:rsidRPr="001F6A23">
        <w:rPr>
          <w:rFonts w:asciiTheme="minorHAnsi" w:hAnsiTheme="minorHAnsi"/>
          <w:b w:val="0"/>
          <w:sz w:val="22"/>
        </w:rPr>
        <w:t xml:space="preserve"> </w:t>
      </w:r>
      <w:proofErr w:type="spellStart"/>
      <w:r w:rsidRPr="001F6A23">
        <w:rPr>
          <w:rFonts w:asciiTheme="minorHAnsi" w:hAnsiTheme="minorHAnsi"/>
          <w:b w:val="0"/>
          <w:sz w:val="22"/>
        </w:rPr>
        <w:t>cost</w:t>
      </w:r>
      <w:proofErr w:type="spellEnd"/>
      <w:r w:rsidRPr="001F6A23">
        <w:rPr>
          <w:rFonts w:asciiTheme="minorHAnsi" w:hAnsiTheme="minorHAnsi"/>
          <w:b w:val="0"/>
          <w:sz w:val="22"/>
        </w:rPr>
        <w:t xml:space="preserve"> of services and </w:t>
      </w:r>
      <w:proofErr w:type="spellStart"/>
      <w:r w:rsidRPr="001F6A23">
        <w:rPr>
          <w:rFonts w:asciiTheme="minorHAnsi" w:hAnsiTheme="minorHAnsi"/>
          <w:b w:val="0"/>
          <w:sz w:val="22"/>
        </w:rPr>
        <w:t>proximity</w:t>
      </w:r>
      <w:proofErr w:type="spellEnd"/>
    </w:p>
    <w:p w14:paraId="56EC44D4" w14:textId="77777777" w:rsidR="00133AEB" w:rsidRPr="00AE7BB9" w:rsidRDefault="00133AEB" w:rsidP="001F6A23">
      <w:pPr>
        <w:spacing w:before="240" w:after="0" w:line="240" w:lineRule="auto"/>
        <w:rPr>
          <w:rFonts w:asciiTheme="minorHAnsi" w:hAnsiTheme="minorHAnsi" w:cs="Arial"/>
          <w:b/>
        </w:rPr>
      </w:pPr>
      <w:r w:rsidRPr="001F6A23">
        <w:rPr>
          <w:rFonts w:asciiTheme="minorHAnsi" w:hAnsiTheme="minorHAnsi"/>
          <w:noProof/>
          <w:lang w:val="en-GB"/>
        </w:rPr>
        <w:drawing>
          <wp:inline distT="0" distB="0" distL="0" distR="0" wp14:anchorId="66886DC5" wp14:editId="1AE804C5">
            <wp:extent cx="5969000" cy="420825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5604"/>
                    <a:stretch/>
                  </pic:blipFill>
                  <pic:spPr bwMode="auto">
                    <a:xfrm>
                      <a:off x="0" y="0"/>
                      <a:ext cx="5979092" cy="4215370"/>
                    </a:xfrm>
                    <a:prstGeom prst="rect">
                      <a:avLst/>
                    </a:prstGeom>
                    <a:noFill/>
                    <a:ln>
                      <a:noFill/>
                    </a:ln>
                    <a:extLst>
                      <a:ext uri="{53640926-AAD7-44D8-BBD7-CCE9431645EC}">
                        <a14:shadowObscured xmlns:a14="http://schemas.microsoft.com/office/drawing/2010/main"/>
                      </a:ext>
                    </a:extLst>
                  </pic:spPr>
                </pic:pic>
              </a:graphicData>
            </a:graphic>
          </wp:inline>
        </w:drawing>
      </w:r>
    </w:p>
    <w:p w14:paraId="4119606B" w14:textId="77777777" w:rsidR="00133AEB" w:rsidRPr="001F6A23" w:rsidRDefault="00133AEB" w:rsidP="001F6A23">
      <w:pPr>
        <w:spacing w:before="240" w:after="0" w:line="240" w:lineRule="auto"/>
        <w:rPr>
          <w:rFonts w:asciiTheme="minorHAnsi" w:hAnsiTheme="minorHAnsi"/>
          <w:b/>
          <w:sz w:val="18"/>
        </w:rPr>
      </w:pPr>
      <w:r w:rsidRPr="001F6A23">
        <w:rPr>
          <w:rFonts w:asciiTheme="minorHAnsi" w:hAnsiTheme="minorHAnsi"/>
          <w:sz w:val="18"/>
        </w:rPr>
        <w:t>Source:</w:t>
      </w:r>
      <w:r w:rsidRPr="001F6A23">
        <w:rPr>
          <w:rFonts w:asciiTheme="minorHAnsi" w:hAnsiTheme="minorHAnsi"/>
          <w:b/>
          <w:sz w:val="18"/>
        </w:rPr>
        <w:t xml:space="preserve"> </w:t>
      </w:r>
      <w:r w:rsidRPr="001F6A23">
        <w:rPr>
          <w:rFonts w:asciiTheme="minorHAnsi" w:hAnsiTheme="minorHAnsi"/>
          <w:sz w:val="18"/>
        </w:rPr>
        <w:t xml:space="preserve">The cost estimates are from </w:t>
      </w:r>
      <w:r w:rsidRPr="001F6A23">
        <w:rPr>
          <w:rFonts w:asciiTheme="minorHAnsi" w:hAnsiTheme="minorHAnsi"/>
          <w:i/>
          <w:sz w:val="18"/>
        </w:rPr>
        <w:t xml:space="preserve">The Thin Blue Line </w:t>
      </w:r>
      <w:r w:rsidRPr="001F6A23">
        <w:rPr>
          <w:rFonts w:asciiTheme="minorHAnsi" w:hAnsiTheme="minorHAnsi"/>
          <w:sz w:val="18"/>
        </w:rPr>
        <w:t xml:space="preserve">report (NEFC, 2014), and the proximity measures are derived from the PARI Index recorded in the </w:t>
      </w:r>
      <w:r w:rsidRPr="001F6A23">
        <w:rPr>
          <w:rFonts w:asciiTheme="minorHAnsi" w:hAnsiTheme="minorHAnsi"/>
          <w:i/>
          <w:sz w:val="18"/>
        </w:rPr>
        <w:t xml:space="preserve">Go Long </w:t>
      </w:r>
      <w:proofErr w:type="spellStart"/>
      <w:r w:rsidRPr="001F6A23">
        <w:rPr>
          <w:rFonts w:asciiTheme="minorHAnsi" w:hAnsiTheme="minorHAnsi"/>
          <w:i/>
          <w:sz w:val="18"/>
        </w:rPr>
        <w:t>Ples</w:t>
      </w:r>
      <w:proofErr w:type="spellEnd"/>
      <w:r w:rsidRPr="001F6A23">
        <w:rPr>
          <w:rFonts w:asciiTheme="minorHAnsi" w:hAnsiTheme="minorHAnsi"/>
          <w:sz w:val="18"/>
        </w:rPr>
        <w:t xml:space="preserve"> report (NEFC, 2014).</w:t>
      </w:r>
    </w:p>
    <w:p w14:paraId="0594B5D4" w14:textId="77777777" w:rsidR="00133AEB" w:rsidRPr="001F6A23" w:rsidRDefault="00133AEB" w:rsidP="001F6A23">
      <w:pPr>
        <w:pStyle w:val="Heading3"/>
        <w:spacing w:before="240" w:after="120" w:line="240" w:lineRule="auto"/>
        <w:rPr>
          <w:rFonts w:asciiTheme="minorHAnsi" w:hAnsiTheme="minorHAnsi"/>
        </w:rPr>
      </w:pPr>
      <w:r w:rsidRPr="001F6A23">
        <w:rPr>
          <w:rFonts w:asciiTheme="minorHAnsi" w:hAnsiTheme="minorHAnsi"/>
        </w:rPr>
        <w:t xml:space="preserve">Performance in relation to health expenditure at the frontline </w:t>
      </w:r>
    </w:p>
    <w:p w14:paraId="35102809" w14:textId="77777777" w:rsidR="00133AEB" w:rsidRDefault="00133AEB" w:rsidP="001F6A23">
      <w:pPr>
        <w:spacing w:after="0" w:line="240" w:lineRule="auto"/>
        <w:rPr>
          <w:rFonts w:asciiTheme="minorHAnsi" w:hAnsiTheme="minorHAnsi"/>
          <w:sz w:val="22"/>
        </w:rPr>
      </w:pPr>
      <w:r w:rsidRPr="00AE7BB9">
        <w:rPr>
          <w:rFonts w:asciiTheme="minorHAnsi" w:hAnsiTheme="minorHAnsi"/>
          <w:sz w:val="22"/>
        </w:rPr>
        <w:t xml:space="preserve">In </w:t>
      </w:r>
      <w:r w:rsidRPr="00AE7BB9">
        <w:rPr>
          <w:rFonts w:asciiTheme="minorHAnsi" w:hAnsiTheme="minorHAnsi"/>
          <w:sz w:val="22"/>
        </w:rPr>
        <w:fldChar w:fldCharType="begin"/>
      </w:r>
      <w:r w:rsidRPr="00AE7BB9">
        <w:rPr>
          <w:rFonts w:asciiTheme="minorHAnsi" w:hAnsiTheme="minorHAnsi"/>
          <w:sz w:val="22"/>
        </w:rPr>
        <w:instrText xml:space="preserve"> REF _Ref478727122 \h  \* MERGEFORMAT </w:instrText>
      </w:r>
      <w:r w:rsidRPr="00AE7BB9">
        <w:rPr>
          <w:rFonts w:asciiTheme="minorHAnsi" w:hAnsiTheme="minorHAnsi"/>
          <w:sz w:val="22"/>
        </w:rPr>
      </w:r>
      <w:r w:rsidRPr="00AE7BB9">
        <w:rPr>
          <w:rFonts w:asciiTheme="minorHAnsi" w:hAnsiTheme="minorHAnsi"/>
          <w:sz w:val="22"/>
        </w:rPr>
        <w:fldChar w:fldCharType="separate"/>
      </w:r>
      <w:r w:rsidRPr="003E1BD0">
        <w:rPr>
          <w:rFonts w:asciiTheme="minorHAnsi" w:hAnsiTheme="minorHAnsi"/>
          <w:sz w:val="22"/>
        </w:rPr>
        <w:t xml:space="preserve">Figure </w:t>
      </w:r>
      <w:r w:rsidRPr="003E1BD0">
        <w:rPr>
          <w:rFonts w:asciiTheme="minorHAnsi" w:hAnsiTheme="minorHAnsi"/>
          <w:noProof/>
          <w:sz w:val="22"/>
        </w:rPr>
        <w:t>3</w:t>
      </w:r>
      <w:r w:rsidRPr="00AE7BB9">
        <w:rPr>
          <w:rFonts w:asciiTheme="minorHAnsi" w:hAnsiTheme="minorHAnsi"/>
          <w:sz w:val="22"/>
        </w:rPr>
        <w:fldChar w:fldCharType="end"/>
      </w:r>
      <w:r w:rsidRPr="00AE7BB9">
        <w:rPr>
          <w:rFonts w:asciiTheme="minorHAnsi" w:hAnsiTheme="minorHAnsi"/>
          <w:sz w:val="22"/>
        </w:rPr>
        <w:t xml:space="preserve">, we see how well each province performed on the vertical axis against a selection of frontline performance metrics. The horizontal axis records all spending on frontline </w:t>
      </w:r>
      <w:r>
        <w:rPr>
          <w:rFonts w:asciiTheme="minorHAnsi" w:hAnsiTheme="minorHAnsi"/>
          <w:sz w:val="22"/>
        </w:rPr>
        <w:t xml:space="preserve">public health </w:t>
      </w:r>
      <w:r w:rsidRPr="00AE7BB9">
        <w:rPr>
          <w:rFonts w:asciiTheme="minorHAnsi" w:hAnsiTheme="minorHAnsi"/>
          <w:sz w:val="22"/>
        </w:rPr>
        <w:t xml:space="preserve">activities by province. Higher spending levels, relative to costs in each area, are to the right, and lower spending levels, relative to costs, to the left. The colour of the circles indicates their region, so that regional patterns can be visualised. Their size reflects their population size. </w:t>
      </w:r>
    </w:p>
    <w:p w14:paraId="47DCA694" w14:textId="77777777" w:rsidR="00133AEB" w:rsidRDefault="00133AEB" w:rsidP="001F6A23">
      <w:pPr>
        <w:spacing w:after="0" w:line="240" w:lineRule="auto"/>
        <w:rPr>
          <w:rFonts w:asciiTheme="minorHAnsi" w:hAnsiTheme="minorHAnsi"/>
          <w:sz w:val="22"/>
        </w:rPr>
      </w:pPr>
    </w:p>
    <w:p w14:paraId="76EF5647" w14:textId="77777777"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t xml:space="preserve">The chart helps assess the relationship between frontline spending and frontline performance, which is clearly varied.  By using reference lines that delineate the average level of performance and average level of spending, four groups can be observed: </w:t>
      </w:r>
    </w:p>
    <w:p w14:paraId="56CDCBD1" w14:textId="77777777" w:rsidR="00133AEB" w:rsidRPr="00AE7BB9" w:rsidRDefault="00133AEB" w:rsidP="001F6A23">
      <w:pPr>
        <w:pStyle w:val="ListParagraph"/>
        <w:numPr>
          <w:ilvl w:val="0"/>
          <w:numId w:val="5"/>
        </w:numPr>
        <w:spacing w:after="0" w:line="240" w:lineRule="auto"/>
        <w:rPr>
          <w:rFonts w:asciiTheme="minorHAnsi" w:hAnsiTheme="minorHAnsi"/>
          <w:sz w:val="22"/>
        </w:rPr>
      </w:pPr>
      <w:r w:rsidRPr="00AE7BB9">
        <w:rPr>
          <w:rFonts w:asciiTheme="minorHAnsi" w:hAnsiTheme="minorHAnsi"/>
          <w:sz w:val="22"/>
        </w:rPr>
        <w:t xml:space="preserve">The first group is in the upper </w:t>
      </w:r>
      <w:proofErr w:type="gramStart"/>
      <w:r w:rsidRPr="00AE7BB9">
        <w:rPr>
          <w:rFonts w:asciiTheme="minorHAnsi" w:hAnsiTheme="minorHAnsi"/>
          <w:sz w:val="22"/>
        </w:rPr>
        <w:t>left hand</w:t>
      </w:r>
      <w:proofErr w:type="gramEnd"/>
      <w:r w:rsidRPr="00AE7BB9">
        <w:rPr>
          <w:rFonts w:asciiTheme="minorHAnsi" w:hAnsiTheme="minorHAnsi"/>
          <w:sz w:val="22"/>
        </w:rPr>
        <w:t xml:space="preserve"> quadrant. These provinces have a relatively high performance despite spending lower amounts on frontline activities. Their performance could therefore be characterised as efficient;</w:t>
      </w:r>
    </w:p>
    <w:p w14:paraId="3010EBAA" w14:textId="77777777" w:rsidR="00133AEB" w:rsidRPr="00AE7BB9" w:rsidRDefault="00133AEB" w:rsidP="001F6A23">
      <w:pPr>
        <w:pStyle w:val="ListParagraph"/>
        <w:numPr>
          <w:ilvl w:val="0"/>
          <w:numId w:val="5"/>
        </w:numPr>
        <w:spacing w:after="0" w:line="240" w:lineRule="auto"/>
        <w:rPr>
          <w:rFonts w:asciiTheme="minorHAnsi" w:hAnsiTheme="minorHAnsi"/>
          <w:sz w:val="22"/>
        </w:rPr>
      </w:pPr>
      <w:r w:rsidRPr="00AE7BB9">
        <w:rPr>
          <w:rFonts w:asciiTheme="minorHAnsi" w:hAnsiTheme="minorHAnsi"/>
          <w:sz w:val="22"/>
        </w:rPr>
        <w:t xml:space="preserve">The second group in the upper </w:t>
      </w:r>
      <w:proofErr w:type="gramStart"/>
      <w:r w:rsidRPr="00AE7BB9">
        <w:rPr>
          <w:rFonts w:asciiTheme="minorHAnsi" w:hAnsiTheme="minorHAnsi"/>
          <w:sz w:val="22"/>
        </w:rPr>
        <w:t>right hand</w:t>
      </w:r>
      <w:proofErr w:type="gramEnd"/>
      <w:r w:rsidRPr="00AE7BB9">
        <w:rPr>
          <w:rFonts w:asciiTheme="minorHAnsi" w:hAnsiTheme="minorHAnsi"/>
          <w:sz w:val="22"/>
        </w:rPr>
        <w:t xml:space="preserve"> quadrant demonstrates higher spending and higher performance. </w:t>
      </w:r>
    </w:p>
    <w:p w14:paraId="142DB153" w14:textId="77777777" w:rsidR="00133AEB" w:rsidRPr="00AE7BB9" w:rsidRDefault="00133AEB" w:rsidP="001F6A23">
      <w:pPr>
        <w:pStyle w:val="ListParagraph"/>
        <w:numPr>
          <w:ilvl w:val="0"/>
          <w:numId w:val="5"/>
        </w:numPr>
        <w:spacing w:after="0" w:line="240" w:lineRule="auto"/>
        <w:rPr>
          <w:rFonts w:asciiTheme="minorHAnsi" w:hAnsiTheme="minorHAnsi"/>
          <w:sz w:val="22"/>
        </w:rPr>
      </w:pPr>
      <w:r w:rsidRPr="00AE7BB9">
        <w:rPr>
          <w:rFonts w:asciiTheme="minorHAnsi" w:hAnsiTheme="minorHAnsi"/>
          <w:sz w:val="22"/>
        </w:rPr>
        <w:t xml:space="preserve">The lower quadrants report lower performance results. For the provinces in the lower </w:t>
      </w:r>
      <w:proofErr w:type="gramStart"/>
      <w:r w:rsidRPr="00AE7BB9">
        <w:rPr>
          <w:rFonts w:asciiTheme="minorHAnsi" w:hAnsiTheme="minorHAnsi"/>
          <w:sz w:val="22"/>
        </w:rPr>
        <w:t>left hand</w:t>
      </w:r>
      <w:proofErr w:type="gramEnd"/>
      <w:r w:rsidRPr="00AE7BB9">
        <w:rPr>
          <w:rFonts w:asciiTheme="minorHAnsi" w:hAnsiTheme="minorHAnsi"/>
          <w:sz w:val="22"/>
        </w:rPr>
        <w:t xml:space="preserve"> quadrant this may be explained by the corresponding lower levels of spending. However, for the </w:t>
      </w:r>
      <w:r w:rsidRPr="00AE7BB9">
        <w:rPr>
          <w:rFonts w:asciiTheme="minorHAnsi" w:hAnsiTheme="minorHAnsi"/>
          <w:sz w:val="22"/>
        </w:rPr>
        <w:lastRenderedPageBreak/>
        <w:t xml:space="preserve">group in the lower </w:t>
      </w:r>
      <w:proofErr w:type="gramStart"/>
      <w:r w:rsidRPr="00AE7BB9">
        <w:rPr>
          <w:rFonts w:asciiTheme="minorHAnsi" w:hAnsiTheme="minorHAnsi"/>
          <w:sz w:val="22"/>
        </w:rPr>
        <w:t>right hand</w:t>
      </w:r>
      <w:proofErr w:type="gramEnd"/>
      <w:r w:rsidRPr="00AE7BB9">
        <w:rPr>
          <w:rFonts w:asciiTheme="minorHAnsi" w:hAnsiTheme="minorHAnsi"/>
          <w:sz w:val="22"/>
        </w:rPr>
        <w:t xml:space="preserve"> quadrant, their higher spending levels suggest there may be other factors contributing to their lower performance. </w:t>
      </w:r>
    </w:p>
    <w:p w14:paraId="37F88B74" w14:textId="77777777" w:rsidR="00133AEB" w:rsidRPr="00AE7BB9" w:rsidRDefault="00133AEB" w:rsidP="001F6A23">
      <w:pPr>
        <w:pStyle w:val="Caption"/>
        <w:spacing w:after="0"/>
        <w:rPr>
          <w:rFonts w:asciiTheme="minorHAnsi" w:hAnsiTheme="minorHAnsi"/>
          <w:sz w:val="22"/>
        </w:rPr>
      </w:pPr>
    </w:p>
    <w:p w14:paraId="550AB3DC" w14:textId="77777777" w:rsidR="00133AEB" w:rsidRPr="001F6A23" w:rsidRDefault="00133AEB" w:rsidP="00FD68A2">
      <w:pPr>
        <w:pStyle w:val="Caption"/>
        <w:rPr>
          <w:rFonts w:asciiTheme="minorHAnsi" w:hAnsiTheme="minorHAnsi"/>
          <w:b w:val="0"/>
          <w:sz w:val="22"/>
        </w:rPr>
      </w:pPr>
      <w:bookmarkStart w:id="4" w:name="_Ref478727122"/>
      <w:r w:rsidRPr="001F6A23">
        <w:rPr>
          <w:rFonts w:asciiTheme="minorHAnsi" w:hAnsiTheme="minorHAnsi"/>
          <w:b w:val="0"/>
          <w:sz w:val="22"/>
        </w:rPr>
        <w:t xml:space="preserve">Figure </w:t>
      </w:r>
      <w:r w:rsidRPr="001F6A23">
        <w:rPr>
          <w:rFonts w:asciiTheme="minorHAnsi" w:hAnsiTheme="minorHAnsi"/>
          <w:b w:val="0"/>
          <w:sz w:val="22"/>
        </w:rPr>
        <w:fldChar w:fldCharType="begin"/>
      </w:r>
      <w:r w:rsidRPr="001F6A23">
        <w:rPr>
          <w:rFonts w:asciiTheme="minorHAnsi" w:hAnsiTheme="minorHAnsi"/>
          <w:b w:val="0"/>
          <w:sz w:val="22"/>
        </w:rPr>
        <w:instrText xml:space="preserve"> SEQ Figure \* ARABIC </w:instrText>
      </w:r>
      <w:r w:rsidRPr="001F6A23">
        <w:rPr>
          <w:rFonts w:asciiTheme="minorHAnsi" w:hAnsiTheme="minorHAnsi"/>
          <w:b w:val="0"/>
          <w:sz w:val="22"/>
        </w:rPr>
        <w:fldChar w:fldCharType="separate"/>
      </w:r>
      <w:r w:rsidRPr="001F6A23">
        <w:rPr>
          <w:rFonts w:asciiTheme="minorHAnsi" w:hAnsiTheme="minorHAnsi"/>
          <w:b w:val="0"/>
          <w:sz w:val="22"/>
        </w:rPr>
        <w:t>3</w:t>
      </w:r>
      <w:r w:rsidRPr="001F6A23">
        <w:rPr>
          <w:rFonts w:asciiTheme="minorHAnsi" w:hAnsiTheme="minorHAnsi"/>
          <w:b w:val="0"/>
          <w:sz w:val="22"/>
        </w:rPr>
        <w:fldChar w:fldCharType="end"/>
      </w:r>
      <w:bookmarkEnd w:id="4"/>
      <w:r w:rsidRPr="001F6A23">
        <w:rPr>
          <w:rFonts w:asciiTheme="minorHAnsi" w:hAnsiTheme="minorHAnsi"/>
          <w:b w:val="0"/>
          <w:sz w:val="22"/>
        </w:rPr>
        <w:t xml:space="preserve">  Front-line </w:t>
      </w:r>
      <w:proofErr w:type="spellStart"/>
      <w:r w:rsidRPr="001F6A23">
        <w:rPr>
          <w:rFonts w:asciiTheme="minorHAnsi" w:hAnsiTheme="minorHAnsi"/>
          <w:b w:val="0"/>
          <w:sz w:val="22"/>
        </w:rPr>
        <w:t>spending</w:t>
      </w:r>
      <w:proofErr w:type="spellEnd"/>
      <w:r w:rsidRPr="001F6A23">
        <w:rPr>
          <w:rFonts w:asciiTheme="minorHAnsi" w:hAnsiTheme="minorHAnsi"/>
          <w:b w:val="0"/>
          <w:sz w:val="22"/>
        </w:rPr>
        <w:t xml:space="preserve"> and performance, by province</w:t>
      </w:r>
    </w:p>
    <w:p w14:paraId="16A2ED25" w14:textId="77777777" w:rsidR="00133AEB" w:rsidRPr="00AE7BB9" w:rsidRDefault="00133AEB" w:rsidP="00FD68A2">
      <w:pPr>
        <w:spacing w:line="240" w:lineRule="auto"/>
        <w:rPr>
          <w:rFonts w:asciiTheme="minorHAnsi" w:hAnsiTheme="minorHAnsi"/>
        </w:rPr>
      </w:pPr>
      <w:r w:rsidRPr="00AE7BB9">
        <w:rPr>
          <w:rFonts w:asciiTheme="minorHAnsi" w:hAnsiTheme="minorHAnsi"/>
          <w:noProof/>
          <w:lang w:val="en-GB" w:eastAsia="en-GB"/>
        </w:rPr>
        <w:drawing>
          <wp:inline distT="0" distB="0" distL="0" distR="0" wp14:anchorId="520BCA1D" wp14:editId="29559E7E">
            <wp:extent cx="5940000" cy="4532493"/>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4938"/>
                    <a:stretch/>
                  </pic:blipFill>
                  <pic:spPr bwMode="auto">
                    <a:xfrm>
                      <a:off x="0" y="0"/>
                      <a:ext cx="5940000" cy="4532493"/>
                    </a:xfrm>
                    <a:prstGeom prst="rect">
                      <a:avLst/>
                    </a:prstGeom>
                    <a:noFill/>
                    <a:ln>
                      <a:noFill/>
                    </a:ln>
                    <a:extLst>
                      <a:ext uri="{53640926-AAD7-44D8-BBD7-CCE9431645EC}">
                        <a14:shadowObscured xmlns:a14="http://schemas.microsoft.com/office/drawing/2010/main"/>
                      </a:ext>
                    </a:extLst>
                  </pic:spPr>
                </pic:pic>
              </a:graphicData>
            </a:graphic>
          </wp:inline>
        </w:drawing>
      </w:r>
    </w:p>
    <w:p w14:paraId="03705F57" w14:textId="77777777" w:rsidR="00133AEB" w:rsidRPr="005C4A08" w:rsidRDefault="00133AEB" w:rsidP="001F6A23">
      <w:pPr>
        <w:pStyle w:val="Heading3"/>
        <w:spacing w:before="240" w:after="120" w:line="240" w:lineRule="auto"/>
        <w:rPr>
          <w:rFonts w:asciiTheme="minorHAnsi" w:hAnsiTheme="minorHAnsi"/>
          <w:szCs w:val="24"/>
        </w:rPr>
      </w:pPr>
      <w:r w:rsidRPr="005C4A08">
        <w:rPr>
          <w:rFonts w:asciiTheme="minorHAnsi" w:hAnsiTheme="minorHAnsi"/>
          <w:szCs w:val="24"/>
        </w:rPr>
        <w:t>Performance relative to health centre ownership</w:t>
      </w:r>
    </w:p>
    <w:p w14:paraId="0906373E" w14:textId="77777777"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t>In PNG, rural health services are delivered from a network of health centres, most of these are run by either the government or by church-based organisations, which run almost half of the country’s network of health centres. The proportion of government-run versus church-run health centres varies considerably across provinces (from 74% government</w:t>
      </w:r>
      <w:r>
        <w:rPr>
          <w:rFonts w:asciiTheme="minorHAnsi" w:hAnsiTheme="minorHAnsi"/>
          <w:sz w:val="22"/>
        </w:rPr>
        <w:t>-</w:t>
      </w:r>
      <w:r w:rsidRPr="00AE7BB9">
        <w:rPr>
          <w:rFonts w:asciiTheme="minorHAnsi" w:hAnsiTheme="minorHAnsi"/>
          <w:sz w:val="22"/>
        </w:rPr>
        <w:t xml:space="preserve">run in Oro to only 24% in Sandaun), which might play a part in explaining differential performance.  In </w:t>
      </w:r>
      <w:r w:rsidRPr="00AE7BB9">
        <w:rPr>
          <w:rFonts w:asciiTheme="minorHAnsi" w:hAnsiTheme="minorHAnsi"/>
          <w:sz w:val="22"/>
        </w:rPr>
        <w:fldChar w:fldCharType="begin"/>
      </w:r>
      <w:r w:rsidRPr="00AE7BB9">
        <w:rPr>
          <w:rFonts w:asciiTheme="minorHAnsi" w:hAnsiTheme="minorHAnsi"/>
          <w:sz w:val="22"/>
        </w:rPr>
        <w:instrText xml:space="preserve"> REF _Ref478728792 \h  \* MERGEFORMAT </w:instrText>
      </w:r>
      <w:r w:rsidRPr="00AE7BB9">
        <w:rPr>
          <w:rFonts w:asciiTheme="minorHAnsi" w:hAnsiTheme="minorHAnsi"/>
          <w:sz w:val="22"/>
        </w:rPr>
      </w:r>
      <w:r w:rsidRPr="00AE7BB9">
        <w:rPr>
          <w:rFonts w:asciiTheme="minorHAnsi" w:hAnsiTheme="minorHAnsi"/>
          <w:sz w:val="22"/>
        </w:rPr>
        <w:fldChar w:fldCharType="separate"/>
      </w:r>
      <w:r w:rsidRPr="00AE7BB9">
        <w:rPr>
          <w:rFonts w:asciiTheme="minorHAnsi" w:hAnsiTheme="minorHAnsi"/>
        </w:rPr>
        <w:t xml:space="preserve">Figure </w:t>
      </w:r>
      <w:r w:rsidRPr="00AE7BB9">
        <w:rPr>
          <w:rFonts w:asciiTheme="minorHAnsi" w:hAnsiTheme="minorHAnsi"/>
          <w:noProof/>
        </w:rPr>
        <w:t>4</w:t>
      </w:r>
      <w:r w:rsidRPr="00AE7BB9">
        <w:rPr>
          <w:rFonts w:asciiTheme="minorHAnsi" w:hAnsiTheme="minorHAnsi"/>
          <w:sz w:val="22"/>
        </w:rPr>
        <w:fldChar w:fldCharType="end"/>
      </w:r>
      <w:r w:rsidRPr="00AE7BB9">
        <w:rPr>
          <w:rFonts w:asciiTheme="minorHAnsi" w:hAnsiTheme="minorHAnsi"/>
          <w:sz w:val="22"/>
        </w:rPr>
        <w:t xml:space="preserve"> below, front line performance (for all health centres within a province) is set against the proportion of health centres in the province that are government-run. Results are </w:t>
      </w:r>
      <w:proofErr w:type="gramStart"/>
      <w:r w:rsidRPr="00AE7BB9">
        <w:rPr>
          <w:rFonts w:asciiTheme="minorHAnsi" w:hAnsiTheme="minorHAnsi"/>
          <w:sz w:val="22"/>
        </w:rPr>
        <w:t>mixed,</w:t>
      </w:r>
      <w:proofErr w:type="gramEnd"/>
      <w:r w:rsidRPr="00AE7BB9">
        <w:rPr>
          <w:rFonts w:asciiTheme="minorHAnsi" w:hAnsiTheme="minorHAnsi"/>
          <w:sz w:val="22"/>
        </w:rPr>
        <w:t xml:space="preserve"> however four of the five higher performing provinces hav</w:t>
      </w:r>
      <w:r>
        <w:rPr>
          <w:rFonts w:asciiTheme="minorHAnsi" w:hAnsiTheme="minorHAnsi"/>
          <w:sz w:val="22"/>
        </w:rPr>
        <w:t>e</w:t>
      </w:r>
      <w:r w:rsidRPr="00AE7BB9">
        <w:rPr>
          <w:rFonts w:asciiTheme="minorHAnsi" w:hAnsiTheme="minorHAnsi"/>
          <w:sz w:val="22"/>
        </w:rPr>
        <w:t xml:space="preserve"> more government-run health centres (Milne Bay being the exception).  Outside of the higher performers, there are no strong discernible patterns evident across provinces relating to the proportions of </w:t>
      </w:r>
      <w:r>
        <w:rPr>
          <w:rFonts w:asciiTheme="minorHAnsi" w:hAnsiTheme="minorHAnsi"/>
          <w:sz w:val="22"/>
        </w:rPr>
        <w:t xml:space="preserve">public or church-run </w:t>
      </w:r>
      <w:r w:rsidRPr="00AE7BB9">
        <w:rPr>
          <w:rFonts w:asciiTheme="minorHAnsi" w:hAnsiTheme="minorHAnsi"/>
          <w:sz w:val="22"/>
        </w:rPr>
        <w:t xml:space="preserve">service providers.  </w:t>
      </w:r>
    </w:p>
    <w:p w14:paraId="4E820690" w14:textId="77777777" w:rsidR="00133AEB" w:rsidRPr="00AE7BB9" w:rsidRDefault="00133AEB" w:rsidP="001F6A23">
      <w:pPr>
        <w:pStyle w:val="Caption"/>
        <w:spacing w:after="0"/>
        <w:rPr>
          <w:rFonts w:asciiTheme="minorHAnsi" w:hAnsiTheme="minorHAnsi"/>
        </w:rPr>
      </w:pPr>
      <w:bookmarkStart w:id="5" w:name="_Ref478728792"/>
    </w:p>
    <w:p w14:paraId="6D428F43" w14:textId="77777777" w:rsidR="00133AEB" w:rsidRPr="001F6A23" w:rsidRDefault="00133AEB" w:rsidP="00FD68A2">
      <w:pPr>
        <w:pStyle w:val="Caption"/>
        <w:rPr>
          <w:rFonts w:asciiTheme="minorHAnsi" w:hAnsiTheme="minorHAnsi"/>
          <w:b w:val="0"/>
          <w:sz w:val="22"/>
        </w:rPr>
      </w:pPr>
      <w:r w:rsidRPr="001F6A23">
        <w:rPr>
          <w:rFonts w:asciiTheme="minorHAnsi" w:hAnsiTheme="minorHAnsi"/>
          <w:b w:val="0"/>
          <w:sz w:val="22"/>
        </w:rPr>
        <w:t xml:space="preserve">Figure </w:t>
      </w:r>
      <w:r w:rsidRPr="001F6A23">
        <w:rPr>
          <w:rFonts w:asciiTheme="minorHAnsi" w:hAnsiTheme="minorHAnsi"/>
          <w:b w:val="0"/>
          <w:sz w:val="22"/>
        </w:rPr>
        <w:fldChar w:fldCharType="begin"/>
      </w:r>
      <w:r w:rsidRPr="001F6A23">
        <w:rPr>
          <w:rFonts w:asciiTheme="minorHAnsi" w:hAnsiTheme="minorHAnsi"/>
          <w:b w:val="0"/>
          <w:sz w:val="22"/>
        </w:rPr>
        <w:instrText xml:space="preserve"> SEQ Figure \* ARABIC </w:instrText>
      </w:r>
      <w:r w:rsidRPr="001F6A23">
        <w:rPr>
          <w:rFonts w:asciiTheme="minorHAnsi" w:hAnsiTheme="minorHAnsi"/>
          <w:b w:val="0"/>
          <w:sz w:val="22"/>
        </w:rPr>
        <w:fldChar w:fldCharType="separate"/>
      </w:r>
      <w:r w:rsidRPr="001F6A23">
        <w:rPr>
          <w:rFonts w:asciiTheme="minorHAnsi" w:hAnsiTheme="minorHAnsi"/>
          <w:b w:val="0"/>
          <w:sz w:val="22"/>
        </w:rPr>
        <w:t>4</w:t>
      </w:r>
      <w:r w:rsidRPr="001F6A23">
        <w:rPr>
          <w:rFonts w:asciiTheme="minorHAnsi" w:hAnsiTheme="minorHAnsi"/>
          <w:b w:val="0"/>
          <w:sz w:val="22"/>
        </w:rPr>
        <w:fldChar w:fldCharType="end"/>
      </w:r>
      <w:bookmarkEnd w:id="5"/>
      <w:r w:rsidRPr="001F6A23">
        <w:rPr>
          <w:rFonts w:asciiTheme="minorHAnsi" w:hAnsiTheme="minorHAnsi"/>
          <w:b w:val="0"/>
          <w:sz w:val="22"/>
        </w:rPr>
        <w:t xml:space="preserve">  Front line performance </w:t>
      </w:r>
      <w:proofErr w:type="spellStart"/>
      <w:r w:rsidRPr="001F6A23">
        <w:rPr>
          <w:rFonts w:asciiTheme="minorHAnsi" w:hAnsiTheme="minorHAnsi"/>
          <w:b w:val="0"/>
          <w:sz w:val="22"/>
        </w:rPr>
        <w:t>indicators</w:t>
      </w:r>
      <w:proofErr w:type="spellEnd"/>
      <w:r w:rsidRPr="001F6A23">
        <w:rPr>
          <w:rFonts w:asciiTheme="minorHAnsi" w:hAnsiTheme="minorHAnsi"/>
          <w:b w:val="0"/>
          <w:sz w:val="22"/>
        </w:rPr>
        <w:t xml:space="preserve"> and percentage of </w:t>
      </w:r>
      <w:proofErr w:type="spellStart"/>
      <w:r w:rsidRPr="001F6A23">
        <w:rPr>
          <w:rFonts w:asciiTheme="minorHAnsi" w:hAnsiTheme="minorHAnsi"/>
          <w:b w:val="0"/>
          <w:sz w:val="22"/>
        </w:rPr>
        <w:t>government</w:t>
      </w:r>
      <w:proofErr w:type="spellEnd"/>
      <w:r w:rsidRPr="001F6A23">
        <w:rPr>
          <w:rFonts w:asciiTheme="minorHAnsi" w:hAnsiTheme="minorHAnsi"/>
          <w:b w:val="0"/>
          <w:sz w:val="22"/>
        </w:rPr>
        <w:t xml:space="preserve">-run </w:t>
      </w:r>
      <w:proofErr w:type="spellStart"/>
      <w:r w:rsidRPr="001F6A23">
        <w:rPr>
          <w:rFonts w:asciiTheme="minorHAnsi" w:hAnsiTheme="minorHAnsi"/>
          <w:b w:val="0"/>
          <w:sz w:val="22"/>
        </w:rPr>
        <w:t>health</w:t>
      </w:r>
      <w:proofErr w:type="spellEnd"/>
      <w:r w:rsidRPr="001F6A23">
        <w:rPr>
          <w:rFonts w:asciiTheme="minorHAnsi" w:hAnsiTheme="minorHAnsi"/>
          <w:b w:val="0"/>
          <w:sz w:val="22"/>
        </w:rPr>
        <w:t xml:space="preserve"> centres, by province </w:t>
      </w:r>
    </w:p>
    <w:p w14:paraId="2D7EEC16" w14:textId="77777777" w:rsidR="00133AEB" w:rsidRPr="00AE7BB9" w:rsidRDefault="00133AEB" w:rsidP="00FD68A2">
      <w:pPr>
        <w:tabs>
          <w:tab w:val="left" w:pos="3240"/>
        </w:tabs>
        <w:spacing w:after="0" w:line="240" w:lineRule="auto"/>
        <w:rPr>
          <w:rFonts w:asciiTheme="minorHAnsi" w:hAnsiTheme="minorHAnsi"/>
          <w:noProof/>
          <w:lang w:eastAsia="en-NZ"/>
        </w:rPr>
      </w:pPr>
      <w:r w:rsidRPr="00AE7BB9">
        <w:rPr>
          <w:rFonts w:asciiTheme="minorHAnsi" w:hAnsiTheme="minorHAnsi"/>
          <w:noProof/>
          <w:lang w:val="en-GB" w:eastAsia="en-GB"/>
        </w:rPr>
        <w:lastRenderedPageBreak/>
        <w:drawing>
          <wp:inline distT="0" distB="0" distL="0" distR="0" wp14:anchorId="54AE0716" wp14:editId="3352C37D">
            <wp:extent cx="5940000" cy="4356156"/>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5037"/>
                    <a:stretch/>
                  </pic:blipFill>
                  <pic:spPr bwMode="auto">
                    <a:xfrm>
                      <a:off x="0" y="0"/>
                      <a:ext cx="5940000" cy="4356156"/>
                    </a:xfrm>
                    <a:prstGeom prst="rect">
                      <a:avLst/>
                    </a:prstGeom>
                    <a:noFill/>
                    <a:ln>
                      <a:noFill/>
                    </a:ln>
                    <a:extLst>
                      <a:ext uri="{53640926-AAD7-44D8-BBD7-CCE9431645EC}">
                        <a14:shadowObscured xmlns:a14="http://schemas.microsoft.com/office/drawing/2010/main"/>
                      </a:ext>
                    </a:extLst>
                  </pic:spPr>
                </pic:pic>
              </a:graphicData>
            </a:graphic>
          </wp:inline>
        </w:drawing>
      </w:r>
    </w:p>
    <w:p w14:paraId="7933CD73" w14:textId="77777777" w:rsidR="00133AEB" w:rsidRPr="005C4A08" w:rsidRDefault="00133AEB" w:rsidP="001F6A23">
      <w:pPr>
        <w:pStyle w:val="Heading3"/>
        <w:spacing w:before="240" w:after="120" w:line="240" w:lineRule="auto"/>
        <w:rPr>
          <w:rFonts w:asciiTheme="minorHAnsi" w:hAnsiTheme="minorHAnsi"/>
          <w:szCs w:val="24"/>
        </w:rPr>
      </w:pPr>
      <w:r w:rsidRPr="005C4A08">
        <w:rPr>
          <w:rFonts w:asciiTheme="minorHAnsi" w:hAnsiTheme="minorHAnsi"/>
          <w:szCs w:val="24"/>
        </w:rPr>
        <w:t xml:space="preserve">Outpatient visits </w:t>
      </w:r>
    </w:p>
    <w:p w14:paraId="535D9D3A" w14:textId="5C641ED4" w:rsidR="00133AEB" w:rsidRDefault="00133AEB" w:rsidP="00FD68A2">
      <w:pPr>
        <w:spacing w:after="0" w:line="240" w:lineRule="auto"/>
        <w:rPr>
          <w:rFonts w:asciiTheme="minorHAnsi" w:hAnsiTheme="minorHAnsi"/>
          <w:sz w:val="22"/>
        </w:rPr>
      </w:pPr>
      <w:r w:rsidRPr="00AE7BB9">
        <w:rPr>
          <w:rFonts w:asciiTheme="minorHAnsi" w:hAnsiTheme="minorHAnsi"/>
          <w:sz w:val="22"/>
          <w:lang w:eastAsia="en-NZ"/>
        </w:rPr>
        <w:t xml:space="preserve">Looking at each health service indicator, it is important to analyse how far performance is driven by proximity and expenditure. </w:t>
      </w:r>
      <w:r w:rsidRPr="00AE7BB9">
        <w:rPr>
          <w:rFonts w:asciiTheme="minorHAnsi" w:hAnsiTheme="minorHAnsi"/>
          <w:sz w:val="22"/>
          <w:lang w:eastAsia="en-NZ"/>
        </w:rPr>
        <w:fldChar w:fldCharType="begin"/>
      </w:r>
      <w:r w:rsidRPr="00AE7BB9">
        <w:rPr>
          <w:rFonts w:asciiTheme="minorHAnsi" w:hAnsiTheme="minorHAnsi"/>
          <w:sz w:val="22"/>
          <w:lang w:eastAsia="en-NZ"/>
        </w:rPr>
        <w:instrText xml:space="preserve"> REF _Ref478729532 \h  \* MERGEFORMAT </w:instrText>
      </w:r>
      <w:r w:rsidRPr="00AE7BB9">
        <w:rPr>
          <w:rFonts w:asciiTheme="minorHAnsi" w:hAnsiTheme="minorHAnsi"/>
          <w:sz w:val="22"/>
          <w:lang w:eastAsia="en-NZ"/>
        </w:rPr>
      </w:r>
      <w:r w:rsidRPr="00AE7BB9">
        <w:rPr>
          <w:rFonts w:asciiTheme="minorHAnsi" w:hAnsiTheme="minorHAnsi"/>
          <w:sz w:val="22"/>
          <w:lang w:eastAsia="en-NZ"/>
        </w:rPr>
        <w:fldChar w:fldCharType="separate"/>
      </w:r>
      <w:r w:rsidRPr="00AE7BB9">
        <w:rPr>
          <w:rFonts w:asciiTheme="minorHAnsi" w:hAnsiTheme="minorHAnsi"/>
          <w:sz w:val="22"/>
        </w:rPr>
        <w:t xml:space="preserve">Figure </w:t>
      </w:r>
      <w:r w:rsidRPr="00AE7BB9">
        <w:rPr>
          <w:rFonts w:asciiTheme="minorHAnsi" w:hAnsiTheme="minorHAnsi"/>
          <w:noProof/>
          <w:sz w:val="22"/>
        </w:rPr>
        <w:t>5</w:t>
      </w:r>
      <w:r w:rsidRPr="00AE7BB9">
        <w:rPr>
          <w:rFonts w:asciiTheme="minorHAnsi" w:hAnsiTheme="minorHAnsi"/>
          <w:sz w:val="22"/>
          <w:lang w:eastAsia="en-NZ"/>
        </w:rPr>
        <w:fldChar w:fldCharType="end"/>
      </w:r>
      <w:r w:rsidRPr="00AE7BB9">
        <w:rPr>
          <w:rFonts w:asciiTheme="minorHAnsi" w:hAnsiTheme="minorHAnsi"/>
          <w:sz w:val="22"/>
        </w:rPr>
        <w:t xml:space="preserve"> displays the average outpatient attendances per person per year at health centres as recorded in each province on the vertical axis and the proximity to services within a province on the horizontal axis. In relation to access, a negative relationship between utilisation and remoteness would be expected. It is clear however that there is a group of provinces that record higher outpatient numbers despite their services being less proximate to the local people. By contrast, the </w:t>
      </w:r>
      <w:r>
        <w:rPr>
          <w:rFonts w:asciiTheme="minorHAnsi" w:hAnsiTheme="minorHAnsi"/>
          <w:sz w:val="22"/>
        </w:rPr>
        <w:t>H</w:t>
      </w:r>
      <w:r w:rsidRPr="00AE7BB9">
        <w:rPr>
          <w:rFonts w:asciiTheme="minorHAnsi" w:hAnsiTheme="minorHAnsi"/>
          <w:sz w:val="22"/>
        </w:rPr>
        <w:t>ighlands provinces record fewer outpatient visits despite services being more proximate and accessible to the local populations.</w:t>
      </w:r>
    </w:p>
    <w:p w14:paraId="49659C00" w14:textId="77777777" w:rsidR="00133AEB" w:rsidRPr="001F6A23" w:rsidRDefault="00133AEB" w:rsidP="001F6A23">
      <w:pPr>
        <w:spacing w:after="0" w:line="240" w:lineRule="auto"/>
        <w:rPr>
          <w:rFonts w:asciiTheme="minorHAnsi" w:hAnsiTheme="minorHAnsi"/>
          <w:sz w:val="22"/>
        </w:rPr>
      </w:pPr>
      <w:r w:rsidRPr="00193141">
        <w:rPr>
          <w:rFonts w:asciiTheme="minorHAnsi" w:eastAsia="Times New Roman" w:hAnsiTheme="minorHAnsi" w:cstheme="minorHAnsi"/>
          <w:sz w:val="22"/>
          <w:lang w:val="en-NZ"/>
        </w:rPr>
        <w:t xml:space="preserve">The situation with outpatients’ attendances is concerning: the country’s largest most populace provinces typically have the lowest attendances at lower-level facilities despite having favourable average proximity.  There are </w:t>
      </w:r>
      <w:proofErr w:type="gramStart"/>
      <w:r w:rsidRPr="00193141">
        <w:rPr>
          <w:rFonts w:asciiTheme="minorHAnsi" w:eastAsia="Times New Roman" w:hAnsiTheme="minorHAnsi" w:cstheme="minorHAnsi"/>
          <w:sz w:val="22"/>
          <w:lang w:val="en-NZ"/>
        </w:rPr>
        <w:t>a number of</w:t>
      </w:r>
      <w:proofErr w:type="gramEnd"/>
      <w:r w:rsidRPr="00193141">
        <w:rPr>
          <w:rFonts w:asciiTheme="minorHAnsi" w:eastAsia="Times New Roman" w:hAnsiTheme="minorHAnsi" w:cstheme="minorHAnsi"/>
          <w:sz w:val="22"/>
          <w:lang w:val="en-NZ"/>
        </w:rPr>
        <w:t xml:space="preserve"> possible explanations including: a cultural aspect, education and awareness, but it may also reflect the quality of care (real or perceived) that is available at the lower level facilities in these provinces.  Another</w:t>
      </w:r>
      <w:r w:rsidRPr="00193141">
        <w:rPr>
          <w:rFonts w:asciiTheme="minorHAnsi" w:hAnsiTheme="minorHAnsi" w:cstheme="minorHAnsi"/>
          <w:sz w:val="22"/>
        </w:rPr>
        <w:t xml:space="preserve"> possible explanation is that, given the advantage of relative proximity in Highland provinces, people attend provincial hospitals rather than their rural health centres – a hypothesis which would require further investigation.</w:t>
      </w:r>
      <w:bookmarkStart w:id="6" w:name="_Ref478729532"/>
    </w:p>
    <w:p w14:paraId="5A1E9559" w14:textId="77777777" w:rsidR="00133AEB" w:rsidRPr="00AE7BB9" w:rsidRDefault="00133AEB" w:rsidP="00FD68A2">
      <w:pPr>
        <w:spacing w:after="0" w:line="240" w:lineRule="auto"/>
        <w:jc w:val="left"/>
      </w:pPr>
    </w:p>
    <w:p w14:paraId="62546001" w14:textId="77777777" w:rsidR="00133AEB" w:rsidRPr="001F6A23" w:rsidRDefault="00133AEB" w:rsidP="00FD68A2">
      <w:pPr>
        <w:pStyle w:val="Caption"/>
        <w:rPr>
          <w:rFonts w:asciiTheme="minorHAnsi" w:hAnsiTheme="minorHAnsi"/>
          <w:b w:val="0"/>
          <w:sz w:val="22"/>
        </w:rPr>
      </w:pPr>
      <w:r w:rsidRPr="001F6A23">
        <w:rPr>
          <w:rFonts w:asciiTheme="minorHAnsi" w:hAnsiTheme="minorHAnsi"/>
          <w:b w:val="0"/>
          <w:sz w:val="22"/>
        </w:rPr>
        <w:t xml:space="preserve">Figure </w:t>
      </w:r>
      <w:r w:rsidRPr="001F6A23">
        <w:rPr>
          <w:rFonts w:asciiTheme="minorHAnsi" w:hAnsiTheme="minorHAnsi"/>
          <w:b w:val="0"/>
          <w:sz w:val="22"/>
        </w:rPr>
        <w:fldChar w:fldCharType="begin"/>
      </w:r>
      <w:r w:rsidRPr="001F6A23">
        <w:rPr>
          <w:rFonts w:asciiTheme="minorHAnsi" w:hAnsiTheme="minorHAnsi"/>
          <w:b w:val="0"/>
          <w:sz w:val="22"/>
        </w:rPr>
        <w:instrText xml:space="preserve"> SEQ Figure \* ARABIC </w:instrText>
      </w:r>
      <w:r w:rsidRPr="001F6A23">
        <w:rPr>
          <w:rFonts w:asciiTheme="minorHAnsi" w:hAnsiTheme="minorHAnsi"/>
          <w:b w:val="0"/>
          <w:sz w:val="22"/>
        </w:rPr>
        <w:fldChar w:fldCharType="separate"/>
      </w:r>
      <w:r w:rsidRPr="001F6A23">
        <w:rPr>
          <w:rFonts w:asciiTheme="minorHAnsi" w:hAnsiTheme="minorHAnsi"/>
          <w:b w:val="0"/>
          <w:sz w:val="22"/>
        </w:rPr>
        <w:t>5</w:t>
      </w:r>
      <w:r w:rsidRPr="001F6A23">
        <w:rPr>
          <w:rFonts w:asciiTheme="minorHAnsi" w:hAnsiTheme="minorHAnsi"/>
          <w:b w:val="0"/>
          <w:sz w:val="22"/>
        </w:rPr>
        <w:fldChar w:fldCharType="end"/>
      </w:r>
      <w:bookmarkEnd w:id="6"/>
      <w:r w:rsidRPr="001F6A23">
        <w:rPr>
          <w:rFonts w:asciiTheme="minorHAnsi" w:hAnsiTheme="minorHAnsi"/>
          <w:b w:val="0"/>
          <w:sz w:val="22"/>
        </w:rPr>
        <w:t xml:space="preserve">  </w:t>
      </w:r>
      <w:proofErr w:type="spellStart"/>
      <w:r w:rsidRPr="001F6A23">
        <w:rPr>
          <w:rFonts w:asciiTheme="minorHAnsi" w:hAnsiTheme="minorHAnsi"/>
          <w:b w:val="0"/>
          <w:sz w:val="22"/>
        </w:rPr>
        <w:t>Outpatient</w:t>
      </w:r>
      <w:proofErr w:type="spellEnd"/>
      <w:r w:rsidRPr="001F6A23">
        <w:rPr>
          <w:rFonts w:asciiTheme="minorHAnsi" w:hAnsiTheme="minorHAnsi"/>
          <w:b w:val="0"/>
          <w:sz w:val="22"/>
        </w:rPr>
        <w:t xml:space="preserve"> </w:t>
      </w:r>
      <w:proofErr w:type="spellStart"/>
      <w:r w:rsidRPr="001F6A23">
        <w:rPr>
          <w:rFonts w:asciiTheme="minorHAnsi" w:hAnsiTheme="minorHAnsi"/>
          <w:b w:val="0"/>
          <w:sz w:val="22"/>
        </w:rPr>
        <w:t>attendances</w:t>
      </w:r>
      <w:proofErr w:type="spellEnd"/>
      <w:r w:rsidRPr="001F6A23">
        <w:rPr>
          <w:rFonts w:asciiTheme="minorHAnsi" w:hAnsiTheme="minorHAnsi"/>
          <w:b w:val="0"/>
          <w:sz w:val="22"/>
        </w:rPr>
        <w:t xml:space="preserve"> and </w:t>
      </w:r>
      <w:proofErr w:type="spellStart"/>
      <w:r w:rsidRPr="001F6A23">
        <w:rPr>
          <w:rFonts w:asciiTheme="minorHAnsi" w:hAnsiTheme="minorHAnsi"/>
          <w:b w:val="0"/>
          <w:sz w:val="22"/>
        </w:rPr>
        <w:t>proximity</w:t>
      </w:r>
      <w:proofErr w:type="spellEnd"/>
      <w:r w:rsidRPr="001F6A23">
        <w:rPr>
          <w:rFonts w:asciiTheme="minorHAnsi" w:hAnsiTheme="minorHAnsi"/>
          <w:b w:val="0"/>
          <w:sz w:val="22"/>
        </w:rPr>
        <w:t>, by province</w:t>
      </w:r>
    </w:p>
    <w:p w14:paraId="59F3FD0C" w14:textId="77777777" w:rsidR="00133AEB" w:rsidRPr="00AE7BB9" w:rsidRDefault="00133AEB" w:rsidP="00FD68A2">
      <w:pPr>
        <w:tabs>
          <w:tab w:val="left" w:pos="3240"/>
        </w:tabs>
        <w:spacing w:after="0" w:line="240" w:lineRule="auto"/>
        <w:rPr>
          <w:rFonts w:asciiTheme="minorHAnsi" w:hAnsiTheme="minorHAnsi"/>
        </w:rPr>
      </w:pPr>
      <w:r w:rsidRPr="00AE7BB9">
        <w:rPr>
          <w:rFonts w:asciiTheme="minorHAnsi" w:hAnsiTheme="minorHAnsi"/>
          <w:noProof/>
          <w:lang w:val="en-GB" w:eastAsia="en-GB"/>
        </w:rPr>
        <w:lastRenderedPageBreak/>
        <w:drawing>
          <wp:inline distT="0" distB="0" distL="0" distR="0" wp14:anchorId="09226CDA" wp14:editId="08B6A3E4">
            <wp:extent cx="5940000" cy="445844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1172" r="4606"/>
                    <a:stretch/>
                  </pic:blipFill>
                  <pic:spPr bwMode="auto">
                    <a:xfrm>
                      <a:off x="0" y="0"/>
                      <a:ext cx="5940000" cy="4458440"/>
                    </a:xfrm>
                    <a:prstGeom prst="rect">
                      <a:avLst/>
                    </a:prstGeom>
                    <a:noFill/>
                    <a:ln>
                      <a:noFill/>
                    </a:ln>
                    <a:extLst>
                      <a:ext uri="{53640926-AAD7-44D8-BBD7-CCE9431645EC}">
                        <a14:shadowObscured xmlns:a14="http://schemas.microsoft.com/office/drawing/2010/main"/>
                      </a:ext>
                    </a:extLst>
                  </pic:spPr>
                </pic:pic>
              </a:graphicData>
            </a:graphic>
          </wp:inline>
        </w:drawing>
      </w:r>
    </w:p>
    <w:p w14:paraId="003FAAC7" w14:textId="77777777" w:rsidR="00133AEB" w:rsidRPr="00AE7BB9" w:rsidRDefault="00133AEB" w:rsidP="001F6A23">
      <w:pPr>
        <w:spacing w:after="0" w:line="240" w:lineRule="auto"/>
        <w:rPr>
          <w:rFonts w:asciiTheme="minorHAnsi" w:hAnsiTheme="minorHAnsi"/>
          <w:sz w:val="21"/>
          <w:szCs w:val="21"/>
        </w:rPr>
      </w:pPr>
    </w:p>
    <w:p w14:paraId="2587399C" w14:textId="77777777"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fldChar w:fldCharType="begin"/>
      </w:r>
      <w:r w:rsidRPr="00AE7BB9">
        <w:rPr>
          <w:rFonts w:asciiTheme="minorHAnsi" w:hAnsiTheme="minorHAnsi"/>
          <w:sz w:val="22"/>
        </w:rPr>
        <w:instrText xml:space="preserve"> REF _Ref478730916 \h  \* MERGEFORMAT </w:instrText>
      </w:r>
      <w:r w:rsidRPr="00AE7BB9">
        <w:rPr>
          <w:rFonts w:asciiTheme="minorHAnsi" w:hAnsiTheme="minorHAnsi"/>
          <w:sz w:val="22"/>
        </w:rPr>
      </w:r>
      <w:r w:rsidRPr="00AE7BB9">
        <w:rPr>
          <w:rFonts w:asciiTheme="minorHAnsi" w:hAnsiTheme="minorHAnsi"/>
          <w:sz w:val="22"/>
        </w:rPr>
        <w:fldChar w:fldCharType="separate"/>
      </w:r>
      <w:r w:rsidRPr="00AE7BB9">
        <w:rPr>
          <w:rFonts w:asciiTheme="minorHAnsi" w:hAnsiTheme="minorHAnsi"/>
          <w:sz w:val="22"/>
        </w:rPr>
        <w:t xml:space="preserve">Figure </w:t>
      </w:r>
      <w:r w:rsidRPr="00AE7BB9">
        <w:rPr>
          <w:rFonts w:asciiTheme="minorHAnsi" w:hAnsiTheme="minorHAnsi"/>
          <w:noProof/>
          <w:sz w:val="22"/>
        </w:rPr>
        <w:t>6</w:t>
      </w:r>
      <w:r w:rsidRPr="00AE7BB9">
        <w:rPr>
          <w:rFonts w:asciiTheme="minorHAnsi" w:hAnsiTheme="minorHAnsi"/>
          <w:sz w:val="22"/>
        </w:rPr>
        <w:fldChar w:fldCharType="end"/>
      </w:r>
      <w:r w:rsidRPr="00AE7BB9">
        <w:rPr>
          <w:rFonts w:asciiTheme="minorHAnsi" w:hAnsiTheme="minorHAnsi"/>
          <w:sz w:val="22"/>
        </w:rPr>
        <w:t xml:space="preserve"> displays the average outpatient attendances per person per year at a health centre as recorded in each province on the vertical axis, and the spending on facility operations within a province on the horizontal axis. The chart helps us assess how much health centres within a province are used by their local community, and the relationship that spending may have in influencing the level of use.</w:t>
      </w:r>
      <w:r w:rsidRPr="00AE7BB9">
        <w:rPr>
          <w:rStyle w:val="FootnoteReference"/>
          <w:rFonts w:asciiTheme="minorHAnsi" w:hAnsiTheme="minorHAnsi"/>
          <w:sz w:val="22"/>
        </w:rPr>
        <w:footnoteReference w:id="3"/>
      </w:r>
      <w:r w:rsidRPr="00AE7BB9">
        <w:rPr>
          <w:rFonts w:asciiTheme="minorHAnsi" w:hAnsiTheme="minorHAnsi"/>
          <w:sz w:val="22"/>
        </w:rPr>
        <w:t xml:space="preserve"> A positive relationship would be the </w:t>
      </w:r>
      <w:r w:rsidRPr="00AE7BB9">
        <w:rPr>
          <w:rFonts w:asciiTheme="minorHAnsi" w:hAnsiTheme="minorHAnsi"/>
          <w:i/>
          <w:sz w:val="22"/>
        </w:rPr>
        <w:t xml:space="preserve">a priori </w:t>
      </w:r>
      <w:r w:rsidRPr="00AE7BB9">
        <w:rPr>
          <w:rFonts w:asciiTheme="minorHAnsi" w:hAnsiTheme="minorHAnsi"/>
          <w:sz w:val="22"/>
        </w:rPr>
        <w:t>expectation.</w:t>
      </w:r>
    </w:p>
    <w:p w14:paraId="4FB9DAAF" w14:textId="77777777" w:rsidR="00133AEB" w:rsidRPr="00AE7BB9" w:rsidRDefault="00133AEB" w:rsidP="001F6A23">
      <w:pPr>
        <w:spacing w:before="240" w:after="0" w:line="240" w:lineRule="auto"/>
        <w:rPr>
          <w:rFonts w:asciiTheme="minorHAnsi" w:hAnsiTheme="minorHAnsi"/>
          <w:sz w:val="21"/>
          <w:szCs w:val="21"/>
        </w:rPr>
      </w:pPr>
      <w:r w:rsidRPr="00AE7BB9">
        <w:rPr>
          <w:rFonts w:asciiTheme="minorHAnsi" w:hAnsiTheme="minorHAnsi"/>
          <w:sz w:val="22"/>
        </w:rPr>
        <w:t>The results are however mixed. There is no strong relationship between increased spending on facility operations and improved attendances at health centres</w:t>
      </w:r>
      <w:r>
        <w:rPr>
          <w:rFonts w:asciiTheme="minorHAnsi" w:hAnsiTheme="minorHAnsi"/>
          <w:sz w:val="22"/>
        </w:rPr>
        <w:t xml:space="preserve"> (which has a wide range from around 0.5 per person per year to just fewer than 2.5)</w:t>
      </w:r>
      <w:r w:rsidRPr="00AE7BB9">
        <w:rPr>
          <w:rFonts w:asciiTheme="minorHAnsi" w:hAnsiTheme="minorHAnsi"/>
          <w:sz w:val="22"/>
        </w:rPr>
        <w:t xml:space="preserve">.  For example, New Ireland Province recorded the highest level of outpatient visits – with a ratio of 2.4 outpatient visits at health centres per person in 2012. Yet, provincial spending on facilities appears to be very low relative to what is estimated necessary. This suggests that in New Ireland, factors other than spending on facility operations are major influences on patient attendance. </w:t>
      </w:r>
    </w:p>
    <w:p w14:paraId="2807389A" w14:textId="77777777" w:rsidR="00133AEB" w:rsidRPr="00AE7BB9" w:rsidRDefault="00133AEB" w:rsidP="001F6A23">
      <w:pPr>
        <w:spacing w:after="0" w:line="240" w:lineRule="auto"/>
        <w:rPr>
          <w:rFonts w:asciiTheme="minorHAnsi" w:hAnsiTheme="minorHAnsi"/>
          <w:sz w:val="20"/>
          <w:szCs w:val="20"/>
        </w:rPr>
      </w:pPr>
    </w:p>
    <w:p w14:paraId="38133B4C" w14:textId="77777777" w:rsidR="00133AEB" w:rsidRPr="001F6A23" w:rsidRDefault="00133AEB" w:rsidP="00FD68A2">
      <w:pPr>
        <w:pStyle w:val="Caption"/>
        <w:rPr>
          <w:rFonts w:asciiTheme="minorHAnsi" w:hAnsiTheme="minorHAnsi"/>
          <w:b w:val="0"/>
          <w:sz w:val="22"/>
        </w:rPr>
      </w:pPr>
      <w:bookmarkStart w:id="7" w:name="_Ref478730916"/>
      <w:r w:rsidRPr="001F6A23">
        <w:rPr>
          <w:rFonts w:asciiTheme="minorHAnsi" w:hAnsiTheme="minorHAnsi"/>
          <w:b w:val="0"/>
          <w:sz w:val="22"/>
        </w:rPr>
        <w:t xml:space="preserve">Figure </w:t>
      </w:r>
      <w:r w:rsidRPr="001F6A23">
        <w:rPr>
          <w:rFonts w:asciiTheme="minorHAnsi" w:hAnsiTheme="minorHAnsi"/>
          <w:b w:val="0"/>
          <w:sz w:val="22"/>
        </w:rPr>
        <w:fldChar w:fldCharType="begin"/>
      </w:r>
      <w:r w:rsidRPr="001F6A23">
        <w:rPr>
          <w:rFonts w:asciiTheme="minorHAnsi" w:hAnsiTheme="minorHAnsi"/>
          <w:b w:val="0"/>
          <w:sz w:val="22"/>
        </w:rPr>
        <w:instrText xml:space="preserve"> SEQ Figure \* ARABIC </w:instrText>
      </w:r>
      <w:r w:rsidRPr="001F6A23">
        <w:rPr>
          <w:rFonts w:asciiTheme="minorHAnsi" w:hAnsiTheme="minorHAnsi"/>
          <w:b w:val="0"/>
          <w:sz w:val="22"/>
        </w:rPr>
        <w:fldChar w:fldCharType="separate"/>
      </w:r>
      <w:r w:rsidRPr="001F6A23">
        <w:rPr>
          <w:rFonts w:asciiTheme="minorHAnsi" w:hAnsiTheme="minorHAnsi"/>
          <w:b w:val="0"/>
          <w:sz w:val="22"/>
        </w:rPr>
        <w:t>6</w:t>
      </w:r>
      <w:r w:rsidRPr="001F6A23">
        <w:rPr>
          <w:rFonts w:asciiTheme="minorHAnsi" w:hAnsiTheme="minorHAnsi"/>
          <w:b w:val="0"/>
          <w:sz w:val="22"/>
        </w:rPr>
        <w:fldChar w:fldCharType="end"/>
      </w:r>
      <w:bookmarkEnd w:id="7"/>
      <w:r w:rsidRPr="001F6A23">
        <w:rPr>
          <w:rFonts w:asciiTheme="minorHAnsi" w:hAnsiTheme="minorHAnsi"/>
          <w:b w:val="0"/>
          <w:sz w:val="22"/>
        </w:rPr>
        <w:t xml:space="preserve">  </w:t>
      </w:r>
      <w:proofErr w:type="spellStart"/>
      <w:r w:rsidRPr="001F6A23">
        <w:rPr>
          <w:rFonts w:asciiTheme="minorHAnsi" w:hAnsiTheme="minorHAnsi"/>
          <w:b w:val="0"/>
          <w:sz w:val="22"/>
        </w:rPr>
        <w:t>Outpatient</w:t>
      </w:r>
      <w:proofErr w:type="spellEnd"/>
      <w:r w:rsidRPr="001F6A23">
        <w:rPr>
          <w:rFonts w:asciiTheme="minorHAnsi" w:hAnsiTheme="minorHAnsi"/>
          <w:b w:val="0"/>
          <w:sz w:val="22"/>
        </w:rPr>
        <w:t xml:space="preserve"> </w:t>
      </w:r>
      <w:proofErr w:type="spellStart"/>
      <w:r w:rsidRPr="001F6A23">
        <w:rPr>
          <w:rFonts w:asciiTheme="minorHAnsi" w:hAnsiTheme="minorHAnsi"/>
          <w:b w:val="0"/>
          <w:sz w:val="22"/>
        </w:rPr>
        <w:t>attendances</w:t>
      </w:r>
      <w:proofErr w:type="spellEnd"/>
      <w:r w:rsidRPr="001F6A23">
        <w:rPr>
          <w:rFonts w:asciiTheme="minorHAnsi" w:hAnsiTheme="minorHAnsi"/>
          <w:b w:val="0"/>
          <w:sz w:val="22"/>
        </w:rPr>
        <w:t xml:space="preserve"> and </w:t>
      </w:r>
      <w:proofErr w:type="spellStart"/>
      <w:r w:rsidRPr="001F6A23">
        <w:rPr>
          <w:rFonts w:asciiTheme="minorHAnsi" w:hAnsiTheme="minorHAnsi"/>
          <w:b w:val="0"/>
          <w:sz w:val="22"/>
        </w:rPr>
        <w:t>spending</w:t>
      </w:r>
      <w:proofErr w:type="spellEnd"/>
      <w:r w:rsidRPr="001F6A23">
        <w:rPr>
          <w:rFonts w:asciiTheme="minorHAnsi" w:hAnsiTheme="minorHAnsi"/>
          <w:b w:val="0"/>
          <w:sz w:val="22"/>
        </w:rPr>
        <w:t>, by province</w:t>
      </w:r>
    </w:p>
    <w:p w14:paraId="54D693CC" w14:textId="77777777" w:rsidR="00133AEB" w:rsidRPr="00AE7BB9" w:rsidRDefault="00133AEB" w:rsidP="00FD68A2">
      <w:pPr>
        <w:spacing w:after="0" w:line="240" w:lineRule="auto"/>
        <w:rPr>
          <w:rStyle w:val="Heading3Char"/>
          <w:rFonts w:asciiTheme="minorHAnsi" w:hAnsiTheme="minorHAnsi"/>
        </w:rPr>
      </w:pPr>
      <w:r w:rsidRPr="00AE7BB9">
        <w:rPr>
          <w:rFonts w:asciiTheme="minorHAnsi" w:hAnsiTheme="minorHAnsi"/>
          <w:noProof/>
          <w:lang w:val="en-GB" w:eastAsia="en-GB"/>
        </w:rPr>
        <w:lastRenderedPageBreak/>
        <w:drawing>
          <wp:inline distT="0" distB="0" distL="0" distR="0" wp14:anchorId="61BA1A3F" wp14:editId="3B8DDA79">
            <wp:extent cx="5940000" cy="44616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r="4425"/>
                    <a:stretch/>
                  </pic:blipFill>
                  <pic:spPr bwMode="auto">
                    <a:xfrm>
                      <a:off x="0" y="0"/>
                      <a:ext cx="5940000" cy="4461600"/>
                    </a:xfrm>
                    <a:prstGeom prst="rect">
                      <a:avLst/>
                    </a:prstGeom>
                    <a:noFill/>
                    <a:ln>
                      <a:noFill/>
                    </a:ln>
                    <a:extLst>
                      <a:ext uri="{53640926-AAD7-44D8-BBD7-CCE9431645EC}">
                        <a14:shadowObscured xmlns:a14="http://schemas.microsoft.com/office/drawing/2010/main"/>
                      </a:ext>
                    </a:extLst>
                  </pic:spPr>
                </pic:pic>
              </a:graphicData>
            </a:graphic>
          </wp:inline>
        </w:drawing>
      </w:r>
    </w:p>
    <w:p w14:paraId="46F0D3FF" w14:textId="77777777" w:rsidR="00133AEB" w:rsidRPr="00FB271A" w:rsidRDefault="00133AEB" w:rsidP="001F6A23">
      <w:pPr>
        <w:pStyle w:val="Heading3"/>
        <w:spacing w:before="240" w:after="120" w:line="240" w:lineRule="auto"/>
        <w:rPr>
          <w:rStyle w:val="Heading3Char"/>
          <w:rFonts w:asciiTheme="minorHAnsi" w:hAnsiTheme="minorHAnsi"/>
          <w:b/>
        </w:rPr>
      </w:pPr>
      <w:r w:rsidRPr="001F6A23">
        <w:rPr>
          <w:rStyle w:val="Heading3Char"/>
          <w:rFonts w:asciiTheme="minorHAnsi" w:hAnsiTheme="minorHAnsi"/>
          <w:b/>
        </w:rPr>
        <w:t>Antenatal visits</w:t>
      </w:r>
    </w:p>
    <w:p w14:paraId="2001C424" w14:textId="77777777"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fldChar w:fldCharType="begin"/>
      </w:r>
      <w:r w:rsidRPr="00AE7BB9">
        <w:rPr>
          <w:rFonts w:asciiTheme="minorHAnsi" w:hAnsiTheme="minorHAnsi"/>
          <w:sz w:val="22"/>
        </w:rPr>
        <w:instrText xml:space="preserve"> REF _Ref478731526 \h  \* MERGEFORMAT </w:instrText>
      </w:r>
      <w:r w:rsidRPr="00AE7BB9">
        <w:rPr>
          <w:rFonts w:asciiTheme="minorHAnsi" w:hAnsiTheme="minorHAnsi"/>
          <w:sz w:val="22"/>
        </w:rPr>
      </w:r>
      <w:r w:rsidRPr="00AE7BB9">
        <w:rPr>
          <w:rFonts w:asciiTheme="minorHAnsi" w:hAnsiTheme="minorHAnsi"/>
          <w:sz w:val="22"/>
        </w:rPr>
        <w:fldChar w:fldCharType="separate"/>
      </w:r>
      <w:r w:rsidRPr="00AE7BB9">
        <w:rPr>
          <w:rFonts w:asciiTheme="minorHAnsi" w:hAnsiTheme="minorHAnsi"/>
          <w:sz w:val="22"/>
        </w:rPr>
        <w:t xml:space="preserve">Figure </w:t>
      </w:r>
      <w:r w:rsidRPr="00AE7BB9">
        <w:rPr>
          <w:rFonts w:asciiTheme="minorHAnsi" w:hAnsiTheme="minorHAnsi"/>
          <w:noProof/>
          <w:sz w:val="22"/>
        </w:rPr>
        <w:t>7</w:t>
      </w:r>
      <w:r w:rsidRPr="00AE7BB9">
        <w:rPr>
          <w:rFonts w:asciiTheme="minorHAnsi" w:hAnsiTheme="minorHAnsi"/>
          <w:sz w:val="22"/>
        </w:rPr>
        <w:fldChar w:fldCharType="end"/>
      </w:r>
      <w:r w:rsidRPr="00AE7BB9">
        <w:rPr>
          <w:rFonts w:asciiTheme="minorHAnsi" w:hAnsiTheme="minorHAnsi"/>
          <w:sz w:val="22"/>
        </w:rPr>
        <w:t xml:space="preserve"> displays the percentage of women in the province who receive</w:t>
      </w:r>
      <w:r>
        <w:rPr>
          <w:rFonts w:asciiTheme="minorHAnsi" w:hAnsiTheme="minorHAnsi"/>
          <w:sz w:val="22"/>
        </w:rPr>
        <w:t>d</w:t>
      </w:r>
      <w:r w:rsidRPr="00AE7BB9">
        <w:rPr>
          <w:rFonts w:asciiTheme="minorHAnsi" w:hAnsiTheme="minorHAnsi"/>
          <w:sz w:val="22"/>
        </w:rPr>
        <w:t xml:space="preserve"> the</w:t>
      </w:r>
      <w:r>
        <w:rPr>
          <w:rFonts w:asciiTheme="minorHAnsi" w:hAnsiTheme="minorHAnsi"/>
          <w:sz w:val="22"/>
        </w:rPr>
        <w:t>ir</w:t>
      </w:r>
      <w:r w:rsidRPr="00AE7BB9">
        <w:rPr>
          <w:rFonts w:asciiTheme="minorHAnsi" w:hAnsiTheme="minorHAnsi"/>
          <w:sz w:val="22"/>
        </w:rPr>
        <w:t xml:space="preserve"> </w:t>
      </w:r>
      <w:r>
        <w:rPr>
          <w:rFonts w:asciiTheme="minorHAnsi" w:hAnsiTheme="minorHAnsi"/>
          <w:sz w:val="22"/>
        </w:rPr>
        <w:t>fourth</w:t>
      </w:r>
      <w:r w:rsidRPr="00AE7BB9">
        <w:rPr>
          <w:rFonts w:asciiTheme="minorHAnsi" w:hAnsiTheme="minorHAnsi"/>
          <w:sz w:val="22"/>
        </w:rPr>
        <w:t xml:space="preserve"> antenatal visit on the vertical axis, and the proximity to services within a province on the horizontal axis. As with outpatient care, we might expect a negative relationship between utilisation and remoteness. However, the group of seven provinces that recorded higher percentages </w:t>
      </w:r>
      <w:r>
        <w:rPr>
          <w:rFonts w:asciiTheme="minorHAnsi" w:hAnsiTheme="minorHAnsi"/>
          <w:sz w:val="22"/>
        </w:rPr>
        <w:t xml:space="preserve">(40-50%) </w:t>
      </w:r>
      <w:r w:rsidRPr="00AE7BB9">
        <w:rPr>
          <w:rFonts w:asciiTheme="minorHAnsi" w:hAnsiTheme="minorHAnsi"/>
          <w:sz w:val="22"/>
        </w:rPr>
        <w:t xml:space="preserve">of women receiving the </w:t>
      </w:r>
      <w:r>
        <w:rPr>
          <w:rFonts w:asciiTheme="minorHAnsi" w:hAnsiTheme="minorHAnsi"/>
          <w:sz w:val="22"/>
        </w:rPr>
        <w:t>fourth</w:t>
      </w:r>
      <w:r w:rsidRPr="00AE7BB9">
        <w:rPr>
          <w:rFonts w:asciiTheme="minorHAnsi" w:hAnsiTheme="minorHAnsi"/>
          <w:sz w:val="22"/>
        </w:rPr>
        <w:t xml:space="preserve"> antenatal visit vary markedly in terms of proximity.  Better performance is spread across regions and provinces, with differing levels of proximity. None of the large </w:t>
      </w:r>
      <w:proofErr w:type="spellStart"/>
      <w:r w:rsidRPr="00AE7BB9">
        <w:rPr>
          <w:rFonts w:asciiTheme="minorHAnsi" w:hAnsiTheme="minorHAnsi"/>
          <w:sz w:val="22"/>
        </w:rPr>
        <w:t>Momase</w:t>
      </w:r>
      <w:proofErr w:type="spellEnd"/>
      <w:r w:rsidRPr="00AE7BB9">
        <w:rPr>
          <w:rFonts w:asciiTheme="minorHAnsi" w:hAnsiTheme="minorHAnsi"/>
          <w:sz w:val="22"/>
        </w:rPr>
        <w:t xml:space="preserve"> provinces are in the higher performing group. </w:t>
      </w:r>
      <w:r>
        <w:rPr>
          <w:rFonts w:asciiTheme="minorHAnsi" w:hAnsiTheme="minorHAnsi"/>
          <w:sz w:val="22"/>
        </w:rPr>
        <w:t xml:space="preserve"> As for outpatient visits, no clear relationship was found between ANC coverage and health expenditure.</w:t>
      </w:r>
    </w:p>
    <w:p w14:paraId="7ECE5F22" w14:textId="77777777" w:rsidR="00133AEB" w:rsidRPr="001F6A23" w:rsidRDefault="00133AEB" w:rsidP="00FD68A2">
      <w:pPr>
        <w:pStyle w:val="Caption"/>
        <w:rPr>
          <w:rFonts w:asciiTheme="minorHAnsi" w:hAnsiTheme="minorHAnsi"/>
          <w:b w:val="0"/>
          <w:sz w:val="22"/>
        </w:rPr>
      </w:pPr>
      <w:bookmarkStart w:id="8" w:name="_Ref478731526"/>
      <w:r w:rsidRPr="001F6A23">
        <w:rPr>
          <w:rFonts w:asciiTheme="minorHAnsi" w:hAnsiTheme="minorHAnsi"/>
          <w:b w:val="0"/>
          <w:sz w:val="22"/>
        </w:rPr>
        <w:t xml:space="preserve">Figure </w:t>
      </w:r>
      <w:r w:rsidRPr="001F6A23">
        <w:rPr>
          <w:rFonts w:asciiTheme="minorHAnsi" w:hAnsiTheme="minorHAnsi"/>
          <w:b w:val="0"/>
          <w:sz w:val="22"/>
        </w:rPr>
        <w:fldChar w:fldCharType="begin"/>
      </w:r>
      <w:r w:rsidRPr="001F6A23">
        <w:rPr>
          <w:rFonts w:asciiTheme="minorHAnsi" w:hAnsiTheme="minorHAnsi"/>
          <w:b w:val="0"/>
          <w:sz w:val="22"/>
        </w:rPr>
        <w:instrText xml:space="preserve"> SEQ Figure \* ARABIC </w:instrText>
      </w:r>
      <w:r w:rsidRPr="001F6A23">
        <w:rPr>
          <w:rFonts w:asciiTheme="minorHAnsi" w:hAnsiTheme="minorHAnsi"/>
          <w:b w:val="0"/>
          <w:sz w:val="22"/>
        </w:rPr>
        <w:fldChar w:fldCharType="separate"/>
      </w:r>
      <w:r w:rsidRPr="001F6A23">
        <w:rPr>
          <w:rFonts w:asciiTheme="minorHAnsi" w:hAnsiTheme="minorHAnsi"/>
          <w:b w:val="0"/>
          <w:sz w:val="22"/>
        </w:rPr>
        <w:t>7</w:t>
      </w:r>
      <w:r w:rsidRPr="001F6A23">
        <w:rPr>
          <w:rFonts w:asciiTheme="minorHAnsi" w:hAnsiTheme="minorHAnsi"/>
          <w:b w:val="0"/>
          <w:sz w:val="22"/>
        </w:rPr>
        <w:fldChar w:fldCharType="end"/>
      </w:r>
      <w:bookmarkEnd w:id="8"/>
      <w:r w:rsidRPr="001F6A23">
        <w:rPr>
          <w:rFonts w:asciiTheme="minorHAnsi" w:hAnsiTheme="minorHAnsi"/>
          <w:b w:val="0"/>
          <w:sz w:val="22"/>
        </w:rPr>
        <w:t xml:space="preserve">  4th </w:t>
      </w:r>
      <w:proofErr w:type="spellStart"/>
      <w:r w:rsidRPr="001F6A23">
        <w:rPr>
          <w:rFonts w:asciiTheme="minorHAnsi" w:hAnsiTheme="minorHAnsi"/>
          <w:b w:val="0"/>
          <w:sz w:val="22"/>
        </w:rPr>
        <w:t>antenatal</w:t>
      </w:r>
      <w:proofErr w:type="spellEnd"/>
      <w:r w:rsidRPr="001F6A23">
        <w:rPr>
          <w:rFonts w:asciiTheme="minorHAnsi" w:hAnsiTheme="minorHAnsi"/>
          <w:b w:val="0"/>
          <w:sz w:val="22"/>
        </w:rPr>
        <w:t xml:space="preserve"> </w:t>
      </w:r>
      <w:proofErr w:type="spellStart"/>
      <w:r w:rsidRPr="001F6A23">
        <w:rPr>
          <w:rFonts w:asciiTheme="minorHAnsi" w:hAnsiTheme="minorHAnsi"/>
          <w:b w:val="0"/>
          <w:sz w:val="22"/>
        </w:rPr>
        <w:t>visit</w:t>
      </w:r>
      <w:proofErr w:type="spellEnd"/>
      <w:r w:rsidRPr="001F6A23">
        <w:rPr>
          <w:rFonts w:asciiTheme="minorHAnsi" w:hAnsiTheme="minorHAnsi"/>
          <w:b w:val="0"/>
          <w:sz w:val="22"/>
        </w:rPr>
        <w:t xml:space="preserve"> and </w:t>
      </w:r>
      <w:proofErr w:type="spellStart"/>
      <w:r w:rsidRPr="001F6A23">
        <w:rPr>
          <w:rFonts w:asciiTheme="minorHAnsi" w:hAnsiTheme="minorHAnsi"/>
          <w:b w:val="0"/>
          <w:sz w:val="22"/>
        </w:rPr>
        <w:t>proximity</w:t>
      </w:r>
      <w:proofErr w:type="spellEnd"/>
      <w:r w:rsidRPr="001F6A23">
        <w:rPr>
          <w:rFonts w:asciiTheme="minorHAnsi" w:hAnsiTheme="minorHAnsi"/>
          <w:b w:val="0"/>
          <w:sz w:val="22"/>
        </w:rPr>
        <w:t>, by province</w:t>
      </w:r>
    </w:p>
    <w:p w14:paraId="4E24952F" w14:textId="77777777" w:rsidR="00133AEB" w:rsidRPr="00AE7BB9" w:rsidRDefault="00133AEB" w:rsidP="00FD68A2">
      <w:pPr>
        <w:spacing w:after="0" w:line="240" w:lineRule="auto"/>
        <w:rPr>
          <w:rFonts w:asciiTheme="minorHAnsi" w:hAnsiTheme="minorHAnsi"/>
        </w:rPr>
      </w:pPr>
      <w:r w:rsidRPr="00AE7BB9">
        <w:rPr>
          <w:rFonts w:asciiTheme="minorHAnsi" w:hAnsiTheme="minorHAnsi"/>
          <w:noProof/>
          <w:lang w:val="en-GB" w:eastAsia="en-GB"/>
        </w:rPr>
        <w:lastRenderedPageBreak/>
        <w:drawing>
          <wp:inline distT="0" distB="0" distL="0" distR="0" wp14:anchorId="4C0329E6" wp14:editId="306B4382">
            <wp:extent cx="5951220" cy="522062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48" r="5053"/>
                    <a:stretch/>
                  </pic:blipFill>
                  <pic:spPr bwMode="auto">
                    <a:xfrm>
                      <a:off x="0" y="0"/>
                      <a:ext cx="5951220" cy="5220628"/>
                    </a:xfrm>
                    <a:prstGeom prst="rect">
                      <a:avLst/>
                    </a:prstGeom>
                    <a:noFill/>
                    <a:ln>
                      <a:noFill/>
                    </a:ln>
                    <a:extLst>
                      <a:ext uri="{53640926-AAD7-44D8-BBD7-CCE9431645EC}">
                        <a14:shadowObscured xmlns:a14="http://schemas.microsoft.com/office/drawing/2010/main"/>
                      </a:ext>
                    </a:extLst>
                  </pic:spPr>
                </pic:pic>
              </a:graphicData>
            </a:graphic>
          </wp:inline>
        </w:drawing>
      </w:r>
    </w:p>
    <w:p w14:paraId="6C7C1366" w14:textId="77777777" w:rsidR="00133AEB" w:rsidRPr="001F6A23" w:rsidRDefault="00133AEB" w:rsidP="001F6A23">
      <w:pPr>
        <w:spacing w:after="0" w:line="240" w:lineRule="auto"/>
        <w:rPr>
          <w:rFonts w:asciiTheme="minorHAnsi" w:hAnsiTheme="minorHAnsi"/>
          <w:sz w:val="22"/>
        </w:rPr>
      </w:pPr>
    </w:p>
    <w:p w14:paraId="6F011C66" w14:textId="14D79FB7"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t xml:space="preserve">Discussions with provinces that achieved better results emphasized the priority the province placed on </w:t>
      </w:r>
      <w:r>
        <w:rPr>
          <w:rFonts w:asciiTheme="minorHAnsi" w:hAnsiTheme="minorHAnsi"/>
          <w:sz w:val="22"/>
        </w:rPr>
        <w:t>maternal and child health</w:t>
      </w:r>
      <w:r w:rsidRPr="00AE7BB9">
        <w:rPr>
          <w:rFonts w:asciiTheme="minorHAnsi" w:hAnsiTheme="minorHAnsi"/>
          <w:sz w:val="22"/>
        </w:rPr>
        <w:t xml:space="preserve">. East New Britain promotes attendance through radio advertisements and, </w:t>
      </w:r>
      <w:proofErr w:type="gramStart"/>
      <w:r w:rsidRPr="00AE7BB9">
        <w:rPr>
          <w:rFonts w:asciiTheme="minorHAnsi" w:hAnsiTheme="minorHAnsi"/>
          <w:sz w:val="22"/>
        </w:rPr>
        <w:t>similar to</w:t>
      </w:r>
      <w:proofErr w:type="gramEnd"/>
      <w:r w:rsidRPr="00AE7BB9">
        <w:rPr>
          <w:rFonts w:asciiTheme="minorHAnsi" w:hAnsiTheme="minorHAnsi"/>
          <w:sz w:val="22"/>
        </w:rPr>
        <w:t xml:space="preserve"> the Eastern Highlands and Milne Bay, runs outreach programs that include extension patrols and school visits. Eastern Highlands Province stressed the important role the village birth attendant plays in encouraging women to attend antenatal care.  Milne </w:t>
      </w:r>
      <w:r>
        <w:rPr>
          <w:rFonts w:asciiTheme="minorHAnsi" w:hAnsiTheme="minorHAnsi"/>
          <w:sz w:val="22"/>
        </w:rPr>
        <w:t xml:space="preserve">Bay Province values the use of </w:t>
      </w:r>
      <w:r w:rsidRPr="00AE7BB9">
        <w:rPr>
          <w:rFonts w:asciiTheme="minorHAnsi" w:hAnsiTheme="minorHAnsi"/>
          <w:sz w:val="22"/>
        </w:rPr>
        <w:t xml:space="preserve">waiting houses where women find care and can stay before and after labour. Waiting houses are at most health centres in the province, and provide women with basic personal needs. After the birth, women are given a ‘baby bundle’ of gifts.  NHIS and PEPE </w:t>
      </w:r>
      <w:r>
        <w:rPr>
          <w:rFonts w:asciiTheme="minorHAnsi" w:hAnsiTheme="minorHAnsi"/>
          <w:sz w:val="22"/>
        </w:rPr>
        <w:fldChar w:fldCharType="begin"/>
      </w:r>
      <w:r>
        <w:rPr>
          <w:rFonts w:asciiTheme="minorHAnsi" w:hAnsiTheme="minorHAnsi"/>
          <w:sz w:val="22"/>
        </w:rPr>
        <w:instrText xml:space="preserve"> ADDIN EN.CITE &lt;EndNote&gt;&lt;Cite&gt;&lt;Author&gt;Howes&lt;/Author&gt;&lt;Year&gt;2014&lt;/Year&gt;&lt;RecNum&gt;0&lt;/RecNum&gt;&lt;IDText&gt;The PNG Promoting Effective Public Expenditure Project: A lost decade? Service delivery and reforms in Papua New Guinea 2002-2012&lt;/IDText&gt;&lt;DisplayText&gt;(Howes, Mako et al. 2014)&lt;/DisplayText&gt;&lt;record&gt;&lt;ref-type name="Electronic Article"&gt;43&lt;/ref-type&gt;&lt;contributors&gt;&lt;authors&gt;&lt;author&gt;Howes, Stephen&lt;/author&gt;&lt;author&gt;Mako, Andrew Anton&lt;/author&gt;&lt;author&gt;Swan, Anthony&lt;/author&gt;&lt;author&gt;Walton, Grant&lt;/author&gt;&lt;author&gt;Webster, Thomas&lt;/author&gt;&lt;author&gt;Wiltshire, Colin&lt;/author&gt;&lt;/authors&gt;&lt;/contributors&gt;&lt;titles&gt;&lt;title&gt;The PNG Promoting Effective Public Expenditure Project: A lost decade? Service delivery and reforms in Papua New Guinea 2002-2012&lt;/title&gt;&lt;secondary-title&gt;Australian National University&lt;/secondary-title&gt;&lt;/titles&gt;&lt;dates&gt;&lt;year&gt;2014&lt;/year&gt;&lt;pub-dates&gt;&lt;date&gt;October&lt;/date&gt;&lt;/pub-dates&gt;&lt;/dates&gt;&lt;urls&gt;&lt;related-urls&gt;&lt;url&gt;https://devpolicy.crawford.anu.edu.au/png-budget-project&lt;/url&gt;&lt;/related-urls&gt;&lt;/urls&gt;&lt;/record&gt;&lt;/Cite&gt;&lt;/EndNote&gt;</w:instrText>
      </w:r>
      <w:r>
        <w:rPr>
          <w:rFonts w:asciiTheme="minorHAnsi" w:hAnsiTheme="minorHAnsi"/>
          <w:sz w:val="22"/>
        </w:rPr>
        <w:fldChar w:fldCharType="separate"/>
      </w:r>
      <w:r>
        <w:rPr>
          <w:rFonts w:asciiTheme="minorHAnsi" w:hAnsiTheme="minorHAnsi"/>
          <w:noProof/>
          <w:sz w:val="22"/>
        </w:rPr>
        <w:t>(Howes, Mako et al. 2014)</w:t>
      </w:r>
      <w:r>
        <w:rPr>
          <w:rFonts w:asciiTheme="minorHAnsi" w:hAnsiTheme="minorHAnsi"/>
          <w:sz w:val="22"/>
        </w:rPr>
        <w:fldChar w:fldCharType="end"/>
      </w:r>
      <w:r w:rsidRPr="00AE7BB9">
        <w:rPr>
          <w:rFonts w:asciiTheme="minorHAnsi" w:hAnsiTheme="minorHAnsi"/>
          <w:sz w:val="22"/>
        </w:rPr>
        <w:t xml:space="preserve"> data also indicates that women are more likely to access antenatal care in facilities with toilets. This affirms the importance of sanitation and hygiene, particularly for women.</w:t>
      </w:r>
    </w:p>
    <w:p w14:paraId="18AB6813" w14:textId="77777777" w:rsidR="00133AEB" w:rsidRPr="00AE7BB9" w:rsidRDefault="00133AEB" w:rsidP="001F6A23">
      <w:pPr>
        <w:pStyle w:val="Heading3"/>
        <w:spacing w:before="240" w:after="120" w:line="240" w:lineRule="auto"/>
        <w:rPr>
          <w:rFonts w:asciiTheme="minorHAnsi" w:hAnsiTheme="minorHAnsi"/>
        </w:rPr>
      </w:pPr>
      <w:r w:rsidRPr="00AE7BB9">
        <w:rPr>
          <w:rFonts w:asciiTheme="minorHAnsi" w:hAnsiTheme="minorHAnsi"/>
        </w:rPr>
        <w:t>Outreach clinics</w:t>
      </w:r>
    </w:p>
    <w:p w14:paraId="02C44D7D" w14:textId="77777777"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fldChar w:fldCharType="begin"/>
      </w:r>
      <w:r w:rsidRPr="00AE7BB9">
        <w:rPr>
          <w:rFonts w:asciiTheme="minorHAnsi" w:hAnsiTheme="minorHAnsi"/>
          <w:sz w:val="22"/>
        </w:rPr>
        <w:instrText xml:space="preserve"> REF _Ref478735060 \h  \* MERGEFORMAT </w:instrText>
      </w:r>
      <w:r w:rsidRPr="00AE7BB9">
        <w:rPr>
          <w:rFonts w:asciiTheme="minorHAnsi" w:hAnsiTheme="minorHAnsi"/>
          <w:sz w:val="22"/>
        </w:rPr>
      </w:r>
      <w:r w:rsidRPr="00AE7BB9">
        <w:rPr>
          <w:rFonts w:asciiTheme="minorHAnsi" w:hAnsiTheme="minorHAnsi"/>
          <w:sz w:val="22"/>
        </w:rPr>
        <w:fldChar w:fldCharType="separate"/>
      </w:r>
      <w:r w:rsidRPr="00AE7BB9">
        <w:rPr>
          <w:rFonts w:asciiTheme="minorHAnsi" w:hAnsiTheme="minorHAnsi"/>
          <w:sz w:val="22"/>
        </w:rPr>
        <w:t xml:space="preserve">Figure </w:t>
      </w:r>
      <w:r w:rsidRPr="00AE7BB9">
        <w:rPr>
          <w:rFonts w:asciiTheme="minorHAnsi" w:hAnsiTheme="minorHAnsi"/>
          <w:noProof/>
          <w:sz w:val="22"/>
        </w:rPr>
        <w:t>8</w:t>
      </w:r>
      <w:r w:rsidRPr="00AE7BB9">
        <w:rPr>
          <w:rFonts w:asciiTheme="minorHAnsi" w:hAnsiTheme="minorHAnsi"/>
          <w:sz w:val="22"/>
        </w:rPr>
        <w:fldChar w:fldCharType="end"/>
      </w:r>
      <w:r w:rsidRPr="00AE7BB9">
        <w:rPr>
          <w:rFonts w:asciiTheme="minorHAnsi" w:hAnsiTheme="minorHAnsi"/>
          <w:sz w:val="22"/>
        </w:rPr>
        <w:t xml:space="preserve"> displays the number of outreach clinics per 1,000 people performed each year by health centres within a province on the vertical axis, and the proximity to services within a province on the horizontal axis.  A positive correlation might be expected, in terms of population need in more remote areas.</w:t>
      </w:r>
    </w:p>
    <w:p w14:paraId="3FDD6ACF" w14:textId="77777777" w:rsidR="00133AEB" w:rsidRPr="00AE7BB9" w:rsidRDefault="00133AEB" w:rsidP="001F6A23">
      <w:pPr>
        <w:spacing w:after="0" w:line="240" w:lineRule="auto"/>
        <w:rPr>
          <w:rFonts w:asciiTheme="minorHAnsi" w:hAnsiTheme="minorHAnsi"/>
          <w:sz w:val="22"/>
        </w:rPr>
      </w:pPr>
    </w:p>
    <w:p w14:paraId="2C575C19" w14:textId="77777777"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lastRenderedPageBreak/>
        <w:t>Some patterns can be observed, with the larger provinces all conducting lower numbers of outreach clinics (between 1 and 4 outreach clinics per 1,000 people</w:t>
      </w:r>
      <w:r>
        <w:rPr>
          <w:rFonts w:asciiTheme="minorHAnsi" w:hAnsiTheme="minorHAnsi"/>
          <w:sz w:val="22"/>
        </w:rPr>
        <w:t>)</w:t>
      </w:r>
      <w:r w:rsidRPr="00AE7BB9">
        <w:rPr>
          <w:rFonts w:asciiTheme="minorHAnsi" w:hAnsiTheme="minorHAnsi"/>
          <w:sz w:val="22"/>
        </w:rPr>
        <w:t xml:space="preserve">. This may relate to the relative proximity of their communities, and higher population density, meaning that extension activities are less required. However, </w:t>
      </w:r>
      <w:r>
        <w:rPr>
          <w:rFonts w:asciiTheme="minorHAnsi" w:hAnsiTheme="minorHAnsi"/>
          <w:sz w:val="22"/>
        </w:rPr>
        <w:t xml:space="preserve">there are outliers. </w:t>
      </w:r>
      <w:proofErr w:type="spellStart"/>
      <w:r w:rsidRPr="00AE7BB9">
        <w:rPr>
          <w:rFonts w:asciiTheme="minorHAnsi" w:hAnsiTheme="minorHAnsi"/>
          <w:sz w:val="22"/>
        </w:rPr>
        <w:t>Simbu</w:t>
      </w:r>
      <w:proofErr w:type="spellEnd"/>
      <w:r w:rsidRPr="00AE7BB9">
        <w:rPr>
          <w:rFonts w:asciiTheme="minorHAnsi" w:hAnsiTheme="minorHAnsi"/>
          <w:sz w:val="22"/>
        </w:rPr>
        <w:t xml:space="preserve"> Province,</w:t>
      </w:r>
      <w:r>
        <w:rPr>
          <w:rFonts w:asciiTheme="minorHAnsi" w:hAnsiTheme="minorHAnsi"/>
          <w:sz w:val="22"/>
        </w:rPr>
        <w:t xml:space="preserve"> also from the H</w:t>
      </w:r>
      <w:r w:rsidRPr="00AE7BB9">
        <w:rPr>
          <w:rFonts w:asciiTheme="minorHAnsi" w:hAnsiTheme="minorHAnsi"/>
          <w:sz w:val="22"/>
        </w:rPr>
        <w:t xml:space="preserve">ighlands region, reported more than ten outreach clinics per 1,000 people in 2012. It is also clear that there is a group of three provinces with remote communities and a high proximity challenge, which would be expected to be carrying out more outreach but which are reporting low numbers of outreach patrols.  In contrast, four provinces with significant remote communities and a high proximity challenge did conduct higher numbers of outreach clinics.  Manus, Milne Bay, New Ireland and West New Britain recorded between 9 and 17 outreach clinics per 1,000 people. </w:t>
      </w:r>
    </w:p>
    <w:p w14:paraId="2E74EDD8" w14:textId="77777777" w:rsidR="00133AEB" w:rsidRPr="00AE7BB9" w:rsidRDefault="00133AEB" w:rsidP="001F6A23">
      <w:pPr>
        <w:spacing w:after="0" w:line="240" w:lineRule="auto"/>
        <w:rPr>
          <w:rFonts w:asciiTheme="minorHAnsi" w:hAnsiTheme="minorHAnsi"/>
          <w:sz w:val="20"/>
          <w:szCs w:val="20"/>
        </w:rPr>
      </w:pPr>
    </w:p>
    <w:p w14:paraId="56D54B3D" w14:textId="77777777" w:rsidR="00133AEB" w:rsidRPr="001F6A23" w:rsidRDefault="00133AEB" w:rsidP="00FD68A2">
      <w:pPr>
        <w:pStyle w:val="Caption"/>
        <w:rPr>
          <w:rFonts w:asciiTheme="minorHAnsi" w:hAnsiTheme="minorHAnsi"/>
          <w:b w:val="0"/>
          <w:sz w:val="22"/>
        </w:rPr>
      </w:pPr>
      <w:bookmarkStart w:id="9" w:name="_Ref478735060"/>
      <w:r w:rsidRPr="001F6A23">
        <w:rPr>
          <w:rFonts w:asciiTheme="minorHAnsi" w:hAnsiTheme="minorHAnsi"/>
          <w:b w:val="0"/>
          <w:sz w:val="22"/>
        </w:rPr>
        <w:t xml:space="preserve">Figure </w:t>
      </w:r>
      <w:r w:rsidRPr="001F6A23">
        <w:rPr>
          <w:rFonts w:asciiTheme="minorHAnsi" w:hAnsiTheme="minorHAnsi"/>
          <w:b w:val="0"/>
          <w:sz w:val="22"/>
        </w:rPr>
        <w:fldChar w:fldCharType="begin"/>
      </w:r>
      <w:r w:rsidRPr="001F6A23">
        <w:rPr>
          <w:rFonts w:asciiTheme="minorHAnsi" w:hAnsiTheme="minorHAnsi"/>
          <w:b w:val="0"/>
          <w:sz w:val="22"/>
        </w:rPr>
        <w:instrText xml:space="preserve"> SEQ Figure \* ARABIC </w:instrText>
      </w:r>
      <w:r w:rsidRPr="001F6A23">
        <w:rPr>
          <w:rFonts w:asciiTheme="minorHAnsi" w:hAnsiTheme="minorHAnsi"/>
          <w:b w:val="0"/>
          <w:sz w:val="22"/>
        </w:rPr>
        <w:fldChar w:fldCharType="separate"/>
      </w:r>
      <w:r w:rsidRPr="001F6A23">
        <w:rPr>
          <w:rFonts w:asciiTheme="minorHAnsi" w:hAnsiTheme="minorHAnsi"/>
          <w:b w:val="0"/>
          <w:sz w:val="22"/>
        </w:rPr>
        <w:t>8</w:t>
      </w:r>
      <w:r w:rsidRPr="001F6A23">
        <w:rPr>
          <w:rFonts w:asciiTheme="minorHAnsi" w:hAnsiTheme="minorHAnsi"/>
          <w:b w:val="0"/>
          <w:sz w:val="22"/>
        </w:rPr>
        <w:fldChar w:fldCharType="end"/>
      </w:r>
      <w:bookmarkEnd w:id="9"/>
      <w:r w:rsidRPr="001F6A23">
        <w:rPr>
          <w:rFonts w:asciiTheme="minorHAnsi" w:hAnsiTheme="minorHAnsi"/>
          <w:b w:val="0"/>
          <w:sz w:val="22"/>
        </w:rPr>
        <w:t xml:space="preserve">  Health centre extension </w:t>
      </w:r>
      <w:proofErr w:type="spellStart"/>
      <w:r w:rsidRPr="001F6A23">
        <w:rPr>
          <w:rFonts w:asciiTheme="minorHAnsi" w:hAnsiTheme="minorHAnsi"/>
          <w:b w:val="0"/>
          <w:sz w:val="22"/>
        </w:rPr>
        <w:t>work</w:t>
      </w:r>
      <w:proofErr w:type="spellEnd"/>
      <w:r w:rsidRPr="001F6A23">
        <w:rPr>
          <w:rFonts w:asciiTheme="minorHAnsi" w:hAnsiTheme="minorHAnsi"/>
          <w:b w:val="0"/>
          <w:sz w:val="22"/>
        </w:rPr>
        <w:t xml:space="preserve"> and </w:t>
      </w:r>
      <w:proofErr w:type="spellStart"/>
      <w:r w:rsidRPr="001F6A23">
        <w:rPr>
          <w:rFonts w:asciiTheme="minorHAnsi" w:hAnsiTheme="minorHAnsi"/>
          <w:b w:val="0"/>
          <w:sz w:val="22"/>
        </w:rPr>
        <w:t>proximity</w:t>
      </w:r>
      <w:proofErr w:type="spellEnd"/>
      <w:r w:rsidRPr="001F6A23">
        <w:rPr>
          <w:rFonts w:asciiTheme="minorHAnsi" w:hAnsiTheme="minorHAnsi"/>
          <w:b w:val="0"/>
          <w:sz w:val="22"/>
        </w:rPr>
        <w:t>, by province</w:t>
      </w:r>
    </w:p>
    <w:p w14:paraId="4FB43FD9" w14:textId="77777777" w:rsidR="00133AEB" w:rsidRPr="00AE7BB9" w:rsidRDefault="00133AEB" w:rsidP="001F6A23">
      <w:pPr>
        <w:spacing w:after="0" w:line="240" w:lineRule="auto"/>
        <w:rPr>
          <w:rFonts w:asciiTheme="minorHAnsi" w:hAnsiTheme="minorHAnsi" w:cs="Arial"/>
          <w:b/>
        </w:rPr>
      </w:pPr>
      <w:r w:rsidRPr="001F6A23">
        <w:rPr>
          <w:rFonts w:asciiTheme="minorHAnsi" w:hAnsiTheme="minorHAnsi"/>
          <w:noProof/>
          <w:lang w:val="en-GB"/>
        </w:rPr>
        <w:drawing>
          <wp:inline distT="0" distB="0" distL="0" distR="0" wp14:anchorId="1E099BBC" wp14:editId="71A8360A">
            <wp:extent cx="6107089" cy="3804285"/>
            <wp:effectExtent l="0" t="0" r="825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r="4662"/>
                    <a:stretch/>
                  </pic:blipFill>
                  <pic:spPr bwMode="auto">
                    <a:xfrm>
                      <a:off x="0" y="0"/>
                      <a:ext cx="6109854" cy="3806007"/>
                    </a:xfrm>
                    <a:prstGeom prst="rect">
                      <a:avLst/>
                    </a:prstGeom>
                    <a:noFill/>
                    <a:ln>
                      <a:noFill/>
                    </a:ln>
                    <a:extLst>
                      <a:ext uri="{53640926-AAD7-44D8-BBD7-CCE9431645EC}">
                        <a14:shadowObscured xmlns:a14="http://schemas.microsoft.com/office/drawing/2010/main"/>
                      </a:ext>
                    </a:extLst>
                  </pic:spPr>
                </pic:pic>
              </a:graphicData>
            </a:graphic>
          </wp:inline>
        </w:drawing>
      </w:r>
    </w:p>
    <w:p w14:paraId="510235C2" w14:textId="77777777" w:rsidR="00133AEB" w:rsidRPr="00AE7BB9" w:rsidRDefault="00133AEB" w:rsidP="001F6A23">
      <w:pPr>
        <w:spacing w:after="0" w:line="240" w:lineRule="auto"/>
        <w:rPr>
          <w:rFonts w:asciiTheme="minorHAnsi" w:hAnsiTheme="minorHAnsi" w:cs="Arial"/>
          <w:b/>
        </w:rPr>
      </w:pPr>
    </w:p>
    <w:p w14:paraId="5CD529B8" w14:textId="77777777"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fldChar w:fldCharType="begin"/>
      </w:r>
      <w:r w:rsidRPr="00AE7BB9">
        <w:rPr>
          <w:rFonts w:asciiTheme="minorHAnsi" w:hAnsiTheme="minorHAnsi"/>
          <w:sz w:val="22"/>
        </w:rPr>
        <w:instrText xml:space="preserve"> REF _Ref478735582 \h  \* MERGEFORMAT </w:instrText>
      </w:r>
      <w:r w:rsidRPr="00AE7BB9">
        <w:rPr>
          <w:rFonts w:asciiTheme="minorHAnsi" w:hAnsiTheme="minorHAnsi"/>
          <w:sz w:val="22"/>
        </w:rPr>
      </w:r>
      <w:r w:rsidRPr="00AE7BB9">
        <w:rPr>
          <w:rFonts w:asciiTheme="minorHAnsi" w:hAnsiTheme="minorHAnsi"/>
          <w:sz w:val="22"/>
        </w:rPr>
        <w:fldChar w:fldCharType="separate"/>
      </w:r>
      <w:r w:rsidRPr="00AE7BB9">
        <w:rPr>
          <w:rFonts w:asciiTheme="minorHAnsi" w:hAnsiTheme="minorHAnsi"/>
          <w:sz w:val="22"/>
        </w:rPr>
        <w:t xml:space="preserve">Figure </w:t>
      </w:r>
      <w:r w:rsidRPr="00AE7BB9">
        <w:rPr>
          <w:rFonts w:asciiTheme="minorHAnsi" w:hAnsiTheme="minorHAnsi"/>
          <w:noProof/>
          <w:sz w:val="22"/>
        </w:rPr>
        <w:t>9</w:t>
      </w:r>
      <w:r w:rsidRPr="00AE7BB9">
        <w:rPr>
          <w:rFonts w:asciiTheme="minorHAnsi" w:hAnsiTheme="minorHAnsi"/>
          <w:sz w:val="22"/>
        </w:rPr>
        <w:fldChar w:fldCharType="end"/>
      </w:r>
      <w:r w:rsidRPr="00AE7BB9">
        <w:rPr>
          <w:rFonts w:asciiTheme="minorHAnsi" w:hAnsiTheme="minorHAnsi"/>
          <w:sz w:val="22"/>
        </w:rPr>
        <w:t xml:space="preserve"> displays the number of outreach clinics per 1,000 people performed each year by health centres within a province on the vertical axis, and the spending on outreach within a province on the horizontal axis. A starting hypothesis might be that spending should be positively correlated with outreach clinics. However, there is no evidence of this. Indeed, the numbers of outreach clinics recorded in the NHIS data for many provinces is low. This is concerning given the important role this activity ought to play in delivering health care to a largely rural population.  Some provincial officials cited innovations to increase access, though these were not necessarily in provinces with greatest access challenges. For example, in West Highlands </w:t>
      </w:r>
      <w:proofErr w:type="gramStart"/>
      <w:r>
        <w:rPr>
          <w:rFonts w:asciiTheme="minorHAnsi" w:hAnsiTheme="minorHAnsi"/>
          <w:sz w:val="22"/>
        </w:rPr>
        <w:t>a number of</w:t>
      </w:r>
      <w:proofErr w:type="gramEnd"/>
      <w:r>
        <w:rPr>
          <w:rFonts w:asciiTheme="minorHAnsi" w:hAnsiTheme="minorHAnsi"/>
          <w:sz w:val="22"/>
        </w:rPr>
        <w:t xml:space="preserve"> mobile ambulances</w:t>
      </w:r>
      <w:r w:rsidRPr="00AE7BB9">
        <w:rPr>
          <w:rFonts w:asciiTheme="minorHAnsi" w:hAnsiTheme="minorHAnsi"/>
          <w:sz w:val="22"/>
        </w:rPr>
        <w:t xml:space="preserve"> operated by permanent staff are being introduced as an initiative to take health care to local communities.</w:t>
      </w:r>
    </w:p>
    <w:p w14:paraId="78AE544D" w14:textId="77777777" w:rsidR="00133AEB" w:rsidRPr="00AE7BB9" w:rsidRDefault="00133AEB" w:rsidP="001F6A23">
      <w:pPr>
        <w:spacing w:after="0" w:line="240" w:lineRule="auto"/>
        <w:rPr>
          <w:rFonts w:asciiTheme="minorHAnsi" w:hAnsiTheme="minorHAnsi"/>
        </w:rPr>
      </w:pPr>
    </w:p>
    <w:p w14:paraId="52E513B8" w14:textId="77777777" w:rsidR="00133AEB" w:rsidRPr="001F6A23" w:rsidRDefault="00133AEB" w:rsidP="00FD68A2">
      <w:pPr>
        <w:pStyle w:val="Caption"/>
        <w:rPr>
          <w:rFonts w:asciiTheme="minorHAnsi" w:hAnsiTheme="minorHAnsi"/>
          <w:b w:val="0"/>
          <w:sz w:val="22"/>
        </w:rPr>
      </w:pPr>
      <w:bookmarkStart w:id="10" w:name="_Ref478735582"/>
      <w:r w:rsidRPr="001F6A23">
        <w:rPr>
          <w:rFonts w:asciiTheme="minorHAnsi" w:hAnsiTheme="minorHAnsi"/>
          <w:b w:val="0"/>
          <w:sz w:val="22"/>
        </w:rPr>
        <w:t xml:space="preserve">Figure </w:t>
      </w:r>
      <w:r w:rsidRPr="001F6A23">
        <w:rPr>
          <w:rFonts w:asciiTheme="minorHAnsi" w:hAnsiTheme="minorHAnsi"/>
          <w:b w:val="0"/>
          <w:sz w:val="22"/>
        </w:rPr>
        <w:fldChar w:fldCharType="begin"/>
      </w:r>
      <w:r w:rsidRPr="001F6A23">
        <w:rPr>
          <w:rFonts w:asciiTheme="minorHAnsi" w:hAnsiTheme="minorHAnsi"/>
          <w:b w:val="0"/>
          <w:sz w:val="22"/>
        </w:rPr>
        <w:instrText xml:space="preserve"> SEQ Figure \* ARABIC </w:instrText>
      </w:r>
      <w:r w:rsidRPr="001F6A23">
        <w:rPr>
          <w:rFonts w:asciiTheme="minorHAnsi" w:hAnsiTheme="minorHAnsi"/>
          <w:b w:val="0"/>
          <w:sz w:val="22"/>
        </w:rPr>
        <w:fldChar w:fldCharType="separate"/>
      </w:r>
      <w:r w:rsidRPr="001F6A23">
        <w:rPr>
          <w:rFonts w:asciiTheme="minorHAnsi" w:hAnsiTheme="minorHAnsi"/>
          <w:b w:val="0"/>
          <w:sz w:val="22"/>
        </w:rPr>
        <w:t>9</w:t>
      </w:r>
      <w:r w:rsidRPr="001F6A23">
        <w:rPr>
          <w:rFonts w:asciiTheme="minorHAnsi" w:hAnsiTheme="minorHAnsi"/>
          <w:b w:val="0"/>
          <w:sz w:val="22"/>
        </w:rPr>
        <w:fldChar w:fldCharType="end"/>
      </w:r>
      <w:bookmarkEnd w:id="10"/>
      <w:r w:rsidRPr="001F6A23">
        <w:rPr>
          <w:rFonts w:asciiTheme="minorHAnsi" w:hAnsiTheme="minorHAnsi"/>
          <w:b w:val="0"/>
          <w:sz w:val="22"/>
        </w:rPr>
        <w:t xml:space="preserve">  Health centre extension </w:t>
      </w:r>
      <w:proofErr w:type="spellStart"/>
      <w:r w:rsidRPr="001F6A23">
        <w:rPr>
          <w:rFonts w:asciiTheme="minorHAnsi" w:hAnsiTheme="minorHAnsi"/>
          <w:b w:val="0"/>
          <w:sz w:val="22"/>
        </w:rPr>
        <w:t>work</w:t>
      </w:r>
      <w:proofErr w:type="spellEnd"/>
      <w:r w:rsidRPr="001F6A23">
        <w:rPr>
          <w:rFonts w:asciiTheme="minorHAnsi" w:hAnsiTheme="minorHAnsi"/>
          <w:b w:val="0"/>
          <w:sz w:val="22"/>
        </w:rPr>
        <w:t xml:space="preserve"> and </w:t>
      </w:r>
      <w:proofErr w:type="spellStart"/>
      <w:r w:rsidRPr="001F6A23">
        <w:rPr>
          <w:rFonts w:asciiTheme="minorHAnsi" w:hAnsiTheme="minorHAnsi"/>
          <w:b w:val="0"/>
          <w:sz w:val="22"/>
        </w:rPr>
        <w:t>spending</w:t>
      </w:r>
      <w:proofErr w:type="spellEnd"/>
      <w:r w:rsidRPr="001F6A23">
        <w:rPr>
          <w:rFonts w:asciiTheme="minorHAnsi" w:hAnsiTheme="minorHAnsi"/>
          <w:b w:val="0"/>
          <w:sz w:val="22"/>
        </w:rPr>
        <w:t>, by province</w:t>
      </w:r>
    </w:p>
    <w:p w14:paraId="39325C86" w14:textId="77777777" w:rsidR="00133AEB" w:rsidRPr="00AE7BB9" w:rsidRDefault="00133AEB" w:rsidP="00FD68A2">
      <w:pPr>
        <w:tabs>
          <w:tab w:val="left" w:pos="3240"/>
        </w:tabs>
        <w:spacing w:after="0" w:line="240" w:lineRule="auto"/>
        <w:rPr>
          <w:rFonts w:asciiTheme="minorHAnsi" w:hAnsiTheme="minorHAnsi"/>
        </w:rPr>
      </w:pPr>
      <w:r w:rsidRPr="00AE7BB9">
        <w:rPr>
          <w:rFonts w:asciiTheme="minorHAnsi" w:hAnsiTheme="minorHAnsi"/>
          <w:noProof/>
          <w:lang w:val="en-GB" w:eastAsia="en-GB"/>
        </w:rPr>
        <w:lastRenderedPageBreak/>
        <w:drawing>
          <wp:inline distT="0" distB="0" distL="0" distR="0" wp14:anchorId="5D2E070E" wp14:editId="49D193CE">
            <wp:extent cx="5940000" cy="4532286"/>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r="4405"/>
                    <a:stretch/>
                  </pic:blipFill>
                  <pic:spPr bwMode="auto">
                    <a:xfrm>
                      <a:off x="0" y="0"/>
                      <a:ext cx="5940000" cy="4532286"/>
                    </a:xfrm>
                    <a:prstGeom prst="rect">
                      <a:avLst/>
                    </a:prstGeom>
                    <a:noFill/>
                    <a:ln>
                      <a:noFill/>
                    </a:ln>
                    <a:extLst>
                      <a:ext uri="{53640926-AAD7-44D8-BBD7-CCE9431645EC}">
                        <a14:shadowObscured xmlns:a14="http://schemas.microsoft.com/office/drawing/2010/main"/>
                      </a:ext>
                    </a:extLst>
                  </pic:spPr>
                </pic:pic>
              </a:graphicData>
            </a:graphic>
          </wp:inline>
        </w:drawing>
      </w:r>
    </w:p>
    <w:p w14:paraId="5C1462FC" w14:textId="77777777" w:rsidR="00133AEB" w:rsidRDefault="00133AEB" w:rsidP="00FD68A2">
      <w:pPr>
        <w:spacing w:after="0" w:line="240" w:lineRule="auto"/>
        <w:jc w:val="left"/>
        <w:rPr>
          <w:rFonts w:eastAsia="Times New Roman"/>
          <w:lang w:val="en-NZ"/>
        </w:rPr>
      </w:pPr>
    </w:p>
    <w:p w14:paraId="15264361" w14:textId="7E59DFB9" w:rsidR="00133AEB" w:rsidRPr="00E12DD7" w:rsidRDefault="00133AEB" w:rsidP="00FD68A2">
      <w:pPr>
        <w:spacing w:after="0" w:line="240" w:lineRule="auto"/>
        <w:rPr>
          <w:rFonts w:asciiTheme="minorHAnsi" w:hAnsiTheme="minorHAnsi"/>
          <w:sz w:val="22"/>
        </w:rPr>
      </w:pPr>
      <w:r w:rsidRPr="00E12DD7">
        <w:rPr>
          <w:rFonts w:asciiTheme="minorHAnsi" w:hAnsiTheme="minorHAnsi"/>
          <w:sz w:val="22"/>
        </w:rPr>
        <w:t>We also examined the relationship between outreach clinics and immunisation and found a strong positive correlation (0.6798), as also between outreach and supervision (0.6065).  There is a very strong relationship between outreach and the overall performance rankings (0.8577)</w:t>
      </w:r>
      <w:r>
        <w:rPr>
          <w:rFonts w:asciiTheme="minorHAnsi" w:hAnsiTheme="minorHAnsi"/>
          <w:sz w:val="22"/>
        </w:rPr>
        <w:t xml:space="preserve">. The finding is similar with the finding in </w:t>
      </w:r>
      <w:proofErr w:type="spellStart"/>
      <w:r>
        <w:rPr>
          <w:rFonts w:asciiTheme="minorHAnsi" w:hAnsiTheme="minorHAnsi"/>
          <w:sz w:val="22"/>
        </w:rPr>
        <w:t>Feeny</w:t>
      </w:r>
      <w:proofErr w:type="spellEnd"/>
      <w:r>
        <w:rPr>
          <w:rFonts w:asciiTheme="minorHAnsi" w:hAnsiTheme="minorHAnsi"/>
          <w:sz w:val="22"/>
        </w:rPr>
        <w:t xml:space="preserve"> </w:t>
      </w:r>
      <w:r>
        <w:rPr>
          <w:rFonts w:asciiTheme="minorHAnsi" w:hAnsiTheme="minorHAnsi"/>
          <w:sz w:val="22"/>
        </w:rPr>
        <w:fldChar w:fldCharType="begin"/>
      </w:r>
      <w:r>
        <w:rPr>
          <w:rFonts w:asciiTheme="minorHAnsi" w:hAnsiTheme="minorHAnsi"/>
          <w:sz w:val="22"/>
        </w:rPr>
        <w:instrText xml:space="preserve"> ADDIN EN.CITE &lt;EndNote&gt;&lt;Cite ExcludeAuth="1"&gt;&lt;Author&gt;Feeny&lt;/Author&gt;&lt;Year&gt;2013&lt;/Year&gt;&lt;RecNum&gt;16&lt;/RecNum&gt;&lt;DisplayText&gt;(2013)&lt;/DisplayText&gt;&lt;record&gt;&lt;rec-number&gt;16&lt;/rec-number&gt;&lt;foreign-keys&gt;&lt;key app="EN" db-id="xpa2vx0ry5rx5eevsw8vptd4txwxeev2t5pv" timestamp="1525717603"&gt;16&lt;/key&gt;&lt;/foreign-keys&gt;&lt;ref-type name="Journal Article"&gt;17&lt;/ref-type&gt;&lt;contributors&gt;&lt;authors&gt;&lt;author&gt;Simon Feeny&lt;/author&gt;&lt;/authors&gt;&lt;/contributors&gt;&lt;titles&gt;&lt;title&gt;Service delivery and human development in Papua New Guinea: the performance of provincial governments&lt;/title&gt;&lt;secondary-title&gt;Journal of the Asia Pacific Economy&lt;/secondary-title&gt;&lt;/titles&gt;&lt;periodical&gt;&lt;full-title&gt;Journal of the Asia Pacific Economy&lt;/full-title&gt;&lt;/periodical&gt;&lt;pages&gt;71-85&lt;/pages&gt;&lt;volume&gt;18&lt;/volume&gt;&lt;number&gt;1&lt;/number&gt;&lt;dates&gt;&lt;year&gt;2013&lt;/year&gt;&lt;/dates&gt;&lt;urls&gt;&lt;/urls&gt;&lt;electronic-resource-num&gt;10.1080/13547860.2012.742680&lt;/electronic-resource-num&gt;&lt;/record&gt;&lt;/Cite&gt;&lt;/EndNote&gt;</w:instrText>
      </w:r>
      <w:r>
        <w:rPr>
          <w:rFonts w:asciiTheme="minorHAnsi" w:hAnsiTheme="minorHAnsi"/>
          <w:sz w:val="22"/>
        </w:rPr>
        <w:fldChar w:fldCharType="separate"/>
      </w:r>
      <w:r>
        <w:rPr>
          <w:rFonts w:asciiTheme="minorHAnsi" w:hAnsiTheme="minorHAnsi"/>
          <w:noProof/>
          <w:sz w:val="22"/>
        </w:rPr>
        <w:t>(2013)</w:t>
      </w:r>
      <w:r>
        <w:rPr>
          <w:rFonts w:asciiTheme="minorHAnsi" w:hAnsiTheme="minorHAnsi"/>
          <w:sz w:val="22"/>
        </w:rPr>
        <w:fldChar w:fldCharType="end"/>
      </w:r>
      <w:r>
        <w:rPr>
          <w:rFonts w:asciiTheme="minorHAnsi" w:hAnsiTheme="minorHAnsi"/>
          <w:sz w:val="22"/>
        </w:rPr>
        <w:t>)</w:t>
      </w:r>
      <w:r w:rsidRPr="00E12DD7">
        <w:rPr>
          <w:rFonts w:asciiTheme="minorHAnsi" w:hAnsiTheme="minorHAnsi"/>
          <w:sz w:val="22"/>
        </w:rPr>
        <w:t>.  A strong relationship was also established between outreach clinics and frontline spending (0.6640).</w:t>
      </w:r>
    </w:p>
    <w:p w14:paraId="77F38DF1" w14:textId="77777777" w:rsidR="00133AEB" w:rsidRPr="00E12DD7" w:rsidRDefault="00133AEB" w:rsidP="00FD68A2">
      <w:pPr>
        <w:spacing w:after="0" w:line="240" w:lineRule="auto"/>
        <w:rPr>
          <w:rFonts w:asciiTheme="minorHAnsi" w:hAnsiTheme="minorHAnsi"/>
          <w:sz w:val="22"/>
        </w:rPr>
      </w:pPr>
    </w:p>
    <w:p w14:paraId="55994F1C" w14:textId="77777777" w:rsidR="00133AEB" w:rsidRPr="00E12DD7" w:rsidRDefault="00133AEB" w:rsidP="00FD68A2">
      <w:pPr>
        <w:spacing w:after="0" w:line="240" w:lineRule="auto"/>
        <w:rPr>
          <w:rFonts w:asciiTheme="minorHAnsi" w:hAnsiTheme="minorHAnsi"/>
          <w:sz w:val="22"/>
        </w:rPr>
      </w:pPr>
      <w:r w:rsidRPr="00E12DD7">
        <w:rPr>
          <w:rFonts w:asciiTheme="minorHAnsi" w:hAnsiTheme="minorHAnsi"/>
          <w:sz w:val="22"/>
        </w:rPr>
        <w:t xml:space="preserve">Indeed, provinces which do well overall also do well specifically in supervision, outreach and immunisation.  Interestingly, these provinces are not advantaged by proximity – quite the opposite, four of the seven who do the most outreach </w:t>
      </w:r>
      <w:proofErr w:type="gramStart"/>
      <w:r w:rsidRPr="00E12DD7">
        <w:rPr>
          <w:rFonts w:asciiTheme="minorHAnsi" w:hAnsiTheme="minorHAnsi"/>
          <w:sz w:val="22"/>
        </w:rPr>
        <w:t>have to</w:t>
      </w:r>
      <w:proofErr w:type="gramEnd"/>
      <w:r w:rsidRPr="00E12DD7">
        <w:rPr>
          <w:rFonts w:asciiTheme="minorHAnsi" w:hAnsiTheme="minorHAnsi"/>
          <w:sz w:val="22"/>
        </w:rPr>
        <w:t xml:space="preserve"> deal with some of the hardest to reach populations.  This would suggest that the challenge of proximity, whilst undoubtedly significant, is surmountable with strong management.  It’s also interesting that the seven which do well with outreach (and overall performance) do typically spend more on frontline services.  This is intuitive and suggests that provinces which prioritise frontline spending can better support supervision and outreach and see better immunisation levels, or that strong local leadership is able to promote both simultaneously. </w:t>
      </w:r>
    </w:p>
    <w:p w14:paraId="757CC90C" w14:textId="77777777" w:rsidR="00133AEB" w:rsidRPr="001F6A23" w:rsidRDefault="00133AEB" w:rsidP="001F6A23">
      <w:pPr>
        <w:pStyle w:val="Heading3"/>
        <w:spacing w:before="240" w:after="120" w:line="240" w:lineRule="auto"/>
        <w:rPr>
          <w:rFonts w:asciiTheme="minorHAnsi" w:hAnsiTheme="minorHAnsi"/>
        </w:rPr>
      </w:pPr>
      <w:r>
        <w:rPr>
          <w:rFonts w:asciiTheme="minorHAnsi" w:hAnsiTheme="minorHAnsi"/>
        </w:rPr>
        <w:t>Patient t</w:t>
      </w:r>
      <w:r w:rsidRPr="00AE7BB9">
        <w:rPr>
          <w:rFonts w:asciiTheme="minorHAnsi" w:hAnsiTheme="minorHAnsi"/>
        </w:rPr>
        <w:t>ransfers</w:t>
      </w:r>
    </w:p>
    <w:p w14:paraId="4F39D66E" w14:textId="77777777"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fldChar w:fldCharType="begin"/>
      </w:r>
      <w:r w:rsidRPr="00AE7BB9">
        <w:rPr>
          <w:rFonts w:asciiTheme="minorHAnsi" w:hAnsiTheme="minorHAnsi"/>
          <w:sz w:val="22"/>
        </w:rPr>
        <w:instrText xml:space="preserve"> REF _Ref478736367 \h  \* MERGEFORMAT </w:instrText>
      </w:r>
      <w:r w:rsidRPr="00AE7BB9">
        <w:rPr>
          <w:rFonts w:asciiTheme="minorHAnsi" w:hAnsiTheme="minorHAnsi"/>
          <w:sz w:val="22"/>
        </w:rPr>
      </w:r>
      <w:r w:rsidRPr="00AE7BB9">
        <w:rPr>
          <w:rFonts w:asciiTheme="minorHAnsi" w:hAnsiTheme="minorHAnsi"/>
          <w:sz w:val="22"/>
        </w:rPr>
        <w:fldChar w:fldCharType="separate"/>
      </w:r>
      <w:r w:rsidRPr="00AE7BB9">
        <w:rPr>
          <w:rFonts w:asciiTheme="minorHAnsi" w:hAnsiTheme="minorHAnsi"/>
          <w:sz w:val="22"/>
        </w:rPr>
        <w:t xml:space="preserve">Figure </w:t>
      </w:r>
      <w:r w:rsidRPr="00AE7BB9">
        <w:rPr>
          <w:rFonts w:asciiTheme="minorHAnsi" w:hAnsiTheme="minorHAnsi"/>
          <w:noProof/>
          <w:sz w:val="22"/>
        </w:rPr>
        <w:t>10</w:t>
      </w:r>
      <w:r w:rsidRPr="00AE7BB9">
        <w:rPr>
          <w:rFonts w:asciiTheme="minorHAnsi" w:hAnsiTheme="minorHAnsi"/>
          <w:sz w:val="22"/>
        </w:rPr>
        <w:fldChar w:fldCharType="end"/>
      </w:r>
      <w:r w:rsidRPr="00AE7BB9">
        <w:rPr>
          <w:rFonts w:asciiTheme="minorHAnsi" w:hAnsiTheme="minorHAnsi"/>
          <w:sz w:val="22"/>
        </w:rPr>
        <w:t xml:space="preserve"> displays the number of patients transferred each year (per 1,000 people) from health centres to referral health facilities on the vertical axis, and the proximity to services within a province on the horizontal axis. Based on need, a positive relationship might be expected. </w:t>
      </w:r>
    </w:p>
    <w:p w14:paraId="78E42A93" w14:textId="77777777" w:rsidR="00133AEB" w:rsidRPr="00AE7BB9" w:rsidRDefault="00133AEB" w:rsidP="001F6A23">
      <w:pPr>
        <w:spacing w:after="0" w:line="240" w:lineRule="auto"/>
        <w:rPr>
          <w:rFonts w:asciiTheme="minorHAnsi" w:hAnsiTheme="minorHAnsi"/>
          <w:sz w:val="22"/>
        </w:rPr>
      </w:pPr>
    </w:p>
    <w:p w14:paraId="644249D4" w14:textId="77777777" w:rsidR="00133AEB" w:rsidRPr="001F6A23" w:rsidRDefault="00133AEB" w:rsidP="00FD68A2">
      <w:pPr>
        <w:pStyle w:val="Caption"/>
        <w:rPr>
          <w:rFonts w:asciiTheme="minorHAnsi" w:hAnsiTheme="minorHAnsi"/>
          <w:b w:val="0"/>
          <w:sz w:val="22"/>
        </w:rPr>
      </w:pPr>
      <w:bookmarkStart w:id="11" w:name="_Ref478736367"/>
      <w:r w:rsidRPr="001F6A23">
        <w:rPr>
          <w:rFonts w:asciiTheme="minorHAnsi" w:hAnsiTheme="minorHAnsi"/>
          <w:b w:val="0"/>
          <w:sz w:val="22"/>
        </w:rPr>
        <w:lastRenderedPageBreak/>
        <w:t xml:space="preserve">Figure </w:t>
      </w:r>
      <w:r w:rsidRPr="001F6A23">
        <w:rPr>
          <w:rFonts w:asciiTheme="minorHAnsi" w:hAnsiTheme="minorHAnsi"/>
          <w:b w:val="0"/>
          <w:sz w:val="22"/>
        </w:rPr>
        <w:fldChar w:fldCharType="begin"/>
      </w:r>
      <w:r w:rsidRPr="001F6A23">
        <w:rPr>
          <w:rFonts w:asciiTheme="minorHAnsi" w:hAnsiTheme="minorHAnsi"/>
          <w:b w:val="0"/>
          <w:sz w:val="22"/>
        </w:rPr>
        <w:instrText xml:space="preserve"> SEQ Figure \* ARABIC </w:instrText>
      </w:r>
      <w:r w:rsidRPr="001F6A23">
        <w:rPr>
          <w:rFonts w:asciiTheme="minorHAnsi" w:hAnsiTheme="minorHAnsi"/>
          <w:b w:val="0"/>
          <w:sz w:val="22"/>
        </w:rPr>
        <w:fldChar w:fldCharType="separate"/>
      </w:r>
      <w:r w:rsidRPr="001F6A23">
        <w:rPr>
          <w:rFonts w:asciiTheme="minorHAnsi" w:hAnsiTheme="minorHAnsi"/>
          <w:b w:val="0"/>
          <w:sz w:val="22"/>
        </w:rPr>
        <w:t>10</w:t>
      </w:r>
      <w:r w:rsidRPr="001F6A23">
        <w:rPr>
          <w:rFonts w:asciiTheme="minorHAnsi" w:hAnsiTheme="minorHAnsi"/>
          <w:b w:val="0"/>
          <w:sz w:val="22"/>
        </w:rPr>
        <w:fldChar w:fldCharType="end"/>
      </w:r>
      <w:bookmarkEnd w:id="11"/>
      <w:r w:rsidRPr="001F6A23">
        <w:rPr>
          <w:rFonts w:asciiTheme="minorHAnsi" w:hAnsiTheme="minorHAnsi"/>
          <w:b w:val="0"/>
          <w:sz w:val="22"/>
        </w:rPr>
        <w:t xml:space="preserve">  Patient </w:t>
      </w:r>
      <w:proofErr w:type="spellStart"/>
      <w:r w:rsidRPr="001F6A23">
        <w:rPr>
          <w:rFonts w:asciiTheme="minorHAnsi" w:hAnsiTheme="minorHAnsi"/>
          <w:b w:val="0"/>
          <w:sz w:val="22"/>
        </w:rPr>
        <w:t>transfers</w:t>
      </w:r>
      <w:proofErr w:type="spellEnd"/>
      <w:r w:rsidRPr="001F6A23">
        <w:rPr>
          <w:rFonts w:asciiTheme="minorHAnsi" w:hAnsiTheme="minorHAnsi"/>
          <w:b w:val="0"/>
          <w:sz w:val="22"/>
        </w:rPr>
        <w:t xml:space="preserve"> and </w:t>
      </w:r>
      <w:proofErr w:type="spellStart"/>
      <w:r w:rsidRPr="001F6A23">
        <w:rPr>
          <w:rFonts w:asciiTheme="minorHAnsi" w:hAnsiTheme="minorHAnsi"/>
          <w:b w:val="0"/>
          <w:sz w:val="22"/>
        </w:rPr>
        <w:t>proximity</w:t>
      </w:r>
      <w:proofErr w:type="spellEnd"/>
      <w:r w:rsidRPr="001F6A23">
        <w:rPr>
          <w:rFonts w:asciiTheme="minorHAnsi" w:hAnsiTheme="minorHAnsi"/>
          <w:b w:val="0"/>
          <w:sz w:val="22"/>
        </w:rPr>
        <w:t>, by province</w:t>
      </w:r>
    </w:p>
    <w:p w14:paraId="5E1730BE" w14:textId="77777777" w:rsidR="00133AEB" w:rsidRDefault="00133AEB" w:rsidP="001F6A23">
      <w:pPr>
        <w:spacing w:after="0" w:line="240" w:lineRule="auto"/>
        <w:rPr>
          <w:rFonts w:asciiTheme="minorHAnsi" w:hAnsiTheme="minorHAnsi" w:cs="Arial"/>
          <w:b/>
        </w:rPr>
      </w:pPr>
      <w:r w:rsidRPr="001F6A23">
        <w:rPr>
          <w:rFonts w:asciiTheme="minorHAnsi" w:hAnsiTheme="minorHAnsi"/>
          <w:noProof/>
          <w:lang w:val="en-GB"/>
        </w:rPr>
        <w:drawing>
          <wp:inline distT="0" distB="0" distL="0" distR="0" wp14:anchorId="08201903" wp14:editId="526C2D07">
            <wp:extent cx="5867400" cy="394271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r="4784"/>
                    <a:stretch/>
                  </pic:blipFill>
                  <pic:spPr bwMode="auto">
                    <a:xfrm>
                      <a:off x="0" y="0"/>
                      <a:ext cx="5875071" cy="3947870"/>
                    </a:xfrm>
                    <a:prstGeom prst="rect">
                      <a:avLst/>
                    </a:prstGeom>
                    <a:noFill/>
                    <a:ln>
                      <a:noFill/>
                    </a:ln>
                    <a:extLst>
                      <a:ext uri="{53640926-AAD7-44D8-BBD7-CCE9431645EC}">
                        <a14:shadowObscured xmlns:a14="http://schemas.microsoft.com/office/drawing/2010/main"/>
                      </a:ext>
                    </a:extLst>
                  </pic:spPr>
                </pic:pic>
              </a:graphicData>
            </a:graphic>
          </wp:inline>
        </w:drawing>
      </w:r>
    </w:p>
    <w:p w14:paraId="3AB5C3FD" w14:textId="11B29359" w:rsidR="00133AEB" w:rsidRDefault="00133AEB" w:rsidP="001F6A23">
      <w:pPr>
        <w:spacing w:after="0" w:line="240" w:lineRule="auto"/>
        <w:rPr>
          <w:rFonts w:asciiTheme="minorHAnsi" w:hAnsiTheme="minorHAnsi"/>
          <w:sz w:val="22"/>
        </w:rPr>
      </w:pPr>
      <w:r w:rsidRPr="00AE7BB9">
        <w:rPr>
          <w:rFonts w:asciiTheme="minorHAnsi" w:hAnsiTheme="minorHAnsi"/>
          <w:sz w:val="22"/>
        </w:rPr>
        <w:t>Overall, the number of reported transfers is low</w:t>
      </w:r>
      <w:r>
        <w:rPr>
          <w:rFonts w:asciiTheme="minorHAnsi" w:hAnsiTheme="minorHAnsi"/>
          <w:sz w:val="22"/>
        </w:rPr>
        <w:t xml:space="preserve"> and the link with proximity not clear</w:t>
      </w:r>
      <w:r w:rsidRPr="00AE7BB9">
        <w:rPr>
          <w:rFonts w:asciiTheme="minorHAnsi" w:hAnsiTheme="minorHAnsi"/>
          <w:sz w:val="22"/>
        </w:rPr>
        <w:t>.  The NEFC in its cost estimates</w:t>
      </w:r>
      <w:r>
        <w:rPr>
          <w:rFonts w:asciiTheme="minorHAnsi" w:hAnsiTheme="minorHAnsi"/>
          <w:sz w:val="22"/>
        </w:rPr>
        <w:fldChar w:fldCharType="begin"/>
      </w:r>
      <w:r>
        <w:rPr>
          <w:rFonts w:asciiTheme="minorHAnsi" w:hAnsiTheme="minorHAnsi"/>
          <w:sz w:val="22"/>
        </w:rPr>
        <w:instrText xml:space="preserve"> ADDIN EN.CITE &lt;EndNote&gt;&lt;Cite&gt;&lt;Year&gt;2014&lt;/Year&gt;&lt;RecNum&gt;0&lt;/RecNum&gt;&lt;IDText&gt;The Thin Blue Line: The Methodology and Results of the Cost of Sub-national Services Study (O&amp;amp;M)&lt;/IDText&gt;&lt;DisplayText&gt;(2014)&lt;/DisplayText&gt;&lt;record&gt;&lt;ref-type name="Report"&gt;27&lt;/ref-type&gt;&lt;contributors&gt;&lt;/contributors&gt;&lt;titles&gt;&lt;title&gt;The Thin Blue Line: The Methodology and Results of the Cost of Sub-national Services Study (O&amp;amp;M)&lt;/title&gt;&lt;/titles&gt;&lt;dates&gt;&lt;year&gt;2014&lt;/year&gt;&lt;/dates&gt;&lt;pub-location&gt;Port Moresby&lt;/pub-location&gt;&lt;/record&gt;&lt;/Cite&gt;&lt;/EndNote&gt;</w:instrText>
      </w:r>
      <w:r>
        <w:rPr>
          <w:rFonts w:asciiTheme="minorHAnsi" w:hAnsiTheme="minorHAnsi"/>
          <w:sz w:val="22"/>
        </w:rPr>
        <w:fldChar w:fldCharType="separate"/>
      </w:r>
      <w:r>
        <w:rPr>
          <w:rFonts w:asciiTheme="minorHAnsi" w:hAnsiTheme="minorHAnsi"/>
          <w:noProof/>
          <w:sz w:val="22"/>
        </w:rPr>
        <w:t>(2014)</w:t>
      </w:r>
      <w:r>
        <w:rPr>
          <w:rFonts w:asciiTheme="minorHAnsi" w:hAnsiTheme="minorHAnsi"/>
          <w:sz w:val="22"/>
        </w:rPr>
        <w:fldChar w:fldCharType="end"/>
      </w:r>
      <w:r w:rsidRPr="00AE7BB9">
        <w:rPr>
          <w:rFonts w:asciiTheme="minorHAnsi" w:hAnsiTheme="minorHAnsi"/>
          <w:sz w:val="22"/>
        </w:rPr>
        <w:t xml:space="preserve">  conservatively assumes that 1% of the population are referred each year. This would equate to 10 people per 1,000.  </w:t>
      </w:r>
      <w:r>
        <w:rPr>
          <w:rFonts w:asciiTheme="minorHAnsi" w:hAnsiTheme="minorHAnsi"/>
          <w:sz w:val="22"/>
        </w:rPr>
        <w:t xml:space="preserve">However, </w:t>
      </w:r>
      <w:r w:rsidRPr="00AE7BB9">
        <w:rPr>
          <w:rFonts w:asciiTheme="minorHAnsi" w:hAnsiTheme="minorHAnsi"/>
          <w:sz w:val="22"/>
        </w:rPr>
        <w:t xml:space="preserve">fifteen of the eighteen provinces report rates of transfer </w:t>
      </w:r>
      <w:r>
        <w:rPr>
          <w:rFonts w:asciiTheme="minorHAnsi" w:hAnsiTheme="minorHAnsi"/>
          <w:sz w:val="22"/>
        </w:rPr>
        <w:t xml:space="preserve">of </w:t>
      </w:r>
      <w:r w:rsidRPr="00AE7BB9">
        <w:rPr>
          <w:rFonts w:asciiTheme="minorHAnsi" w:hAnsiTheme="minorHAnsi"/>
          <w:sz w:val="22"/>
        </w:rPr>
        <w:t>between 0.6 and 2.5 people per 1,000.  Two provinces report significantly higher levels of patient transfer – Western and New Ireland Provinces.  Western Province reported 6.3 per 1,000 people transferred – despite a high proximity challenge</w:t>
      </w:r>
      <w:r>
        <w:rPr>
          <w:rFonts w:asciiTheme="minorHAnsi" w:hAnsiTheme="minorHAnsi"/>
          <w:sz w:val="22"/>
        </w:rPr>
        <w:t>,</w:t>
      </w:r>
      <w:r w:rsidRPr="00AE7BB9">
        <w:rPr>
          <w:rFonts w:asciiTheme="minorHAnsi" w:hAnsiTheme="minorHAnsi"/>
          <w:sz w:val="22"/>
        </w:rPr>
        <w:t xml:space="preserve"> while New Ireland reported 5 per 1,000 people transferred. The practice in Papua New Guinea is for referral cases involving women in child birth to be prioritised. </w:t>
      </w:r>
      <w:r w:rsidRPr="00D2259B">
        <w:rPr>
          <w:rFonts w:asciiTheme="minorHAnsi" w:hAnsiTheme="minorHAnsi"/>
          <w:sz w:val="22"/>
        </w:rPr>
        <w:t>The PNG Promoti</w:t>
      </w:r>
      <w:r>
        <w:rPr>
          <w:rFonts w:asciiTheme="minorHAnsi" w:hAnsiTheme="minorHAnsi"/>
          <w:sz w:val="22"/>
        </w:rPr>
        <w:t>ng Effective Public Expenditure report</w:t>
      </w:r>
      <w:r w:rsidRPr="00D2259B">
        <w:rPr>
          <w:rFonts w:asciiTheme="minorHAnsi" w:hAnsiTheme="minorHAnsi"/>
          <w:sz w:val="22"/>
        </w:rPr>
        <w:t xml:space="preserve"> </w:t>
      </w:r>
      <w:r>
        <w:rPr>
          <w:rFonts w:asciiTheme="minorHAnsi" w:hAnsiTheme="minorHAnsi"/>
          <w:sz w:val="22"/>
        </w:rPr>
        <w:fldChar w:fldCharType="begin"/>
      </w:r>
      <w:r>
        <w:rPr>
          <w:rFonts w:asciiTheme="minorHAnsi" w:hAnsiTheme="minorHAnsi"/>
          <w:sz w:val="22"/>
        </w:rPr>
        <w:instrText xml:space="preserve"> ADDIN EN.CITE &lt;EndNote&gt;&lt;Cite&gt;&lt;Author&gt;Howes&lt;/Author&gt;&lt;Year&gt;2014&lt;/Year&gt;&lt;RecNum&gt;0&lt;/RecNum&gt;&lt;IDText&gt;The PNG Promoting Effective Public Expenditure Project: A lost decade? Service delivery and reforms in Papua New Guinea 2002-2012&lt;/IDText&gt;&lt;DisplayText&gt;(Howes, Mako et al. 2014)&lt;/DisplayText&gt;&lt;record&gt;&lt;ref-type name="Electronic Article"&gt;43&lt;/ref-type&gt;&lt;contributors&gt;&lt;authors&gt;&lt;author&gt;Howes, Stephen&lt;/author&gt;&lt;author&gt;Mako, Andrew Anton&lt;/author&gt;&lt;author&gt;Swan, Anthony&lt;/author&gt;&lt;author&gt;Walton, Grant&lt;/author&gt;&lt;author&gt;Webster, Thomas&lt;/author&gt;&lt;author&gt;Wiltshire, Colin&lt;/author&gt;&lt;/authors&gt;&lt;/contributors&gt;&lt;titles&gt;&lt;title&gt;The PNG Promoting Effective Public Expenditure Project: A lost decade? Service delivery and reforms in Papua New Guinea 2002-2012&lt;/title&gt;&lt;secondary-title&gt;Australian National University&lt;/secondary-title&gt;&lt;/titles&gt;&lt;dates&gt;&lt;year&gt;2014&lt;/year&gt;&lt;pub-dates&gt;&lt;date&gt;October&lt;/date&gt;&lt;/pub-dates&gt;&lt;/dates&gt;&lt;urls&gt;&lt;related-urls&gt;&lt;url&gt;https://devpolicy.crawford.anu.edu.au/png-budget-project&lt;/url&gt;&lt;/related-urls&gt;&lt;/urls&gt;&lt;/record&gt;&lt;/Cite&gt;&lt;/EndNote&gt;</w:instrText>
      </w:r>
      <w:r>
        <w:rPr>
          <w:rFonts w:asciiTheme="minorHAnsi" w:hAnsiTheme="minorHAnsi"/>
          <w:sz w:val="22"/>
        </w:rPr>
        <w:fldChar w:fldCharType="separate"/>
      </w:r>
      <w:r>
        <w:rPr>
          <w:rFonts w:asciiTheme="minorHAnsi" w:hAnsiTheme="minorHAnsi"/>
          <w:noProof/>
          <w:sz w:val="22"/>
        </w:rPr>
        <w:t>(Howes, Mako et al. 2014)</w:t>
      </w:r>
      <w:r>
        <w:rPr>
          <w:rFonts w:asciiTheme="minorHAnsi" w:hAnsiTheme="minorHAnsi"/>
          <w:sz w:val="22"/>
        </w:rPr>
        <w:fldChar w:fldCharType="end"/>
      </w:r>
      <w:r w:rsidRPr="00AE7BB9">
        <w:rPr>
          <w:rFonts w:asciiTheme="minorHAnsi" w:hAnsiTheme="minorHAnsi"/>
          <w:sz w:val="22"/>
        </w:rPr>
        <w:t xml:space="preserve"> records that 45% of the health centres surveyed reported that they were able to transfer patients either ‘always’ or ‘most of the time’.  This may merit further analysis, given the low levels of transfer </w:t>
      </w:r>
      <w:proofErr w:type="gramStart"/>
      <w:r w:rsidRPr="00AE7BB9">
        <w:rPr>
          <w:rFonts w:asciiTheme="minorHAnsi" w:hAnsiTheme="minorHAnsi"/>
          <w:sz w:val="22"/>
        </w:rPr>
        <w:t>actually reported</w:t>
      </w:r>
      <w:proofErr w:type="gramEnd"/>
      <w:r>
        <w:rPr>
          <w:rFonts w:asciiTheme="minorHAnsi" w:hAnsiTheme="minorHAnsi"/>
          <w:sz w:val="22"/>
        </w:rPr>
        <w:t>. Expenditure on transfers is also very low and does not correlate with transfer rates in any clear pattern.</w:t>
      </w:r>
    </w:p>
    <w:p w14:paraId="6A2C8804" w14:textId="77777777" w:rsidR="00133AEB" w:rsidRPr="001F6A23" w:rsidRDefault="00133AEB" w:rsidP="001F6A23">
      <w:pPr>
        <w:pStyle w:val="Heading3"/>
        <w:spacing w:before="240" w:after="120" w:line="240" w:lineRule="auto"/>
        <w:rPr>
          <w:rFonts w:asciiTheme="minorHAnsi" w:hAnsiTheme="minorHAnsi"/>
        </w:rPr>
      </w:pPr>
      <w:r w:rsidRPr="00AE7BB9">
        <w:rPr>
          <w:rFonts w:asciiTheme="minorHAnsi" w:hAnsiTheme="minorHAnsi"/>
        </w:rPr>
        <w:t>Facility supervision</w:t>
      </w:r>
    </w:p>
    <w:p w14:paraId="496AE9C1" w14:textId="46666646"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t xml:space="preserve">In </w:t>
      </w:r>
      <w:r w:rsidRPr="00AE7BB9">
        <w:rPr>
          <w:rFonts w:asciiTheme="minorHAnsi" w:hAnsiTheme="minorHAnsi"/>
          <w:sz w:val="22"/>
        </w:rPr>
        <w:fldChar w:fldCharType="begin"/>
      </w:r>
      <w:r w:rsidRPr="00AE7BB9">
        <w:rPr>
          <w:rFonts w:asciiTheme="minorHAnsi" w:hAnsiTheme="minorHAnsi"/>
          <w:sz w:val="22"/>
        </w:rPr>
        <w:instrText xml:space="preserve"> REF _Ref478737151 \h  \* MERGEFORMAT </w:instrText>
      </w:r>
      <w:r w:rsidRPr="00AE7BB9">
        <w:rPr>
          <w:rFonts w:asciiTheme="minorHAnsi" w:hAnsiTheme="minorHAnsi"/>
          <w:sz w:val="22"/>
        </w:rPr>
      </w:r>
      <w:r w:rsidRPr="00AE7BB9">
        <w:rPr>
          <w:rFonts w:asciiTheme="minorHAnsi" w:hAnsiTheme="minorHAnsi"/>
          <w:sz w:val="22"/>
        </w:rPr>
        <w:fldChar w:fldCharType="separate"/>
      </w:r>
      <w:r w:rsidRPr="00AE7BB9">
        <w:rPr>
          <w:rFonts w:asciiTheme="minorHAnsi" w:hAnsiTheme="minorHAnsi"/>
          <w:sz w:val="22"/>
        </w:rPr>
        <w:t xml:space="preserve">Figure </w:t>
      </w:r>
      <w:r w:rsidRPr="00AE7BB9">
        <w:rPr>
          <w:rFonts w:asciiTheme="minorHAnsi" w:hAnsiTheme="minorHAnsi"/>
          <w:noProof/>
          <w:sz w:val="22"/>
        </w:rPr>
        <w:t>11</w:t>
      </w:r>
      <w:r w:rsidRPr="00AE7BB9">
        <w:rPr>
          <w:rFonts w:asciiTheme="minorHAnsi" w:hAnsiTheme="minorHAnsi"/>
          <w:sz w:val="22"/>
        </w:rPr>
        <w:fldChar w:fldCharType="end"/>
      </w:r>
      <w:r w:rsidRPr="00AE7BB9">
        <w:rPr>
          <w:rFonts w:asciiTheme="minorHAnsi" w:hAnsiTheme="minorHAnsi"/>
          <w:sz w:val="22"/>
        </w:rPr>
        <w:t xml:space="preserve"> aggregated visits by doctors and PHOs to health centres are displayed on the vertical axis, and the proximity to services within a province on the horizontal axis. A negative relationship might be expected, given the greater challenge of reaching more remote facilities. From the data, it seems that overall supervision is low and that proximity may influence the level of supervision received.  Only Milne Bay Province appears to effectively overcome the challenge of proximity and prioritise supervision visits by both doctors and PHOs.  The Western Highlands Province also performs well, though it is less remote. Officials here reported that they employ two doctors to visit rural health centres. These doctors normally stay about one week in a </w:t>
      </w:r>
      <w:proofErr w:type="gramStart"/>
      <w:r w:rsidRPr="00AE7BB9">
        <w:rPr>
          <w:rFonts w:asciiTheme="minorHAnsi" w:hAnsiTheme="minorHAnsi"/>
          <w:sz w:val="22"/>
        </w:rPr>
        <w:t>particular location</w:t>
      </w:r>
      <w:proofErr w:type="gramEnd"/>
      <w:r w:rsidRPr="00AE7BB9">
        <w:rPr>
          <w:rFonts w:asciiTheme="minorHAnsi" w:hAnsiTheme="minorHAnsi"/>
          <w:sz w:val="22"/>
        </w:rPr>
        <w:t xml:space="preserve">, and provide supervision, outreach programs and training in </w:t>
      </w:r>
      <w:r w:rsidRPr="00AE7BB9">
        <w:rPr>
          <w:rFonts w:asciiTheme="minorHAnsi" w:hAnsiTheme="minorHAnsi"/>
          <w:sz w:val="22"/>
        </w:rPr>
        <w:lastRenderedPageBreak/>
        <w:t>the area. These findings are supported by the PEPE study</w:t>
      </w:r>
      <w:r>
        <w:rPr>
          <w:rFonts w:asciiTheme="minorHAnsi" w:hAnsiTheme="minorHAnsi"/>
          <w:sz w:val="22"/>
        </w:rPr>
        <w:fldChar w:fldCharType="begin"/>
      </w:r>
      <w:r>
        <w:rPr>
          <w:rFonts w:asciiTheme="minorHAnsi" w:hAnsiTheme="minorHAnsi"/>
          <w:sz w:val="22"/>
        </w:rPr>
        <w:instrText xml:space="preserve"> ADDIN EN.CITE &lt;EndNote&gt;&lt;Cite&gt;&lt;Author&gt;Howes&lt;/Author&gt;&lt;Year&gt;2014&lt;/Year&gt;&lt;RecNum&gt;0&lt;/RecNum&gt;&lt;IDText&gt;The PNG Promoting Effective Public Expenditure Project: A lost decade? Service delivery and reforms in Papua New Guinea 2002-2012&lt;/IDText&gt;&lt;DisplayText&gt;(Howes, Mako et al. 2014)&lt;/DisplayText&gt;&lt;record&gt;&lt;ref-type name="Electronic Article"&gt;43&lt;/ref-type&gt;&lt;contributors&gt;&lt;authors&gt;&lt;author&gt;Howes, Stephen&lt;/author&gt;&lt;author&gt;Mako, Andrew Anton&lt;/author&gt;&lt;author&gt;Swan, Anthony&lt;/author&gt;&lt;author&gt;Walton, Grant&lt;/author&gt;&lt;author&gt;Webster, Thomas&lt;/author&gt;&lt;author&gt;Wiltshire, Colin&lt;/author&gt;&lt;/authors&gt;&lt;/contributors&gt;&lt;titles&gt;&lt;title&gt;The PNG Promoting Effective Public Expenditure Project: A lost decade? Service delivery and reforms in Papua New Guinea 2002-2012&lt;/title&gt;&lt;secondary-title&gt;Australian National University&lt;/secondary-title&gt;&lt;/titles&gt;&lt;dates&gt;&lt;year&gt;2014&lt;/year&gt;&lt;pub-dates&gt;&lt;date&gt;October&lt;/date&gt;&lt;/pub-dates&gt;&lt;/dates&gt;&lt;urls&gt;&lt;related-urls&gt;&lt;url&gt;https://devpolicy.crawford.anu.edu.au/png-budget-project&lt;/url&gt;&lt;/related-urls&gt;&lt;/urls&gt;&lt;/record&gt;&lt;/Cite&gt;&lt;/EndNote&gt;</w:instrText>
      </w:r>
      <w:r>
        <w:rPr>
          <w:rFonts w:asciiTheme="minorHAnsi" w:hAnsiTheme="minorHAnsi"/>
          <w:sz w:val="22"/>
        </w:rPr>
        <w:fldChar w:fldCharType="separate"/>
      </w:r>
      <w:r>
        <w:rPr>
          <w:rFonts w:asciiTheme="minorHAnsi" w:hAnsiTheme="minorHAnsi"/>
          <w:noProof/>
          <w:sz w:val="22"/>
        </w:rPr>
        <w:t>(Howes, Mako et al. 2014)</w:t>
      </w:r>
      <w:r>
        <w:rPr>
          <w:rFonts w:asciiTheme="minorHAnsi" w:hAnsiTheme="minorHAnsi"/>
          <w:sz w:val="22"/>
        </w:rPr>
        <w:fldChar w:fldCharType="end"/>
      </w:r>
      <w:r w:rsidRPr="00AE7BB9">
        <w:rPr>
          <w:rFonts w:asciiTheme="minorHAnsi" w:hAnsiTheme="minorHAnsi"/>
          <w:sz w:val="22"/>
        </w:rPr>
        <w:t xml:space="preserve">, which found that overall 60% of clinics did not receive a visit from a supervisor in 2012. </w:t>
      </w:r>
    </w:p>
    <w:p w14:paraId="259664F6" w14:textId="77777777" w:rsidR="00133AEB" w:rsidRPr="00AE7BB9" w:rsidRDefault="00133AEB" w:rsidP="001F6A23">
      <w:pPr>
        <w:spacing w:after="0" w:line="240" w:lineRule="auto"/>
        <w:rPr>
          <w:rFonts w:asciiTheme="minorHAnsi" w:hAnsiTheme="minorHAnsi"/>
          <w:sz w:val="20"/>
          <w:szCs w:val="20"/>
        </w:rPr>
      </w:pPr>
    </w:p>
    <w:p w14:paraId="15ABEEA9" w14:textId="77777777" w:rsidR="00133AEB" w:rsidRPr="001F6A23" w:rsidRDefault="00133AEB" w:rsidP="00FD68A2">
      <w:pPr>
        <w:pStyle w:val="Caption"/>
        <w:rPr>
          <w:rFonts w:asciiTheme="minorHAnsi" w:hAnsiTheme="minorHAnsi"/>
          <w:b w:val="0"/>
          <w:sz w:val="22"/>
        </w:rPr>
      </w:pPr>
      <w:bookmarkStart w:id="12" w:name="_Ref478737151"/>
      <w:r w:rsidRPr="001F6A23">
        <w:rPr>
          <w:rFonts w:asciiTheme="minorHAnsi" w:hAnsiTheme="minorHAnsi"/>
          <w:b w:val="0"/>
          <w:sz w:val="22"/>
        </w:rPr>
        <w:t xml:space="preserve">Figure </w:t>
      </w:r>
      <w:r w:rsidRPr="001F6A23">
        <w:rPr>
          <w:rFonts w:asciiTheme="minorHAnsi" w:hAnsiTheme="minorHAnsi"/>
          <w:b w:val="0"/>
          <w:sz w:val="22"/>
        </w:rPr>
        <w:fldChar w:fldCharType="begin"/>
      </w:r>
      <w:r w:rsidRPr="001F6A23">
        <w:rPr>
          <w:rFonts w:asciiTheme="minorHAnsi" w:hAnsiTheme="minorHAnsi"/>
          <w:b w:val="0"/>
          <w:sz w:val="22"/>
        </w:rPr>
        <w:instrText xml:space="preserve"> SEQ Figure \* ARABIC </w:instrText>
      </w:r>
      <w:r w:rsidRPr="001F6A23">
        <w:rPr>
          <w:rFonts w:asciiTheme="minorHAnsi" w:hAnsiTheme="minorHAnsi"/>
          <w:b w:val="0"/>
          <w:sz w:val="22"/>
        </w:rPr>
        <w:fldChar w:fldCharType="separate"/>
      </w:r>
      <w:r w:rsidRPr="001F6A23">
        <w:rPr>
          <w:rFonts w:asciiTheme="minorHAnsi" w:hAnsiTheme="minorHAnsi"/>
          <w:b w:val="0"/>
          <w:sz w:val="22"/>
        </w:rPr>
        <w:t>11</w:t>
      </w:r>
      <w:r w:rsidRPr="001F6A23">
        <w:rPr>
          <w:rFonts w:asciiTheme="minorHAnsi" w:hAnsiTheme="minorHAnsi"/>
          <w:b w:val="0"/>
          <w:sz w:val="22"/>
        </w:rPr>
        <w:fldChar w:fldCharType="end"/>
      </w:r>
      <w:bookmarkEnd w:id="12"/>
      <w:r w:rsidRPr="001F6A23">
        <w:rPr>
          <w:rFonts w:asciiTheme="minorHAnsi" w:hAnsiTheme="minorHAnsi"/>
          <w:b w:val="0"/>
          <w:sz w:val="22"/>
        </w:rPr>
        <w:t xml:space="preserve"> </w:t>
      </w:r>
      <w:proofErr w:type="spellStart"/>
      <w:r w:rsidRPr="001F6A23">
        <w:rPr>
          <w:rFonts w:asciiTheme="minorHAnsi" w:hAnsiTheme="minorHAnsi"/>
          <w:b w:val="0"/>
          <w:sz w:val="22"/>
        </w:rPr>
        <w:t>Supervisory</w:t>
      </w:r>
      <w:proofErr w:type="spellEnd"/>
      <w:r w:rsidRPr="001F6A23">
        <w:rPr>
          <w:rFonts w:asciiTheme="minorHAnsi" w:hAnsiTheme="minorHAnsi"/>
          <w:b w:val="0"/>
          <w:sz w:val="22"/>
        </w:rPr>
        <w:t xml:space="preserve"> </w:t>
      </w:r>
      <w:proofErr w:type="spellStart"/>
      <w:r w:rsidRPr="001F6A23">
        <w:rPr>
          <w:rFonts w:asciiTheme="minorHAnsi" w:hAnsiTheme="minorHAnsi"/>
          <w:b w:val="0"/>
          <w:sz w:val="22"/>
        </w:rPr>
        <w:t>visits</w:t>
      </w:r>
      <w:proofErr w:type="spellEnd"/>
      <w:r w:rsidRPr="001F6A23">
        <w:rPr>
          <w:rFonts w:asciiTheme="minorHAnsi" w:hAnsiTheme="minorHAnsi"/>
          <w:b w:val="0"/>
          <w:sz w:val="22"/>
        </w:rPr>
        <w:t xml:space="preserve"> and </w:t>
      </w:r>
      <w:proofErr w:type="spellStart"/>
      <w:r w:rsidRPr="001F6A23">
        <w:rPr>
          <w:rFonts w:asciiTheme="minorHAnsi" w:hAnsiTheme="minorHAnsi"/>
          <w:b w:val="0"/>
          <w:sz w:val="22"/>
        </w:rPr>
        <w:t>proximity</w:t>
      </w:r>
      <w:proofErr w:type="spellEnd"/>
      <w:r w:rsidRPr="001F6A23">
        <w:rPr>
          <w:rFonts w:asciiTheme="minorHAnsi" w:hAnsiTheme="minorHAnsi"/>
          <w:b w:val="0"/>
          <w:sz w:val="22"/>
        </w:rPr>
        <w:t>, by province</w:t>
      </w:r>
    </w:p>
    <w:p w14:paraId="7FEF9332" w14:textId="14FE9D68" w:rsidR="00133AEB" w:rsidRPr="00AE7BB9" w:rsidRDefault="00133AEB" w:rsidP="00FD68A2">
      <w:pPr>
        <w:spacing w:after="0" w:line="240" w:lineRule="auto"/>
        <w:rPr>
          <w:rFonts w:asciiTheme="minorHAnsi" w:hAnsiTheme="minorHAnsi" w:cs="Arial"/>
          <w:b/>
        </w:rPr>
      </w:pPr>
      <w:r w:rsidRPr="00AE7BB9">
        <w:rPr>
          <w:rFonts w:asciiTheme="minorHAnsi" w:hAnsiTheme="minorHAnsi"/>
          <w:noProof/>
          <w:lang w:val="en-GB" w:eastAsia="en-GB"/>
        </w:rPr>
        <w:drawing>
          <wp:inline distT="0" distB="0" distL="0" distR="0" wp14:anchorId="1B085470" wp14:editId="299C1FEF">
            <wp:extent cx="5940000" cy="4162936"/>
            <wp:effectExtent l="0" t="0" r="381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r="4540"/>
                    <a:stretch/>
                  </pic:blipFill>
                  <pic:spPr bwMode="auto">
                    <a:xfrm>
                      <a:off x="0" y="0"/>
                      <a:ext cx="5940000" cy="4162936"/>
                    </a:xfrm>
                    <a:prstGeom prst="rect">
                      <a:avLst/>
                    </a:prstGeom>
                    <a:noFill/>
                    <a:ln>
                      <a:noFill/>
                    </a:ln>
                    <a:extLst>
                      <a:ext uri="{53640926-AAD7-44D8-BBD7-CCE9431645EC}">
                        <a14:shadowObscured xmlns:a14="http://schemas.microsoft.com/office/drawing/2010/main"/>
                      </a:ext>
                    </a:extLst>
                  </pic:spPr>
                </pic:pic>
              </a:graphicData>
            </a:graphic>
          </wp:inline>
        </w:drawing>
      </w:r>
    </w:p>
    <w:p w14:paraId="24EEE225" w14:textId="77777777" w:rsidR="00133AEB" w:rsidRDefault="00133AEB" w:rsidP="00FD68A2">
      <w:pPr>
        <w:pStyle w:val="ListParagraph"/>
        <w:tabs>
          <w:tab w:val="left" w:pos="7800"/>
        </w:tabs>
        <w:spacing w:line="240" w:lineRule="auto"/>
        <w:rPr>
          <w:lang w:val="en-NZ"/>
        </w:rPr>
      </w:pPr>
      <w:r>
        <w:rPr>
          <w:lang w:val="en-NZ"/>
        </w:rPr>
        <w:tab/>
      </w:r>
    </w:p>
    <w:p w14:paraId="7B667E61" w14:textId="77777777" w:rsidR="00133AEB" w:rsidRPr="001F6A23" w:rsidRDefault="00133AEB" w:rsidP="001F6A23">
      <w:pPr>
        <w:spacing w:after="0" w:line="240" w:lineRule="auto"/>
        <w:jc w:val="left"/>
        <w:rPr>
          <w:lang w:val="en-NZ"/>
        </w:rPr>
      </w:pPr>
    </w:p>
    <w:p w14:paraId="260B4062" w14:textId="77777777" w:rsidR="00133AEB" w:rsidRPr="00AE7BB9" w:rsidRDefault="00133AEB" w:rsidP="001F6A23">
      <w:pPr>
        <w:pStyle w:val="Heading1"/>
        <w:spacing w:after="120" w:line="240" w:lineRule="auto"/>
        <w:rPr>
          <w:rFonts w:asciiTheme="minorHAnsi" w:hAnsiTheme="minorHAnsi"/>
        </w:rPr>
      </w:pPr>
      <w:r w:rsidRPr="00AE7BB9">
        <w:rPr>
          <w:rFonts w:asciiTheme="minorHAnsi" w:hAnsiTheme="minorHAnsi"/>
        </w:rPr>
        <w:t xml:space="preserve">Discussion </w:t>
      </w:r>
    </w:p>
    <w:p w14:paraId="18B1ADDF" w14:textId="77777777" w:rsidR="00133AEB" w:rsidRPr="00AE7BB9" w:rsidRDefault="00133AEB" w:rsidP="00FD68A2">
      <w:pPr>
        <w:spacing w:after="0" w:line="240" w:lineRule="auto"/>
        <w:rPr>
          <w:rFonts w:asciiTheme="minorHAnsi" w:hAnsiTheme="minorHAnsi"/>
          <w:sz w:val="22"/>
        </w:rPr>
      </w:pPr>
      <w:r w:rsidRPr="00AE7BB9">
        <w:rPr>
          <w:rFonts w:asciiTheme="minorHAnsi" w:hAnsiTheme="minorHAnsi"/>
          <w:sz w:val="22"/>
        </w:rPr>
        <w:t xml:space="preserve">This study has combined routine datasets with some secondary reports and interviews to examine the performance of sub-national units (provinces) in delivering core health interventions to </w:t>
      </w:r>
      <w:proofErr w:type="gramStart"/>
      <w:r w:rsidRPr="00AE7BB9">
        <w:rPr>
          <w:rFonts w:asciiTheme="minorHAnsi" w:hAnsiTheme="minorHAnsi"/>
          <w:sz w:val="22"/>
        </w:rPr>
        <w:t>the large majority of</w:t>
      </w:r>
      <w:proofErr w:type="gramEnd"/>
      <w:r w:rsidRPr="00AE7BB9">
        <w:rPr>
          <w:rFonts w:asciiTheme="minorHAnsi" w:hAnsiTheme="minorHAnsi"/>
          <w:sz w:val="22"/>
        </w:rPr>
        <w:t xml:space="preserve"> the population of PNG which lives in rural areas. Our expectation was that geography and recurrent non-salary expenditure on frontline services would be major determinants of outputs. Recurrent non-salary expenditure is generally important as it enables other key inputs, such as drugs, fuel and other essential recurrent costs. Proximity of population to facilities is important in all contexts but was expected to play a particularly strong role given the terrain and dispersion of populations in PNG. Our findings suggest that while these do play a role – for example, there is an obvious correlation between a less proximate population and a higher cost of service delivery - the correlation with performance is not strong, and what is most useful is to study the characteristics and behaviours of the outliers – particularly the high performers, such as New Ireland and Milne Bay, who perform well across a range of measures. </w:t>
      </w:r>
    </w:p>
    <w:p w14:paraId="7367F550" w14:textId="77777777" w:rsidR="00133AEB" w:rsidRDefault="00133AEB" w:rsidP="00FD68A2">
      <w:pPr>
        <w:spacing w:after="0" w:line="240" w:lineRule="auto"/>
        <w:rPr>
          <w:rFonts w:asciiTheme="minorHAnsi" w:hAnsiTheme="minorHAnsi"/>
          <w:sz w:val="22"/>
        </w:rPr>
      </w:pPr>
    </w:p>
    <w:p w14:paraId="763AEBD4" w14:textId="77777777" w:rsidR="00133AEB" w:rsidRPr="00B86D18" w:rsidRDefault="00133AEB" w:rsidP="001F6A23">
      <w:pPr>
        <w:spacing w:after="0" w:line="240" w:lineRule="auto"/>
        <w:rPr>
          <w:rFonts w:asciiTheme="minorHAnsi" w:hAnsiTheme="minorHAnsi"/>
          <w:sz w:val="22"/>
        </w:rPr>
      </w:pPr>
      <w:r w:rsidRPr="00B86D18">
        <w:rPr>
          <w:rFonts w:asciiTheme="minorHAnsi" w:hAnsiTheme="minorHAnsi"/>
          <w:sz w:val="22"/>
        </w:rPr>
        <w:lastRenderedPageBreak/>
        <w:t xml:space="preserve">The number of facilities receiving any supervisory visitation is typically low, yet we can see that better performing provinces typically do receive higher levels of supervision, reinforcing the importance of supervisory capacity to support the effectiveness of the network of rural health facilities.  </w:t>
      </w:r>
      <w:r>
        <w:rPr>
          <w:rFonts w:asciiTheme="minorHAnsi" w:hAnsiTheme="minorHAnsi"/>
          <w:sz w:val="22"/>
        </w:rPr>
        <w:t xml:space="preserve"> Our correlation analyses suggest a virtuous circle operating in some areas (often the most geographically challenged) </w:t>
      </w:r>
      <w:r w:rsidRPr="00B86D18">
        <w:rPr>
          <w:rFonts w:asciiTheme="minorHAnsi" w:hAnsiTheme="minorHAnsi"/>
          <w:sz w:val="22"/>
        </w:rPr>
        <w:t>between outreach clinics, immunisation coverage, supervision, frontline spending and overall health system performance.</w:t>
      </w:r>
      <w:r w:rsidRPr="005131D0">
        <w:rPr>
          <w:rFonts w:asciiTheme="minorHAnsi" w:hAnsiTheme="minorHAnsi"/>
          <w:sz w:val="22"/>
        </w:rPr>
        <w:t xml:space="preserve"> </w:t>
      </w:r>
      <w:r w:rsidRPr="00AE7BB9">
        <w:rPr>
          <w:rFonts w:asciiTheme="minorHAnsi" w:hAnsiTheme="minorHAnsi"/>
          <w:sz w:val="22"/>
        </w:rPr>
        <w:t xml:space="preserve">More qualitative research is called for to better understand the </w:t>
      </w:r>
      <w:r>
        <w:rPr>
          <w:rFonts w:asciiTheme="minorHAnsi" w:hAnsiTheme="minorHAnsi"/>
          <w:sz w:val="22"/>
        </w:rPr>
        <w:t xml:space="preserve">contextual </w:t>
      </w:r>
      <w:r w:rsidRPr="00AE7BB9">
        <w:rPr>
          <w:rFonts w:asciiTheme="minorHAnsi" w:hAnsiTheme="minorHAnsi"/>
          <w:sz w:val="22"/>
        </w:rPr>
        <w:t xml:space="preserve">factors </w:t>
      </w:r>
      <w:r>
        <w:rPr>
          <w:rFonts w:asciiTheme="minorHAnsi" w:hAnsiTheme="minorHAnsi"/>
          <w:sz w:val="22"/>
        </w:rPr>
        <w:t xml:space="preserve">(such as local priority setting or mobilisation of additional resources) which may be </w:t>
      </w:r>
      <w:r w:rsidRPr="00AE7BB9">
        <w:rPr>
          <w:rFonts w:asciiTheme="minorHAnsi" w:hAnsiTheme="minorHAnsi"/>
          <w:sz w:val="22"/>
        </w:rPr>
        <w:t>supporting high</w:t>
      </w:r>
      <w:r>
        <w:rPr>
          <w:rFonts w:asciiTheme="minorHAnsi" w:hAnsiTheme="minorHAnsi"/>
          <w:sz w:val="22"/>
        </w:rPr>
        <w:t>er</w:t>
      </w:r>
      <w:r w:rsidRPr="00AE7BB9">
        <w:rPr>
          <w:rFonts w:asciiTheme="minorHAnsi" w:hAnsiTheme="minorHAnsi"/>
          <w:sz w:val="22"/>
        </w:rPr>
        <w:t xml:space="preserve"> performance.</w:t>
      </w:r>
    </w:p>
    <w:p w14:paraId="4D762843" w14:textId="77777777" w:rsidR="00133AEB" w:rsidRDefault="00133AEB" w:rsidP="00FD68A2">
      <w:pPr>
        <w:spacing w:after="0" w:line="240" w:lineRule="auto"/>
        <w:rPr>
          <w:rFonts w:asciiTheme="minorHAnsi" w:hAnsiTheme="minorHAnsi"/>
          <w:sz w:val="22"/>
        </w:rPr>
      </w:pPr>
    </w:p>
    <w:p w14:paraId="48F3831B" w14:textId="3DA43497" w:rsidR="00133AEB" w:rsidRDefault="00133AEB" w:rsidP="001F6A23">
      <w:pPr>
        <w:spacing w:after="0" w:line="240" w:lineRule="auto"/>
        <w:rPr>
          <w:rFonts w:asciiTheme="minorHAnsi" w:hAnsiTheme="minorHAnsi"/>
          <w:sz w:val="22"/>
        </w:rPr>
      </w:pPr>
      <w:r w:rsidRPr="00AE7BB9">
        <w:rPr>
          <w:rFonts w:asciiTheme="minorHAnsi" w:hAnsiTheme="minorHAnsi"/>
          <w:sz w:val="22"/>
        </w:rPr>
        <w:t xml:space="preserve">Some of the services (such as four antenatal visits) are showing low absolute coverage, which is worrying, as these are essential services. </w:t>
      </w:r>
      <w:r>
        <w:rPr>
          <w:rFonts w:asciiTheme="minorHAnsi" w:hAnsiTheme="minorHAnsi"/>
          <w:sz w:val="22"/>
        </w:rPr>
        <w:t>T</w:t>
      </w:r>
      <w:r w:rsidRPr="00AE7BB9">
        <w:rPr>
          <w:rFonts w:asciiTheme="minorHAnsi" w:hAnsiTheme="minorHAnsi"/>
          <w:sz w:val="22"/>
        </w:rPr>
        <w:t xml:space="preserve">ransfers are also areas for concern as they are both reported to be low.  Factors such as lack of access to funding to pay the costs associated with the extension visits, or concerns over safety in travelling to more isolated areas may be relevant issues to consider.  The PEPE study </w:t>
      </w:r>
      <w:r>
        <w:rPr>
          <w:rFonts w:asciiTheme="minorHAnsi" w:hAnsiTheme="minorHAnsi"/>
          <w:sz w:val="22"/>
        </w:rPr>
        <w:fldChar w:fldCharType="begin"/>
      </w:r>
      <w:r>
        <w:rPr>
          <w:rFonts w:asciiTheme="minorHAnsi" w:hAnsiTheme="minorHAnsi"/>
          <w:sz w:val="22"/>
        </w:rPr>
        <w:instrText xml:space="preserve"> ADDIN EN.CITE &lt;EndNote&gt;&lt;Cite&gt;&lt;Author&gt;Howes&lt;/Author&gt;&lt;Year&gt;2014&lt;/Year&gt;&lt;RecNum&gt;0&lt;/RecNum&gt;&lt;IDText&gt;The PNG Promoting Effective Public Expenditure Project: A lost decade? Service delivery and reforms in Papua New Guinea 2002-2012&lt;/IDText&gt;&lt;DisplayText&gt;(Howes, Mako et al. 2014)&lt;/DisplayText&gt;&lt;record&gt;&lt;ref-type name="Electronic Article"&gt;43&lt;/ref-type&gt;&lt;contributors&gt;&lt;authors&gt;&lt;author&gt;Howes, Stephen&lt;/author&gt;&lt;author&gt;Mako, Andrew Anton&lt;/author&gt;&lt;author&gt;Swan, Anthony&lt;/author&gt;&lt;author&gt;Walton, Grant&lt;/author&gt;&lt;author&gt;Webster, Thomas&lt;/author&gt;&lt;author&gt;Wiltshire, Colin&lt;/author&gt;&lt;/authors&gt;&lt;/contributors&gt;&lt;titles&gt;&lt;title&gt;The PNG Promoting Effective Public Expenditure Project: A lost decade? Service delivery and reforms in Papua New Guinea 2002-2012&lt;/title&gt;&lt;secondary-title&gt;Australian National University&lt;/secondary-title&gt;&lt;/titles&gt;&lt;dates&gt;&lt;year&gt;2014&lt;/year&gt;&lt;pub-dates&gt;&lt;date&gt;October&lt;/date&gt;&lt;/pub-dates&gt;&lt;/dates&gt;&lt;urls&gt;&lt;related-urls&gt;&lt;url&gt;https://devpolicy.crawford.anu.edu.au/png-budget-project&lt;/url&gt;&lt;/related-urls&gt;&lt;/urls&gt;&lt;/record&gt;&lt;/Cite&gt;&lt;/EndNote&gt;</w:instrText>
      </w:r>
      <w:r>
        <w:rPr>
          <w:rFonts w:asciiTheme="minorHAnsi" w:hAnsiTheme="minorHAnsi"/>
          <w:sz w:val="22"/>
        </w:rPr>
        <w:fldChar w:fldCharType="separate"/>
      </w:r>
      <w:r>
        <w:rPr>
          <w:rFonts w:asciiTheme="minorHAnsi" w:hAnsiTheme="minorHAnsi"/>
          <w:noProof/>
          <w:sz w:val="22"/>
        </w:rPr>
        <w:t>(Howes, Mako et al. 2014)</w:t>
      </w:r>
      <w:r>
        <w:rPr>
          <w:rFonts w:asciiTheme="minorHAnsi" w:hAnsiTheme="minorHAnsi"/>
          <w:sz w:val="22"/>
        </w:rPr>
        <w:fldChar w:fldCharType="end"/>
      </w:r>
      <w:r w:rsidRPr="00AE7BB9">
        <w:rPr>
          <w:rFonts w:asciiTheme="minorHAnsi" w:hAnsiTheme="minorHAnsi"/>
          <w:sz w:val="22"/>
        </w:rPr>
        <w:t xml:space="preserve"> suggests that for many health centres getting access to operational funding remains a major impediment to improving the delivery of health services in rural areas. </w:t>
      </w:r>
      <w:r>
        <w:rPr>
          <w:rFonts w:asciiTheme="minorHAnsi" w:hAnsiTheme="minorHAnsi"/>
          <w:sz w:val="22"/>
        </w:rPr>
        <w:t xml:space="preserve"> Demand and health seeking behaviour are likely to be factors behind the </w:t>
      </w:r>
      <w:r w:rsidRPr="00B86D18">
        <w:rPr>
          <w:rFonts w:asciiTheme="minorHAnsi" w:hAnsiTheme="minorHAnsi"/>
          <w:sz w:val="22"/>
        </w:rPr>
        <w:t>relatively low outpatient attendances in the highlands provinces. It may be necessary to adapt service delivery to meet the needs of these relatively large populations.</w:t>
      </w:r>
    </w:p>
    <w:p w14:paraId="40F98ACF" w14:textId="77777777" w:rsidR="00133AEB" w:rsidRDefault="00133AEB" w:rsidP="001F6A23">
      <w:pPr>
        <w:spacing w:after="0" w:line="240" w:lineRule="auto"/>
        <w:rPr>
          <w:rFonts w:asciiTheme="minorHAnsi" w:hAnsiTheme="minorHAnsi"/>
          <w:sz w:val="22"/>
        </w:rPr>
      </w:pPr>
    </w:p>
    <w:p w14:paraId="404F0589" w14:textId="496DB7DD" w:rsidR="00133AEB" w:rsidRDefault="00133AEB" w:rsidP="001F6A23">
      <w:pPr>
        <w:spacing w:after="0" w:line="240" w:lineRule="auto"/>
        <w:rPr>
          <w:rFonts w:asciiTheme="minorHAnsi" w:hAnsiTheme="minorHAnsi"/>
          <w:sz w:val="22"/>
        </w:rPr>
      </w:pPr>
      <w:r w:rsidRPr="00AE7BB9">
        <w:rPr>
          <w:rFonts w:asciiTheme="minorHAnsi" w:hAnsiTheme="minorHAnsi"/>
          <w:sz w:val="22"/>
        </w:rPr>
        <w:t>There seems to be a positive relationship between the number of outpatient attendances recorded in the NHIS data and user perceptions that health workers will be at the facility</w:t>
      </w:r>
      <w:r>
        <w:rPr>
          <w:rFonts w:asciiTheme="minorHAnsi" w:hAnsiTheme="minorHAnsi"/>
          <w:sz w:val="22"/>
        </w:rPr>
        <w:fldChar w:fldCharType="begin"/>
      </w:r>
      <w:r>
        <w:rPr>
          <w:rFonts w:asciiTheme="minorHAnsi" w:hAnsiTheme="minorHAnsi"/>
          <w:sz w:val="22"/>
        </w:rPr>
        <w:instrText xml:space="preserve"> ADDIN EN.CITE &lt;EndNote&gt;&lt;Cite&gt;&lt;Author&gt;Howes&lt;/Author&gt;&lt;Year&gt;2014&lt;/Year&gt;&lt;RecNum&gt;0&lt;/RecNum&gt;&lt;IDText&gt;The PNG Promoting Effective Public Expenditure Project: A lost decade? Service delivery and reforms in Papua New Guinea 2002-2012&lt;/IDText&gt;&lt;DisplayText&gt;(Howes, Mako et al. 2014)&lt;/DisplayText&gt;&lt;record&gt;&lt;ref-type name="Electronic Article"&gt;43&lt;/ref-type&gt;&lt;contributors&gt;&lt;authors&gt;&lt;author&gt;Howes, Stephen&lt;/author&gt;&lt;author&gt;Mako, Andrew Anton&lt;/author&gt;&lt;author&gt;Swan, Anthony&lt;/author&gt;&lt;author&gt;Walton, Grant&lt;/author&gt;&lt;author&gt;Webster, Thomas&lt;/author&gt;&lt;author&gt;Wiltshire, Colin&lt;/author&gt;&lt;/authors&gt;&lt;/contributors&gt;&lt;titles&gt;&lt;title&gt;The PNG Promoting Effective Public Expenditure Project: A lost decade? Service delivery and reforms in Papua New Guinea 2002-2012&lt;/title&gt;&lt;secondary-title&gt;Australian National University&lt;/secondary-title&gt;&lt;/titles&gt;&lt;dates&gt;&lt;year&gt;2014&lt;/year&gt;&lt;pub-dates&gt;&lt;date&gt;October&lt;/date&gt;&lt;/pub-dates&gt;&lt;/dates&gt;&lt;urls&gt;&lt;related-urls&gt;&lt;url&gt;https://devpolicy.crawford.anu.edu.au/png-budget-project&lt;/url&gt;&lt;/related-urls&gt;&lt;/urls&gt;&lt;/record&gt;&lt;/Cite&gt;&lt;/EndNote&gt;</w:instrText>
      </w:r>
      <w:r>
        <w:rPr>
          <w:rFonts w:asciiTheme="minorHAnsi" w:hAnsiTheme="minorHAnsi"/>
          <w:sz w:val="22"/>
        </w:rPr>
        <w:fldChar w:fldCharType="separate"/>
      </w:r>
      <w:r>
        <w:rPr>
          <w:rFonts w:asciiTheme="minorHAnsi" w:hAnsiTheme="minorHAnsi"/>
          <w:noProof/>
          <w:sz w:val="22"/>
        </w:rPr>
        <w:t>(Howes, Mako et al. 2014)</w:t>
      </w:r>
      <w:r>
        <w:rPr>
          <w:rFonts w:asciiTheme="minorHAnsi" w:hAnsiTheme="minorHAnsi"/>
          <w:sz w:val="22"/>
        </w:rPr>
        <w:fldChar w:fldCharType="end"/>
      </w:r>
      <w:r w:rsidRPr="00AE7BB9">
        <w:rPr>
          <w:rFonts w:asciiTheme="minorHAnsi" w:hAnsiTheme="minorHAnsi"/>
          <w:sz w:val="22"/>
        </w:rPr>
        <w:t>.</w:t>
      </w:r>
      <w:r>
        <w:rPr>
          <w:rFonts w:asciiTheme="minorHAnsi" w:hAnsiTheme="minorHAnsi"/>
          <w:sz w:val="22"/>
        </w:rPr>
        <w:t xml:space="preserve"> </w:t>
      </w:r>
      <w:r w:rsidRPr="00AE7BB9">
        <w:rPr>
          <w:rFonts w:asciiTheme="minorHAnsi" w:hAnsiTheme="minorHAnsi"/>
          <w:sz w:val="22"/>
        </w:rPr>
        <w:t>This suggests that if local people think staff will be at the facility, they are more likely to seek medical attention – another area meriting further work.</w:t>
      </w:r>
      <w:r>
        <w:rPr>
          <w:rFonts w:asciiTheme="minorHAnsi" w:hAnsiTheme="minorHAnsi"/>
          <w:sz w:val="22"/>
        </w:rPr>
        <w:t xml:space="preserve"> </w:t>
      </w:r>
      <w:r w:rsidRPr="00AE7BB9">
        <w:rPr>
          <w:rFonts w:asciiTheme="minorHAnsi" w:hAnsiTheme="minorHAnsi"/>
          <w:sz w:val="22"/>
        </w:rPr>
        <w:t xml:space="preserve">There was some correlation between maintenance being carried out on health facilities and staff housing </w:t>
      </w:r>
      <w:r>
        <w:rPr>
          <w:rFonts w:asciiTheme="minorHAnsi" w:hAnsiTheme="minorHAnsi"/>
          <w:sz w:val="22"/>
        </w:rPr>
        <w:fldChar w:fldCharType="begin"/>
      </w:r>
      <w:r>
        <w:rPr>
          <w:rFonts w:asciiTheme="minorHAnsi" w:hAnsiTheme="minorHAnsi"/>
          <w:sz w:val="22"/>
        </w:rPr>
        <w:instrText xml:space="preserve"> ADDIN EN.CITE &lt;EndNote&gt;&lt;Cite&gt;&lt;Author&gt;Howes&lt;/Author&gt;&lt;Year&gt;2014&lt;/Year&gt;&lt;RecNum&gt;0&lt;/RecNum&gt;&lt;IDText&gt;The PNG Promoting Effective Public Expenditure Project: A lost decade? Service delivery and reforms in Papua New Guinea 2002-2012&lt;/IDText&gt;&lt;DisplayText&gt;(Howes, Mako et al. 2014)&lt;/DisplayText&gt;&lt;record&gt;&lt;ref-type name="Electronic Article"&gt;43&lt;/ref-type&gt;&lt;contributors&gt;&lt;authors&gt;&lt;author&gt;Howes, Stephen&lt;/author&gt;&lt;author&gt;Mako, Andrew Anton&lt;/author&gt;&lt;author&gt;Swan, Anthony&lt;/author&gt;&lt;author&gt;Walton, Grant&lt;/author&gt;&lt;author&gt;Webster, Thomas&lt;/author&gt;&lt;author&gt;Wiltshire, Colin&lt;/author&gt;&lt;/authors&gt;&lt;/contributors&gt;&lt;titles&gt;&lt;title&gt;The PNG Promoting Effective Public Expenditure Project: A lost decade? Service delivery and reforms in Papua New Guinea 2002-2012&lt;/title&gt;&lt;secondary-title&gt;Australian National University&lt;/secondary-title&gt;&lt;/titles&gt;&lt;dates&gt;&lt;year&gt;2014&lt;/year&gt;&lt;pub-dates&gt;&lt;date&gt;October&lt;/date&gt;&lt;/pub-dates&gt;&lt;/dates&gt;&lt;urls&gt;&lt;related-urls&gt;&lt;url&gt;https://devpolicy.crawford.anu.edu.au/png-budget-project&lt;/url&gt;&lt;/related-urls&gt;&lt;/urls&gt;&lt;/record&gt;&lt;/Cite&gt;&lt;/EndNote&gt;</w:instrText>
      </w:r>
      <w:r>
        <w:rPr>
          <w:rFonts w:asciiTheme="minorHAnsi" w:hAnsiTheme="minorHAnsi"/>
          <w:sz w:val="22"/>
        </w:rPr>
        <w:fldChar w:fldCharType="separate"/>
      </w:r>
      <w:r>
        <w:rPr>
          <w:rFonts w:asciiTheme="minorHAnsi" w:hAnsiTheme="minorHAnsi"/>
          <w:noProof/>
          <w:sz w:val="22"/>
        </w:rPr>
        <w:t>(Howes, Mako et al. 2014)</w:t>
      </w:r>
      <w:r>
        <w:rPr>
          <w:rFonts w:asciiTheme="minorHAnsi" w:hAnsiTheme="minorHAnsi"/>
          <w:sz w:val="22"/>
        </w:rPr>
        <w:fldChar w:fldCharType="end"/>
      </w:r>
      <w:r w:rsidRPr="00AE7BB9">
        <w:rPr>
          <w:rFonts w:asciiTheme="minorHAnsi" w:hAnsiTheme="minorHAnsi"/>
          <w:sz w:val="22"/>
        </w:rPr>
        <w:t xml:space="preserve"> with higher levels of spending on facility operations, and the number of village health committee meetings held. This suggests that higher levels of spending on facilities and active community engagement each promote the likelihood of rural health infrastructure maintenance (which did not show a clear correlation however with proximity or supervision).  A positive relationship was less evident between infrastructure maintenance and outpatient numbers, though this does not negate the importance of basic maintenance.  </w:t>
      </w:r>
    </w:p>
    <w:p w14:paraId="3294268C" w14:textId="77777777" w:rsidR="00133AEB" w:rsidRPr="00AE7BB9" w:rsidRDefault="00133AEB" w:rsidP="00FD68A2">
      <w:pPr>
        <w:spacing w:after="0" w:line="240" w:lineRule="auto"/>
        <w:rPr>
          <w:rFonts w:asciiTheme="minorHAnsi" w:hAnsiTheme="minorHAnsi"/>
          <w:sz w:val="22"/>
        </w:rPr>
      </w:pPr>
    </w:p>
    <w:p w14:paraId="78979129" w14:textId="5C56FC17" w:rsidR="00133AEB" w:rsidRPr="00AE7BB9" w:rsidRDefault="00133AEB" w:rsidP="001F6A23">
      <w:pPr>
        <w:spacing w:after="0" w:line="240" w:lineRule="auto"/>
        <w:rPr>
          <w:rFonts w:asciiTheme="minorHAnsi" w:hAnsiTheme="minorHAnsi"/>
          <w:sz w:val="22"/>
        </w:rPr>
      </w:pPr>
      <w:r w:rsidRPr="00AE7BB9">
        <w:rPr>
          <w:rFonts w:asciiTheme="minorHAnsi" w:hAnsiTheme="minorHAnsi"/>
          <w:sz w:val="22"/>
        </w:rPr>
        <w:t>It is important to note that the results of this study have been aggregated at the provincial level. However, health performance across the province – between districts – is likely to vary, perhaps markedly. With the expanding role of districts in providing support for basic service delivery</w:t>
      </w:r>
      <w:r>
        <w:rPr>
          <w:rFonts w:asciiTheme="minorHAnsi" w:hAnsiTheme="minorHAnsi"/>
          <w:sz w:val="22"/>
        </w:rPr>
        <w:fldChar w:fldCharType="begin"/>
      </w:r>
      <w:r>
        <w:rPr>
          <w:rFonts w:asciiTheme="minorHAnsi" w:hAnsiTheme="minorHAnsi"/>
          <w:sz w:val="22"/>
        </w:rPr>
        <w:instrText xml:space="preserve"> ADDIN EN.CITE &lt;EndNote&gt;&lt;Cite&gt;&lt;Year&gt;2014&lt;/Year&gt;&lt;RecNum&gt;0&lt;/RecNum&gt;&lt;IDText&gt;District Development Authority Act&lt;/IDText&gt;&lt;DisplayText&gt;(2014)&lt;/DisplayText&gt;&lt;record&gt;&lt;ref-type name="Report"&gt;27&lt;/ref-type&gt;&lt;contributors&gt;&lt;/contributors&gt;&lt;titles&gt;&lt;title&gt;District Development Authority Act&lt;/title&gt;&lt;/titles&gt;&lt;dates&gt;&lt;year&gt;2014&lt;/year&gt;&lt;/dates&gt;&lt;pub-location&gt;Port Moresby, PNG, &lt;/pub-location&gt;&lt;publisher&gt;National Parliment of Papua New Guinea&lt;/publisher&gt;&lt;/record&gt;&lt;/Cite&gt;&lt;/EndNote&gt;</w:instrText>
      </w:r>
      <w:r>
        <w:rPr>
          <w:rFonts w:asciiTheme="minorHAnsi" w:hAnsiTheme="minorHAnsi"/>
          <w:sz w:val="22"/>
        </w:rPr>
        <w:fldChar w:fldCharType="separate"/>
      </w:r>
      <w:r>
        <w:rPr>
          <w:rFonts w:asciiTheme="minorHAnsi" w:hAnsiTheme="minorHAnsi"/>
          <w:noProof/>
          <w:sz w:val="22"/>
        </w:rPr>
        <w:t>(2014)</w:t>
      </w:r>
      <w:r>
        <w:rPr>
          <w:rFonts w:asciiTheme="minorHAnsi" w:hAnsiTheme="minorHAnsi"/>
          <w:sz w:val="22"/>
        </w:rPr>
        <w:fldChar w:fldCharType="end"/>
      </w:r>
      <w:r w:rsidRPr="00AE7BB9">
        <w:rPr>
          <w:rFonts w:asciiTheme="minorHAnsi" w:hAnsiTheme="minorHAnsi"/>
          <w:sz w:val="22"/>
        </w:rPr>
        <w:t xml:space="preserve">, there will be a need to monitor and reflect on intra-provincial variation and challenges at district level. </w:t>
      </w:r>
      <w:r>
        <w:rPr>
          <w:rFonts w:asciiTheme="minorHAnsi" w:hAnsiTheme="minorHAnsi"/>
          <w:sz w:val="22"/>
        </w:rPr>
        <w:t>Analysis of household survey data would also add more insights into usage of private and informal providers, which lay outside the purview of this analysis of public administrative data.</w:t>
      </w:r>
    </w:p>
    <w:p w14:paraId="69A8DCF6" w14:textId="77777777" w:rsidR="00133AEB" w:rsidRPr="00B86D18" w:rsidRDefault="00133AEB" w:rsidP="001F6A23">
      <w:pPr>
        <w:spacing w:after="0" w:line="240" w:lineRule="auto"/>
        <w:rPr>
          <w:rFonts w:asciiTheme="minorHAnsi" w:hAnsiTheme="minorHAnsi"/>
          <w:sz w:val="22"/>
        </w:rPr>
      </w:pPr>
    </w:p>
    <w:p w14:paraId="0E31A801" w14:textId="500583A4" w:rsidR="00133AEB" w:rsidRDefault="00133AEB" w:rsidP="001F6A23">
      <w:pPr>
        <w:spacing w:after="0" w:line="240" w:lineRule="auto"/>
        <w:rPr>
          <w:rFonts w:asciiTheme="minorHAnsi" w:hAnsiTheme="minorHAnsi"/>
          <w:sz w:val="22"/>
        </w:rPr>
      </w:pPr>
      <w:r w:rsidRPr="00B86D18">
        <w:rPr>
          <w:rFonts w:asciiTheme="minorHAnsi" w:hAnsiTheme="minorHAnsi"/>
          <w:sz w:val="22"/>
        </w:rPr>
        <w:t>This study feeds into wider international literature about health expenditure and health system</w:t>
      </w:r>
      <w:r w:rsidRPr="00AE7BB9">
        <w:rPr>
          <w:rFonts w:asciiTheme="minorHAnsi" w:hAnsiTheme="minorHAnsi" w:cs="Times New Roman"/>
          <w:sz w:val="22"/>
        </w:rPr>
        <w:t xml:space="preserve"> performance, although most of those have been conducted at the national level. S</w:t>
      </w:r>
      <w:r w:rsidRPr="00AE7BB9">
        <w:rPr>
          <w:rFonts w:asciiTheme="minorHAnsi" w:hAnsiTheme="minorHAnsi"/>
          <w:sz w:val="22"/>
        </w:rPr>
        <w:t>tudying cross-national comparison data in Africa from 1990 to 1996, Peters et al found that while public sector health expenditures were quite low and much financing was inefficiently used, expenditures were still associated with greater levels of measles immunization and, to a lesser degree, with higher contraceptive prevalence</w:t>
      </w:r>
      <w:r>
        <w:rPr>
          <w:rFonts w:asciiTheme="minorHAnsi" w:hAnsiTheme="minorHAnsi"/>
          <w:sz w:val="22"/>
        </w:rPr>
        <w:fldChar w:fldCharType="begin"/>
      </w:r>
      <w:r>
        <w:rPr>
          <w:rFonts w:asciiTheme="minorHAnsi" w:hAnsiTheme="minorHAnsi"/>
          <w:sz w:val="22"/>
        </w:rPr>
        <w:instrText xml:space="preserve"> ADDIN EN.CITE &lt;EndNote&gt;&lt;Cite&gt;&lt;Author&gt;Peters&lt;/Author&gt;&lt;Year&gt;1999&lt;/Year&gt;&lt;RecNum&gt;0&lt;/RecNum&gt;&lt;IDText&gt;Health expenditures, services, and outcomes in Africa: Basic data and cross-national comparisons, 1990-1996&lt;/IDText&gt;&lt;DisplayText&gt;(Peters, Kandola et al. 1999)&lt;/DisplayText&gt;&lt;record&gt;&lt;ref-type name="Report"&gt;27&lt;/ref-type&gt;&lt;contributors&gt;&lt;authors&gt;&lt;author&gt;Peters, David H.&lt;/author&gt;&lt;author&gt;Kandola, Kami&lt;/author&gt;&lt;author&gt;Elmendorf, A. Edward&lt;/author&gt;&lt;author&gt;Chellaraj, Gnanaraj&lt;/author&gt;&lt;/authors&gt;&lt;/contributors&gt;&lt;titles&gt;&lt;title&gt;Health expenditures, services, and outcomes in Africa: Basic data and cross-national comparisons, 1990-1996&lt;/title&gt;&lt;/titles&gt;&lt;dates&gt;&lt;year&gt;1999&lt;/year&gt;&lt;/dates&gt;&lt;publisher&gt;World Bank Publications Department&lt;/publisher&gt;&lt;/record&gt;&lt;/Cite&gt;&lt;/EndNote&gt;</w:instrText>
      </w:r>
      <w:r>
        <w:rPr>
          <w:rFonts w:asciiTheme="minorHAnsi" w:hAnsiTheme="minorHAnsi"/>
          <w:sz w:val="22"/>
        </w:rPr>
        <w:fldChar w:fldCharType="separate"/>
      </w:r>
      <w:r>
        <w:rPr>
          <w:rFonts w:asciiTheme="minorHAnsi" w:hAnsiTheme="minorHAnsi"/>
          <w:noProof/>
          <w:sz w:val="22"/>
        </w:rPr>
        <w:t>(Peters, Kandola et al. 1999)</w:t>
      </w:r>
      <w:r>
        <w:rPr>
          <w:rFonts w:asciiTheme="minorHAnsi" w:hAnsiTheme="minorHAnsi"/>
          <w:sz w:val="22"/>
        </w:rPr>
        <w:fldChar w:fldCharType="end"/>
      </w:r>
      <w:r w:rsidRPr="009D4E46">
        <w:rPr>
          <w:rFonts w:asciiTheme="minorHAnsi" w:hAnsiTheme="minorHAnsi"/>
          <w:sz w:val="22"/>
        </w:rPr>
        <w:t xml:space="preserve">. </w:t>
      </w:r>
      <w:proofErr w:type="spellStart"/>
      <w:r w:rsidRPr="009D4E46">
        <w:rPr>
          <w:rFonts w:asciiTheme="minorHAnsi" w:hAnsiTheme="minorHAnsi"/>
          <w:sz w:val="22"/>
        </w:rPr>
        <w:t>Muftaodeen</w:t>
      </w:r>
      <w:proofErr w:type="spellEnd"/>
      <w:r w:rsidRPr="009D4E46">
        <w:rPr>
          <w:rFonts w:asciiTheme="minorHAnsi" w:hAnsiTheme="minorHAnsi"/>
          <w:sz w:val="22"/>
        </w:rPr>
        <w:t xml:space="preserve"> and Bello’s study of Nigeria </w:t>
      </w:r>
      <w:r>
        <w:rPr>
          <w:rFonts w:asciiTheme="minorHAnsi" w:hAnsiTheme="minorHAnsi"/>
          <w:sz w:val="22"/>
        </w:rPr>
        <w:fldChar w:fldCharType="begin"/>
      </w:r>
      <w:r>
        <w:rPr>
          <w:rFonts w:asciiTheme="minorHAnsi" w:hAnsiTheme="minorHAnsi"/>
          <w:sz w:val="22"/>
        </w:rPr>
        <w:instrText xml:space="preserve"> ADDIN EN.CITE &lt;EndNote&gt;&lt;Cite&gt;&lt;Author&gt;Muftaudeen&lt;/Author&gt;&lt;Year&gt;2014&lt;/Year&gt;&lt;RecNum&gt;0&lt;/RecNum&gt;&lt;IDText&gt;Public Healthcare Expenditure and Health Sector Performance In Nigeria: Implications for Sustainable Economic Development&lt;/IDText&gt;&lt;DisplayText&gt;(Muftaudeen and Bello 2014)&lt;/DisplayText&gt;&lt;record&gt;&lt;ref-type name="Journal Article"&gt;17&lt;/ref-type&gt;&lt;contributors&gt;&lt;authors&gt;&lt;author&gt;Muftaudeen, O. &lt;/author&gt;&lt;author&gt;Bello, A.&lt;/author&gt;&lt;/authors&gt;&lt;/contributors&gt;&lt;titles&gt;&lt;title&gt;Public Healthcare Expenditure and Health Sector Performance In Nigeria: Implications for Sustainable Economic Development&lt;/title&gt;&lt;secondary-title&gt;Journal of Economics and Finance (IOSR-JEF), Volume 4(3), May-June 2014, pp 39-55.&lt;/secondary-title&gt;&lt;/titles&gt;&lt;dates&gt;&lt;year&gt;2014&lt;/year&gt;&lt;/dates&gt;&lt;publisher&gt;Journal of Economics and Finance  Volume 4(3), May-June 2014, pp 39-55.&lt;/publisher&gt;&lt;/record&gt;&lt;/Cite&gt;&lt;/EndNote&gt;</w:instrText>
      </w:r>
      <w:r>
        <w:rPr>
          <w:rFonts w:asciiTheme="minorHAnsi" w:hAnsiTheme="minorHAnsi"/>
          <w:sz w:val="22"/>
        </w:rPr>
        <w:fldChar w:fldCharType="separate"/>
      </w:r>
      <w:r>
        <w:rPr>
          <w:rFonts w:asciiTheme="minorHAnsi" w:hAnsiTheme="minorHAnsi"/>
          <w:noProof/>
          <w:sz w:val="22"/>
        </w:rPr>
        <w:t>(Muftaudeen and Bello 2014)</w:t>
      </w:r>
      <w:r>
        <w:rPr>
          <w:rFonts w:asciiTheme="minorHAnsi" w:hAnsiTheme="minorHAnsi"/>
          <w:sz w:val="22"/>
        </w:rPr>
        <w:fldChar w:fldCharType="end"/>
      </w:r>
      <w:r>
        <w:rPr>
          <w:rFonts w:asciiTheme="minorHAnsi" w:hAnsiTheme="minorHAnsi"/>
          <w:sz w:val="22"/>
        </w:rPr>
        <w:t xml:space="preserve"> </w:t>
      </w:r>
      <w:r w:rsidRPr="009D4E46">
        <w:rPr>
          <w:rFonts w:asciiTheme="minorHAnsi" w:hAnsiTheme="minorHAnsi"/>
          <w:sz w:val="22"/>
        </w:rPr>
        <w:t>found</w:t>
      </w:r>
      <w:r w:rsidRPr="00AE7BB9">
        <w:rPr>
          <w:rFonts w:asciiTheme="minorHAnsi" w:hAnsiTheme="minorHAnsi"/>
          <w:sz w:val="22"/>
        </w:rPr>
        <w:t xml:space="preserve"> a long-run and short-run stable relationship among the variables of government financial commitment to health and sector performance outcomes, as well as a strong coefficient of institutional quality, with a 1% increase in institutional quality yielding a decrease in infant mortality rate and under-5 mortality rate of 5.58% and 1.29% respectively.  In 1999, Anyanwu and </w:t>
      </w:r>
      <w:proofErr w:type="spellStart"/>
      <w:r w:rsidRPr="00AE7BB9">
        <w:rPr>
          <w:rFonts w:asciiTheme="minorHAnsi" w:hAnsiTheme="minorHAnsi"/>
          <w:sz w:val="22"/>
        </w:rPr>
        <w:t>Erhijakpor</w:t>
      </w:r>
      <w:proofErr w:type="spellEnd"/>
      <w:r w:rsidRPr="00AE7BB9">
        <w:rPr>
          <w:rFonts w:asciiTheme="minorHAnsi" w:hAnsiTheme="minorHAnsi"/>
          <w:sz w:val="22"/>
        </w:rPr>
        <w:t xml:space="preserve"> found that under-five mortality rates and infant mortality rates have a close, consistent relationship to levels of total and </w:t>
      </w:r>
      <w:r w:rsidRPr="00AE7BB9">
        <w:rPr>
          <w:rFonts w:asciiTheme="minorHAnsi" w:hAnsiTheme="minorHAnsi"/>
          <w:sz w:val="22"/>
        </w:rPr>
        <w:lastRenderedPageBreak/>
        <w:t>government expenditure</w:t>
      </w:r>
      <w:r>
        <w:rPr>
          <w:rFonts w:asciiTheme="minorHAnsi" w:hAnsiTheme="minorHAnsi"/>
          <w:sz w:val="22"/>
        </w:rPr>
        <w:t xml:space="preserve"> in health</w:t>
      </w:r>
      <w:r w:rsidRPr="00AE7BB9">
        <w:rPr>
          <w:rFonts w:asciiTheme="minorHAnsi" w:hAnsiTheme="minorHAnsi"/>
          <w:sz w:val="22"/>
        </w:rPr>
        <w:t xml:space="preserve"> across Africa</w:t>
      </w:r>
      <w:r>
        <w:rPr>
          <w:rFonts w:asciiTheme="minorHAnsi" w:hAnsiTheme="minorHAnsi"/>
          <w:sz w:val="22"/>
        </w:rPr>
        <w:fldChar w:fldCharType="begin"/>
      </w:r>
      <w:r>
        <w:rPr>
          <w:rFonts w:asciiTheme="minorHAnsi" w:hAnsiTheme="minorHAnsi"/>
          <w:sz w:val="22"/>
        </w:rPr>
        <w:instrText xml:space="preserve"> ADDIN EN.CITE &lt;EndNote&gt;&lt;Cite&gt;&lt;Author&gt;Anyanwu&lt;/Author&gt;&lt;Year&gt;2009&lt;/Year&gt;&lt;RecNum&gt;0&lt;/RecNum&gt;&lt;IDText&gt;Health Expenditures and Health Outcomes in Africa&lt;/IDText&gt;&lt;DisplayText&gt;(Anyanwu and Erhijakpor 2009)&lt;/DisplayText&gt;&lt;record&gt;&lt;ref-type name="Report"&gt;27&lt;/ref-type&gt;&lt;contributors&gt;&lt;authors&gt;&lt;author&gt;Anyanwu, John C.&lt;/author&gt;&lt;author&gt;Erhijakpor, Andrew E.O.&lt;/author&gt;&lt;/authors&gt;&lt;/contributors&gt;&lt;titles&gt;&lt;title&gt;Health Expenditures and Health Outcomes in Africa&lt;/title&gt;&lt;/titles&gt;&lt;dates&gt;&lt;year&gt;2009&lt;/year&gt;&lt;/dates&gt;&lt;/record&gt;&lt;/Cite&gt;&lt;/EndNote&gt;</w:instrText>
      </w:r>
      <w:r>
        <w:rPr>
          <w:rFonts w:asciiTheme="minorHAnsi" w:hAnsiTheme="minorHAnsi"/>
          <w:sz w:val="22"/>
        </w:rPr>
        <w:fldChar w:fldCharType="separate"/>
      </w:r>
      <w:r>
        <w:rPr>
          <w:rFonts w:asciiTheme="minorHAnsi" w:hAnsiTheme="minorHAnsi"/>
          <w:noProof/>
          <w:sz w:val="22"/>
        </w:rPr>
        <w:t>(Anyanwu and Erhijakpor 2009)</w:t>
      </w:r>
      <w:r>
        <w:rPr>
          <w:rFonts w:asciiTheme="minorHAnsi" w:hAnsiTheme="minorHAnsi"/>
          <w:sz w:val="22"/>
        </w:rPr>
        <w:fldChar w:fldCharType="end"/>
      </w:r>
      <w:r w:rsidRPr="00AE7BB9">
        <w:rPr>
          <w:rFonts w:asciiTheme="minorHAnsi" w:hAnsiTheme="minorHAnsi"/>
          <w:sz w:val="22"/>
        </w:rPr>
        <w:t xml:space="preserve">. As noted earlier, the influence of health spending is likely to be higher in lower income countries, where thresholds of affordability of basic packages have not been exceeded.  </w:t>
      </w:r>
    </w:p>
    <w:p w14:paraId="2206F1A7" w14:textId="77777777" w:rsidR="00133AEB" w:rsidRPr="00AE7BB9" w:rsidRDefault="00133AEB" w:rsidP="00FD68A2">
      <w:pPr>
        <w:spacing w:after="0" w:line="240" w:lineRule="auto"/>
        <w:rPr>
          <w:rFonts w:asciiTheme="minorHAnsi" w:hAnsiTheme="minorHAnsi"/>
          <w:sz w:val="22"/>
        </w:rPr>
      </w:pPr>
    </w:p>
    <w:p w14:paraId="7F714B7C" w14:textId="3CDB885D" w:rsidR="00133AEB" w:rsidRDefault="00133AEB" w:rsidP="001F6A23">
      <w:pPr>
        <w:spacing w:after="0" w:line="240" w:lineRule="auto"/>
        <w:rPr>
          <w:rFonts w:asciiTheme="minorHAnsi" w:hAnsiTheme="minorHAnsi"/>
          <w:sz w:val="22"/>
        </w:rPr>
      </w:pPr>
      <w:r w:rsidRPr="00AE7BB9">
        <w:rPr>
          <w:rFonts w:asciiTheme="minorHAnsi" w:hAnsiTheme="minorHAnsi"/>
          <w:sz w:val="22"/>
        </w:rPr>
        <w:t>While higher health expenditure is correlated with better health outcomes across all income groups, our study reinforced wider findings on the importance of understanding differential performance, particularly within one system, and drivers of efficiency</w:t>
      </w:r>
      <w:r>
        <w:rPr>
          <w:rFonts w:asciiTheme="minorHAnsi" w:hAnsiTheme="minorHAnsi"/>
          <w:sz w:val="22"/>
        </w:rPr>
        <w:fldChar w:fldCharType="begin"/>
      </w:r>
      <w:r>
        <w:rPr>
          <w:rFonts w:asciiTheme="minorHAnsi" w:hAnsiTheme="minorHAnsi"/>
          <w:sz w:val="22"/>
        </w:rPr>
        <w:instrText xml:space="preserve"> ADDIN EN.CITE &lt;EndNote&gt;&lt;Cite&gt;&lt;Author&gt;Jowett&lt;/Author&gt;&lt;Year&gt;2016&lt;/Year&gt;&lt;RecNum&gt;0&lt;/RecNum&gt;&lt;IDText&gt;Spending Targets for Health: No Magic Number&lt;/IDText&gt;&lt;DisplayText&gt;(Jowett, Brunal et al. 2016)&lt;/DisplayText&gt;&lt;record&gt;&lt;ref-type name="Online Multimedia"&gt;48&lt;/ref-type&gt;&lt;contributors&gt;&lt;authors&gt;&lt;author&gt;Jowett, Matthew&lt;/author&gt;&lt;author&gt;Brunal, Maria Petro&lt;/author&gt;&lt;author&gt;Flores, Gabriela&lt;/author&gt;&lt;author&gt;Cylus, Jonathan&lt;/author&gt;&lt;/authors&gt;&lt;/contributors&gt;&lt;titles&gt;&lt;title&gt;Spending Targets for Health: No Magic Number&lt;/title&gt;&lt;secondary-title&gt;World Health Organisation&lt;/secondary-title&gt;&lt;/titles&gt;&lt;dates&gt;&lt;year&gt;2016&lt;/year&gt;&lt;/dates&gt;&lt;urls&gt;&lt;related-urls&gt;&lt;url&gt;http://www.who.int/health_financing/documents/no-magic-number/en/&lt;/url&gt;&lt;/related-urls&gt;&lt;/urls&gt;&lt;/record&gt;&lt;/Cite&gt;&lt;/EndNote&gt;</w:instrText>
      </w:r>
      <w:r>
        <w:rPr>
          <w:rFonts w:asciiTheme="minorHAnsi" w:hAnsiTheme="minorHAnsi"/>
          <w:sz w:val="22"/>
        </w:rPr>
        <w:fldChar w:fldCharType="separate"/>
      </w:r>
      <w:r>
        <w:rPr>
          <w:rFonts w:asciiTheme="minorHAnsi" w:hAnsiTheme="minorHAnsi"/>
          <w:noProof/>
          <w:sz w:val="22"/>
        </w:rPr>
        <w:t>(Jowett, Brunal et al. 2016)</w:t>
      </w:r>
      <w:r>
        <w:rPr>
          <w:rFonts w:asciiTheme="minorHAnsi" w:hAnsiTheme="minorHAnsi"/>
          <w:sz w:val="22"/>
        </w:rPr>
        <w:fldChar w:fldCharType="end"/>
      </w:r>
      <w:r w:rsidRPr="00AE7BB9">
        <w:rPr>
          <w:rFonts w:asciiTheme="minorHAnsi" w:hAnsiTheme="minorHAnsi"/>
          <w:sz w:val="22"/>
        </w:rPr>
        <w:t>. It is also important to emphasise the contribution of complementary interventions (such as female education) and the focusing of health spending on the needs of the poor in order to reach health goals</w:t>
      </w:r>
      <w:r>
        <w:rPr>
          <w:rFonts w:asciiTheme="minorHAnsi" w:hAnsiTheme="minorHAnsi"/>
          <w:sz w:val="22"/>
        </w:rPr>
        <w:fldChar w:fldCharType="begin"/>
      </w:r>
      <w:r>
        <w:rPr>
          <w:rFonts w:asciiTheme="minorHAnsi" w:hAnsiTheme="minorHAnsi"/>
          <w:sz w:val="22"/>
        </w:rPr>
        <w:instrText xml:space="preserve"> ADDIN EN.CITE &lt;EndNote&gt;&lt;Cite&gt;&lt;Author&gt;Gupta&lt;/Author&gt;&lt;Year&gt;2001&lt;/Year&gt;&lt;RecNum&gt;0&lt;/RecNum&gt;&lt;IDText&gt;Public Spending on Health Care and the Poor&lt;/IDText&gt;&lt;DisplayText&gt;(Gupta, Verhoeven et al. 2001)&lt;/DisplayText&gt;&lt;record&gt;&lt;ref-type name="Report"&gt;27&lt;/ref-type&gt;&lt;contributors&gt;&lt;authors&gt;&lt;author&gt;Gupta, Sanjeev&lt;/author&gt;&lt;author&gt;Verhoeven, Marijn&lt;/author&gt;&lt;author&gt;Tiongson, Erwin&lt;/author&gt;&lt;/authors&gt;&lt;/contributors&gt;&lt;titles&gt;&lt;title&gt;Public Spending on Health Care and the Poor&lt;/title&gt;&lt;/titles&gt;&lt;dates&gt;&lt;year&gt;2001&lt;/year&gt;&lt;/dates&gt;&lt;/record&gt;&lt;/Cite&gt;&lt;/EndNote&gt;</w:instrText>
      </w:r>
      <w:r>
        <w:rPr>
          <w:rFonts w:asciiTheme="minorHAnsi" w:hAnsiTheme="minorHAnsi"/>
          <w:sz w:val="22"/>
        </w:rPr>
        <w:fldChar w:fldCharType="separate"/>
      </w:r>
      <w:r>
        <w:rPr>
          <w:rFonts w:asciiTheme="minorHAnsi" w:hAnsiTheme="minorHAnsi"/>
          <w:noProof/>
          <w:sz w:val="22"/>
        </w:rPr>
        <w:t>(Gupta, Verhoeven et al. 2001)</w:t>
      </w:r>
      <w:r>
        <w:rPr>
          <w:rFonts w:asciiTheme="minorHAnsi" w:hAnsiTheme="minorHAnsi"/>
          <w:sz w:val="22"/>
        </w:rPr>
        <w:fldChar w:fldCharType="end"/>
      </w:r>
      <w:r w:rsidRPr="00AE7BB9">
        <w:rPr>
          <w:rFonts w:asciiTheme="minorHAnsi" w:hAnsiTheme="minorHAnsi"/>
          <w:sz w:val="22"/>
        </w:rPr>
        <w:t xml:space="preserve">. </w:t>
      </w:r>
    </w:p>
    <w:p w14:paraId="3869E09D" w14:textId="77777777" w:rsidR="00133AEB" w:rsidRPr="001F6A23" w:rsidRDefault="00133AEB" w:rsidP="001F6A23">
      <w:pPr>
        <w:pStyle w:val="Heading1"/>
        <w:spacing w:after="120" w:line="240" w:lineRule="auto"/>
        <w:rPr>
          <w:rFonts w:asciiTheme="minorHAnsi" w:hAnsiTheme="minorHAnsi"/>
        </w:rPr>
      </w:pPr>
      <w:r w:rsidRPr="001F6A23">
        <w:rPr>
          <w:rFonts w:asciiTheme="minorHAnsi" w:hAnsiTheme="minorHAnsi"/>
        </w:rPr>
        <w:t>Conclusion</w:t>
      </w:r>
    </w:p>
    <w:p w14:paraId="50DAB795" w14:textId="43810185" w:rsidR="00133AEB" w:rsidRDefault="00133AEB" w:rsidP="001F6A23">
      <w:pPr>
        <w:spacing w:after="0" w:line="240" w:lineRule="auto"/>
        <w:rPr>
          <w:rFonts w:asciiTheme="minorHAnsi" w:hAnsiTheme="minorHAnsi" w:cstheme="minorHAnsi"/>
          <w:sz w:val="22"/>
        </w:rPr>
      </w:pPr>
      <w:r w:rsidRPr="00B86D18">
        <w:rPr>
          <w:rFonts w:asciiTheme="minorHAnsi" w:hAnsiTheme="minorHAnsi" w:cstheme="minorHAnsi"/>
          <w:sz w:val="22"/>
        </w:rPr>
        <w:t xml:space="preserve">Examining performance patterns of sub-national units within a health system is important to understand their drivers and what might be needed to improve outputs. In this analysis, we undertake simple correlation analysis between remoteness of populations, expenditure on frontline services and core outputs by provinces and regions, such as antenatal care, outpatient visits, outreach clinics, referrals of patients and facility supervision. In the context of the challenging geography of Papua New Guinea, these are expected to be important factors. Some expected patterns were found – for example, between remoteness and higher service costs, as well as between remoteness and higher outreach services. Outpatient visits, however, increased with remoteness, which was surprising. Our correlation analyses suggest a virtuous circle operating in some areas (often the most geographically challenged) </w:t>
      </w:r>
      <w:r w:rsidRPr="00B86D18">
        <w:rPr>
          <w:rFonts w:asciiTheme="minorHAnsi" w:eastAsia="Times New Roman" w:hAnsiTheme="minorHAnsi" w:cstheme="minorHAnsi"/>
          <w:sz w:val="22"/>
          <w:lang w:val="en-NZ"/>
        </w:rPr>
        <w:t xml:space="preserve">between outreach clinics, immunisation coverage, supervision, frontline spending and overall health system performance, which merits further investigation and possibly emulation. </w:t>
      </w:r>
      <w:r w:rsidRPr="00B86D18">
        <w:rPr>
          <w:rFonts w:asciiTheme="minorHAnsi" w:hAnsiTheme="minorHAnsi" w:cstheme="minorHAnsi"/>
          <w:sz w:val="22"/>
        </w:rPr>
        <w:t>More fine-grained assessment, including at the district level, will be needed to understand the overall low levels of outreach clinics, transfers and supervision, all of which are critical for quality health care in these kinds of contexts. The analysis illustrates what can be learned from combining routine data sources, as well as the limits and the need to complement such analysis with more detailed local qualitative investigations.</w:t>
      </w:r>
    </w:p>
    <w:p w14:paraId="2E1D4BF8" w14:textId="297E8647" w:rsidR="008A305B" w:rsidRDefault="008A305B" w:rsidP="001F6A23">
      <w:pPr>
        <w:spacing w:after="0" w:line="240" w:lineRule="auto"/>
        <w:rPr>
          <w:rFonts w:asciiTheme="minorHAnsi" w:hAnsiTheme="minorHAnsi" w:cstheme="minorHAnsi"/>
          <w:sz w:val="22"/>
        </w:rPr>
      </w:pPr>
    </w:p>
    <w:p w14:paraId="6BE1F2D6" w14:textId="662C0FAA" w:rsidR="008A305B" w:rsidRPr="001F6A23" w:rsidRDefault="008A305B" w:rsidP="008A305B">
      <w:pPr>
        <w:rPr>
          <w:rFonts w:asciiTheme="minorHAnsi" w:hAnsiTheme="minorHAnsi" w:cstheme="minorHAnsi"/>
          <w:sz w:val="22"/>
        </w:rPr>
      </w:pPr>
      <w:r>
        <w:rPr>
          <w:rFonts w:asciiTheme="minorHAnsi" w:hAnsiTheme="minorHAnsi" w:cstheme="minorHAnsi"/>
          <w:sz w:val="22"/>
        </w:rPr>
        <w:t xml:space="preserve">At the policy level, </w:t>
      </w:r>
      <w:proofErr w:type="gramStart"/>
      <w:r>
        <w:rPr>
          <w:rFonts w:asciiTheme="minorHAnsi" w:hAnsiTheme="minorHAnsi" w:cstheme="minorHAnsi"/>
          <w:sz w:val="22"/>
        </w:rPr>
        <w:t xml:space="preserve">it is clear that </w:t>
      </w:r>
      <w:r w:rsidRPr="001F6A23">
        <w:rPr>
          <w:rFonts w:asciiTheme="minorHAnsi" w:hAnsiTheme="minorHAnsi" w:cstheme="minorHAnsi"/>
          <w:sz w:val="22"/>
        </w:rPr>
        <w:t>it</w:t>
      </w:r>
      <w:proofErr w:type="gramEnd"/>
      <w:r w:rsidRPr="001F6A23">
        <w:rPr>
          <w:rFonts w:asciiTheme="minorHAnsi" w:hAnsiTheme="minorHAnsi" w:cstheme="minorHAnsi"/>
          <w:sz w:val="22"/>
        </w:rPr>
        <w:t xml:space="preserve"> takes more than just </w:t>
      </w:r>
      <w:r w:rsidRPr="008A305B">
        <w:rPr>
          <w:rFonts w:asciiTheme="minorHAnsi" w:hAnsiTheme="minorHAnsi" w:cstheme="minorHAnsi"/>
          <w:sz w:val="22"/>
        </w:rPr>
        <w:t xml:space="preserve">funding to deliver </w:t>
      </w:r>
      <w:r>
        <w:rPr>
          <w:rFonts w:asciiTheme="minorHAnsi" w:hAnsiTheme="minorHAnsi" w:cstheme="minorHAnsi"/>
          <w:sz w:val="22"/>
        </w:rPr>
        <w:t>health services.</w:t>
      </w:r>
      <w:r w:rsidRPr="008A305B">
        <w:rPr>
          <w:rFonts w:asciiTheme="minorHAnsi" w:hAnsiTheme="minorHAnsi" w:cstheme="minorHAnsi"/>
          <w:sz w:val="22"/>
        </w:rPr>
        <w:t xml:space="preserve"> F</w:t>
      </w:r>
      <w:r w:rsidRPr="001F6A23">
        <w:rPr>
          <w:rFonts w:asciiTheme="minorHAnsi" w:hAnsiTheme="minorHAnsi" w:cstheme="minorHAnsi"/>
          <w:sz w:val="22"/>
        </w:rPr>
        <w:t xml:space="preserve">inancing is necessary but </w:t>
      </w:r>
      <w:bookmarkStart w:id="13" w:name="_GoBack"/>
      <w:r w:rsidRPr="001F6A23">
        <w:rPr>
          <w:rFonts w:asciiTheme="minorHAnsi" w:hAnsiTheme="minorHAnsi" w:cstheme="minorHAnsi"/>
          <w:sz w:val="22"/>
        </w:rPr>
        <w:t>not sufficient condition for improved front line service delivery performance. </w:t>
      </w:r>
      <w:r>
        <w:rPr>
          <w:rFonts w:asciiTheme="minorHAnsi" w:hAnsiTheme="minorHAnsi" w:cstheme="minorHAnsi"/>
          <w:sz w:val="22"/>
        </w:rPr>
        <w:t xml:space="preserve"> In some cases, performance is better </w:t>
      </w:r>
      <w:r w:rsidR="007931AA">
        <w:rPr>
          <w:rFonts w:asciiTheme="minorHAnsi" w:hAnsiTheme="minorHAnsi" w:cstheme="minorHAnsi"/>
          <w:sz w:val="22"/>
        </w:rPr>
        <w:t xml:space="preserve">even </w:t>
      </w:r>
      <w:bookmarkEnd w:id="13"/>
      <w:r>
        <w:rPr>
          <w:rFonts w:asciiTheme="minorHAnsi" w:hAnsiTheme="minorHAnsi" w:cstheme="minorHAnsi"/>
          <w:sz w:val="22"/>
        </w:rPr>
        <w:t xml:space="preserve">with very limited funding. Governance and management matter. Good governance and management can provide the right structure and </w:t>
      </w:r>
      <w:r w:rsidR="00FF6C1D">
        <w:rPr>
          <w:rFonts w:asciiTheme="minorHAnsi" w:hAnsiTheme="minorHAnsi" w:cstheme="minorHAnsi"/>
          <w:sz w:val="22"/>
        </w:rPr>
        <w:t>incentives to improve</w:t>
      </w:r>
      <w:r>
        <w:rPr>
          <w:rFonts w:asciiTheme="minorHAnsi" w:hAnsiTheme="minorHAnsi" w:cstheme="minorHAnsi"/>
          <w:sz w:val="22"/>
        </w:rPr>
        <w:t xml:space="preserve"> health services delivery at the frontline. The challenges in Papua New Guinea are the diversified culture</w:t>
      </w:r>
      <w:r w:rsidR="00FF6C1D">
        <w:rPr>
          <w:rFonts w:asciiTheme="minorHAnsi" w:hAnsiTheme="minorHAnsi" w:cstheme="minorHAnsi"/>
          <w:sz w:val="22"/>
        </w:rPr>
        <w:t xml:space="preserve"> and local governance</w:t>
      </w:r>
      <w:r>
        <w:rPr>
          <w:rFonts w:asciiTheme="minorHAnsi" w:hAnsiTheme="minorHAnsi" w:cstheme="minorHAnsi"/>
          <w:sz w:val="22"/>
        </w:rPr>
        <w:t xml:space="preserve"> </w:t>
      </w:r>
      <w:r w:rsidR="00CD08E4">
        <w:rPr>
          <w:rFonts w:asciiTheme="minorHAnsi" w:hAnsiTheme="minorHAnsi" w:cstheme="minorHAnsi"/>
          <w:sz w:val="22"/>
        </w:rPr>
        <w:t xml:space="preserve">structure </w:t>
      </w:r>
      <w:r>
        <w:rPr>
          <w:rFonts w:asciiTheme="minorHAnsi" w:hAnsiTheme="minorHAnsi" w:cstheme="minorHAnsi"/>
          <w:sz w:val="22"/>
        </w:rPr>
        <w:t>across the provinces. The governance and management structure which works in some provinces may not work in other provinces.</w:t>
      </w:r>
      <w:r w:rsidR="00FF6C1D">
        <w:rPr>
          <w:rFonts w:asciiTheme="minorHAnsi" w:hAnsiTheme="minorHAnsi" w:cstheme="minorHAnsi"/>
          <w:sz w:val="22"/>
        </w:rPr>
        <w:t xml:space="preserve"> T</w:t>
      </w:r>
      <w:r>
        <w:rPr>
          <w:rFonts w:asciiTheme="minorHAnsi" w:hAnsiTheme="minorHAnsi" w:cstheme="minorHAnsi"/>
          <w:sz w:val="22"/>
        </w:rPr>
        <w:t xml:space="preserve">he National Department of Health </w:t>
      </w:r>
      <w:r w:rsidR="00FF6C1D">
        <w:rPr>
          <w:rFonts w:asciiTheme="minorHAnsi" w:hAnsiTheme="minorHAnsi" w:cstheme="minorHAnsi"/>
          <w:sz w:val="22"/>
        </w:rPr>
        <w:t xml:space="preserve">need to strike the right balance and provide strong incentives for the decentralized subgovernment to deliver the frontline services.  </w:t>
      </w:r>
      <w:r w:rsidR="00CD08E4">
        <w:rPr>
          <w:rFonts w:asciiTheme="minorHAnsi" w:hAnsiTheme="minorHAnsi" w:cstheme="minorHAnsi"/>
          <w:sz w:val="22"/>
        </w:rPr>
        <w:t xml:space="preserve">The performance, certainty needs to be monitored more closely and timely.  </w:t>
      </w:r>
    </w:p>
    <w:p w14:paraId="75F20989" w14:textId="27C81547" w:rsidR="008A305B" w:rsidRPr="001F6A23" w:rsidRDefault="008A305B" w:rsidP="001F6A23">
      <w:pPr>
        <w:spacing w:after="0" w:line="240" w:lineRule="auto"/>
        <w:rPr>
          <w:rFonts w:asciiTheme="minorHAnsi" w:hAnsiTheme="minorHAnsi" w:cstheme="minorHAnsi"/>
          <w:sz w:val="22"/>
          <w:lang w:val="en-US"/>
        </w:rPr>
      </w:pPr>
    </w:p>
    <w:p w14:paraId="71C1B315" w14:textId="77777777" w:rsidR="00133AEB" w:rsidRDefault="00133AEB" w:rsidP="00FD68A2">
      <w:pPr>
        <w:spacing w:after="160" w:line="240" w:lineRule="auto"/>
        <w:jc w:val="left"/>
        <w:rPr>
          <w:rFonts w:asciiTheme="minorHAnsi" w:hAnsiTheme="minorHAnsi"/>
        </w:rPr>
      </w:pPr>
      <w:r>
        <w:rPr>
          <w:rFonts w:asciiTheme="minorHAnsi" w:hAnsiTheme="minorHAnsi"/>
        </w:rPr>
        <w:br w:type="page"/>
      </w:r>
    </w:p>
    <w:p w14:paraId="2F00124F" w14:textId="3486A0BE" w:rsidR="00133AEB" w:rsidRPr="001F6A23" w:rsidRDefault="00133AEB" w:rsidP="001F6A23">
      <w:pPr>
        <w:pStyle w:val="Bibliography"/>
        <w:spacing w:line="240" w:lineRule="auto"/>
        <w:ind w:left="720" w:hanging="720"/>
        <w:rPr>
          <w:sz w:val="22"/>
        </w:rPr>
      </w:pPr>
      <w:r w:rsidRPr="00AE7BB9">
        <w:rPr>
          <w:rFonts w:asciiTheme="minorHAnsi" w:hAnsiTheme="minorHAnsi"/>
        </w:rPr>
        <w:lastRenderedPageBreak/>
        <w:fldChar w:fldCharType="begin"/>
      </w:r>
      <w:r w:rsidRPr="00AE7BB9">
        <w:rPr>
          <w:rFonts w:asciiTheme="minorHAnsi" w:hAnsiTheme="minorHAnsi"/>
        </w:rPr>
        <w:instrText xml:space="preserve"> BIBLIOGRAPHY </w:instrText>
      </w:r>
      <w:r w:rsidRPr="00AE7BB9">
        <w:rPr>
          <w:rFonts w:asciiTheme="minorHAnsi" w:hAnsiTheme="minorHAnsi"/>
        </w:rPr>
        <w:fldChar w:fldCharType="separate"/>
      </w:r>
      <w:r w:rsidRPr="001F6A23">
        <w:rPr>
          <w:sz w:val="22"/>
        </w:rPr>
        <w:t xml:space="preserve">Anyanwu, J. C., &amp; Erhijakpor, A. E. (2009). </w:t>
      </w:r>
      <w:r w:rsidRPr="001F6A23">
        <w:rPr>
          <w:i/>
          <w:sz w:val="22"/>
        </w:rPr>
        <w:t>Health Expenditures and Health Outcomes in Africa.</w:t>
      </w:r>
      <w:r w:rsidRPr="001F6A23">
        <w:rPr>
          <w:sz w:val="22"/>
        </w:rPr>
        <w:t xml:space="preserve"> Retrieved from http://onlinelibrary.wiley.com/doi/10.1111/j.1467-8268.2009.00215.x/abstract</w:t>
      </w:r>
    </w:p>
    <w:p w14:paraId="30CB26E9" w14:textId="77777777" w:rsidR="00133AEB" w:rsidRPr="001F6A23" w:rsidRDefault="00133AEB" w:rsidP="001F6A23">
      <w:pPr>
        <w:pStyle w:val="Bibliography"/>
        <w:spacing w:line="240" w:lineRule="auto"/>
        <w:ind w:left="720" w:hanging="720"/>
        <w:rPr>
          <w:sz w:val="22"/>
        </w:rPr>
      </w:pPr>
      <w:r w:rsidRPr="001F6A23">
        <w:rPr>
          <w:sz w:val="22"/>
        </w:rPr>
        <w:t xml:space="preserve">Commission, N. E. (2014). </w:t>
      </w:r>
      <w:r w:rsidRPr="001F6A23">
        <w:rPr>
          <w:i/>
          <w:sz w:val="22"/>
        </w:rPr>
        <w:t>The Thin Blue Line: The Methodology and Results of the Cost of Sub-national Services Study (O&amp;M).</w:t>
      </w:r>
      <w:r w:rsidRPr="001F6A23">
        <w:rPr>
          <w:sz w:val="22"/>
        </w:rPr>
        <w:t xml:space="preserve"> Port Moresby, PNG .</w:t>
      </w:r>
    </w:p>
    <w:p w14:paraId="7CA073AF" w14:textId="61660B70" w:rsidR="00133AEB" w:rsidRPr="001F6A23" w:rsidRDefault="00133AEB" w:rsidP="001F6A23">
      <w:pPr>
        <w:pStyle w:val="Bibliography"/>
        <w:spacing w:line="240" w:lineRule="auto"/>
        <w:ind w:left="720" w:hanging="720"/>
        <w:rPr>
          <w:sz w:val="22"/>
        </w:rPr>
      </w:pPr>
      <w:r w:rsidRPr="001F6A23">
        <w:rPr>
          <w:sz w:val="22"/>
        </w:rPr>
        <w:t xml:space="preserve">Ensor, T., So , S., &amp; Witter, S. (2016). Exploring the influence of context and policy on health district productivity in Cambodia. </w:t>
      </w:r>
      <w:r w:rsidRPr="001F6A23">
        <w:rPr>
          <w:i/>
          <w:sz w:val="22"/>
        </w:rPr>
        <w:t>Cost effectiveness and resource allocation,</w:t>
      </w:r>
      <w:r w:rsidRPr="001F6A23">
        <w:rPr>
          <w:sz w:val="22"/>
        </w:rPr>
        <w:t>, 14:1.http://www.resource-allocation.com/content/14/1/1.</w:t>
      </w:r>
    </w:p>
    <w:p w14:paraId="37C0E91E" w14:textId="7698816B" w:rsidR="00133AEB" w:rsidRPr="00FD68A2" w:rsidRDefault="00133AEB" w:rsidP="00FD68A2">
      <w:pPr>
        <w:autoSpaceDE w:val="0"/>
        <w:autoSpaceDN w:val="0"/>
        <w:adjustRightInd w:val="0"/>
        <w:spacing w:after="0" w:line="240" w:lineRule="auto"/>
        <w:jc w:val="left"/>
        <w:rPr>
          <w:noProof/>
          <w:sz w:val="22"/>
        </w:rPr>
      </w:pPr>
      <w:r w:rsidRPr="00FD68A2">
        <w:rPr>
          <w:noProof/>
          <w:sz w:val="22"/>
        </w:rPr>
        <w:t>Feeny, S. (2013) Service delivery and human development in Papua New</w:t>
      </w:r>
    </w:p>
    <w:p w14:paraId="22D1C438" w14:textId="315A4718" w:rsidR="00133AEB" w:rsidRPr="00FD68A2" w:rsidRDefault="00133AEB" w:rsidP="00FD68A2">
      <w:pPr>
        <w:autoSpaceDE w:val="0"/>
        <w:autoSpaceDN w:val="0"/>
        <w:adjustRightInd w:val="0"/>
        <w:spacing w:after="0" w:line="240" w:lineRule="auto"/>
        <w:ind w:firstLine="720"/>
        <w:jc w:val="left"/>
        <w:rPr>
          <w:noProof/>
          <w:sz w:val="22"/>
        </w:rPr>
      </w:pPr>
      <w:r w:rsidRPr="00FD68A2">
        <w:rPr>
          <w:noProof/>
          <w:sz w:val="22"/>
        </w:rPr>
        <w:t>Guinea: the performance of provincial governments, Journal of the Asia Pacific Economy, 18:1,71-85, DOI: 10.1080/13547860.2012.742680</w:t>
      </w:r>
    </w:p>
    <w:p w14:paraId="6F6621E8" w14:textId="77777777" w:rsidR="00BB63D0" w:rsidRPr="00FD68A2" w:rsidRDefault="00BB63D0" w:rsidP="00FD68A2">
      <w:pPr>
        <w:autoSpaceDE w:val="0"/>
        <w:autoSpaceDN w:val="0"/>
        <w:adjustRightInd w:val="0"/>
        <w:spacing w:after="0" w:line="240" w:lineRule="auto"/>
        <w:ind w:firstLine="720"/>
        <w:jc w:val="left"/>
        <w:rPr>
          <w:noProof/>
          <w:sz w:val="22"/>
        </w:rPr>
      </w:pPr>
    </w:p>
    <w:p w14:paraId="328305DF" w14:textId="77777777" w:rsidR="00133AEB" w:rsidRPr="001F6A23" w:rsidRDefault="00133AEB" w:rsidP="001F6A23">
      <w:pPr>
        <w:pStyle w:val="Bibliography"/>
        <w:spacing w:line="240" w:lineRule="auto"/>
        <w:ind w:left="720" w:hanging="720"/>
        <w:rPr>
          <w:sz w:val="22"/>
        </w:rPr>
      </w:pPr>
      <w:r w:rsidRPr="001F6A23">
        <w:rPr>
          <w:sz w:val="22"/>
        </w:rPr>
        <w:t xml:space="preserve">Government of Papua New Guinea. (2014). </w:t>
      </w:r>
      <w:r w:rsidRPr="001F6A23">
        <w:rPr>
          <w:i/>
          <w:sz w:val="22"/>
        </w:rPr>
        <w:t>District Development Authority Act.</w:t>
      </w:r>
      <w:r w:rsidRPr="001F6A23">
        <w:rPr>
          <w:sz w:val="22"/>
        </w:rPr>
        <w:t xml:space="preserve"> Port Moresby, PNG, : National Parliment of Papua New Guinea.</w:t>
      </w:r>
    </w:p>
    <w:p w14:paraId="67851B3E" w14:textId="77777777" w:rsidR="00133AEB" w:rsidRPr="001F6A23" w:rsidRDefault="00133AEB" w:rsidP="001F6A23">
      <w:pPr>
        <w:pStyle w:val="Bibliography"/>
        <w:spacing w:line="240" w:lineRule="auto"/>
        <w:ind w:left="720" w:hanging="720"/>
        <w:rPr>
          <w:sz w:val="22"/>
        </w:rPr>
      </w:pPr>
      <w:r w:rsidRPr="001F6A23">
        <w:rPr>
          <w:sz w:val="22"/>
        </w:rPr>
        <w:t xml:space="preserve">Gupta, S., Verhoeven, M., &amp; Tiongson, E. (2001). </w:t>
      </w:r>
      <w:r w:rsidRPr="001F6A23">
        <w:rPr>
          <w:i/>
          <w:sz w:val="22"/>
        </w:rPr>
        <w:t>Public Spending on Health Care and the Poor.</w:t>
      </w:r>
      <w:r w:rsidRPr="001F6A23">
        <w:rPr>
          <w:sz w:val="22"/>
        </w:rPr>
        <w:t xml:space="preserve"> Retrieved from https://www.imf.org/external/pubs/ft/wp/2001/wp01127.pdf</w:t>
      </w:r>
    </w:p>
    <w:p w14:paraId="7873148D" w14:textId="77777777" w:rsidR="00133AEB" w:rsidRPr="001F6A23" w:rsidRDefault="00133AEB" w:rsidP="001F6A23">
      <w:pPr>
        <w:pStyle w:val="Bibliography"/>
        <w:spacing w:line="240" w:lineRule="auto"/>
        <w:ind w:left="720" w:hanging="720"/>
        <w:rPr>
          <w:sz w:val="22"/>
        </w:rPr>
      </w:pPr>
      <w:r w:rsidRPr="001F6A23">
        <w:rPr>
          <w:sz w:val="22"/>
        </w:rPr>
        <w:t xml:space="preserve">Howes, S., Mako, A. A., Swan, A., Walton, G., Webster, T., &amp; Wiltshire, C. (2014, October). </w:t>
      </w:r>
      <w:r w:rsidRPr="001F6A23">
        <w:rPr>
          <w:i/>
          <w:sz w:val="22"/>
        </w:rPr>
        <w:t>The PNG Promoting Effective Public Expenditure Project: A lost decade? Service delivery and reforms in Papua New Guinea 2002-2012.</w:t>
      </w:r>
      <w:r w:rsidRPr="001F6A23">
        <w:rPr>
          <w:sz w:val="22"/>
        </w:rPr>
        <w:t xml:space="preserve"> Retrieved from Australian National University: https://devpolicy.crawford.anu.edu.au/png-budget-project</w:t>
      </w:r>
    </w:p>
    <w:p w14:paraId="71E86F2A" w14:textId="77777777" w:rsidR="00133AEB" w:rsidRPr="001F6A23" w:rsidRDefault="00133AEB" w:rsidP="001F6A23">
      <w:pPr>
        <w:pStyle w:val="Bibliography"/>
        <w:spacing w:line="240" w:lineRule="auto"/>
        <w:ind w:left="720" w:hanging="720"/>
        <w:rPr>
          <w:sz w:val="22"/>
        </w:rPr>
      </w:pPr>
      <w:r w:rsidRPr="001F6A23">
        <w:rPr>
          <w:sz w:val="22"/>
        </w:rPr>
        <w:t xml:space="preserve">Jowett, M., Brunal, M. P., Flores, G., &amp; Cylus, J. (2016). </w:t>
      </w:r>
      <w:r w:rsidRPr="001F6A23">
        <w:rPr>
          <w:i/>
          <w:sz w:val="22"/>
        </w:rPr>
        <w:t>Spending Targets for Health: No Magic Number</w:t>
      </w:r>
      <w:r w:rsidRPr="001F6A23">
        <w:rPr>
          <w:sz w:val="22"/>
        </w:rPr>
        <w:t>. Retrieved from World Health Organisation: http://www.who.int/health_financing/documents/no-magic-number/en/</w:t>
      </w:r>
    </w:p>
    <w:p w14:paraId="7CFD8787" w14:textId="77777777" w:rsidR="00133AEB" w:rsidRPr="001F6A23" w:rsidRDefault="00133AEB" w:rsidP="001F6A23">
      <w:pPr>
        <w:pStyle w:val="Bibliography"/>
        <w:spacing w:line="240" w:lineRule="auto"/>
        <w:ind w:left="720" w:hanging="720"/>
        <w:rPr>
          <w:sz w:val="22"/>
        </w:rPr>
      </w:pPr>
      <w:r w:rsidRPr="001F6A23">
        <w:rPr>
          <w:sz w:val="22"/>
        </w:rPr>
        <w:t xml:space="preserve">Muftaudeen, O., &amp; Bello, A. (2014). Public Healthcare Expenditure and Health Sector Performance In Nigeria: Implications for Sustainable Economic Development. </w:t>
      </w:r>
      <w:r w:rsidRPr="001F6A23">
        <w:rPr>
          <w:i/>
          <w:sz w:val="22"/>
        </w:rPr>
        <w:t>Journal of Economics and Finance (IOSR-JEF), Volume 4(3), May-June 2014, pp 39-55.</w:t>
      </w:r>
      <w:r w:rsidRPr="001F6A23">
        <w:rPr>
          <w:sz w:val="22"/>
        </w:rPr>
        <w:t xml:space="preserve"> </w:t>
      </w:r>
    </w:p>
    <w:p w14:paraId="25454E31" w14:textId="77777777" w:rsidR="00133AEB" w:rsidRPr="001F6A23" w:rsidRDefault="00133AEB" w:rsidP="001F6A23">
      <w:pPr>
        <w:pStyle w:val="Bibliography"/>
        <w:spacing w:line="240" w:lineRule="auto"/>
        <w:ind w:left="720" w:hanging="720"/>
        <w:rPr>
          <w:sz w:val="22"/>
        </w:rPr>
      </w:pPr>
      <w:r w:rsidRPr="001F6A23">
        <w:rPr>
          <w:sz w:val="22"/>
        </w:rPr>
        <w:t xml:space="preserve">NEFC . (2014). </w:t>
      </w:r>
      <w:r w:rsidRPr="001F6A23">
        <w:rPr>
          <w:i/>
          <w:sz w:val="22"/>
        </w:rPr>
        <w:t>Go Long Ples: Reducing inequality in education funding.</w:t>
      </w:r>
      <w:r w:rsidRPr="001F6A23">
        <w:rPr>
          <w:sz w:val="22"/>
        </w:rPr>
        <w:t xml:space="preserve"> Port Moresby, PNG: National Economic and Fiscal Commission.</w:t>
      </w:r>
    </w:p>
    <w:p w14:paraId="6ED562EC" w14:textId="77777777" w:rsidR="00133AEB" w:rsidRPr="001F6A23" w:rsidRDefault="00133AEB" w:rsidP="001F6A23">
      <w:pPr>
        <w:pStyle w:val="Bibliography"/>
        <w:spacing w:line="240" w:lineRule="auto"/>
        <w:ind w:left="720" w:hanging="720"/>
        <w:rPr>
          <w:sz w:val="22"/>
        </w:rPr>
      </w:pPr>
      <w:r w:rsidRPr="001F6A23">
        <w:rPr>
          <w:sz w:val="22"/>
        </w:rPr>
        <w:t xml:space="preserve">NEFC. (2014). </w:t>
      </w:r>
      <w:r w:rsidRPr="001F6A23">
        <w:rPr>
          <w:i/>
          <w:sz w:val="22"/>
        </w:rPr>
        <w:t>Go Long Ples: Reducing inequality in education funding.</w:t>
      </w:r>
      <w:r w:rsidRPr="001F6A23">
        <w:rPr>
          <w:sz w:val="22"/>
        </w:rPr>
        <w:t xml:space="preserve"> Port Moresby : National Economics and Fiscal Commission. Retrieved from http://www.nefc.gov.pg/documents/publications/other/GoLongPles.pdf</w:t>
      </w:r>
    </w:p>
    <w:p w14:paraId="0B40EFA0" w14:textId="77777777" w:rsidR="00133AEB" w:rsidRPr="001F6A23" w:rsidRDefault="00133AEB" w:rsidP="001F6A23">
      <w:pPr>
        <w:pStyle w:val="Bibliography"/>
        <w:spacing w:line="240" w:lineRule="auto"/>
        <w:ind w:left="720" w:hanging="720"/>
        <w:rPr>
          <w:sz w:val="22"/>
        </w:rPr>
      </w:pPr>
      <w:r w:rsidRPr="001F6A23">
        <w:rPr>
          <w:sz w:val="22"/>
        </w:rPr>
        <w:t xml:space="preserve">NEFC. (2014). </w:t>
      </w:r>
      <w:r w:rsidRPr="001F6A23">
        <w:rPr>
          <w:i/>
          <w:sz w:val="22"/>
        </w:rPr>
        <w:t>The Thin Blue Line: The Methodology and Results of the Cost of Sub-national Services Study (O&amp;M).</w:t>
      </w:r>
      <w:r w:rsidRPr="001F6A23">
        <w:rPr>
          <w:sz w:val="22"/>
        </w:rPr>
        <w:t xml:space="preserve"> Port Moresby. Retrieved from National Economic &amp; Fiscal Commission : http://www.nefc.gov.pg/documents/publications/COSS/2011_CoSS_Report_ThinBlueLine.pdf</w:t>
      </w:r>
    </w:p>
    <w:p w14:paraId="55357237" w14:textId="77777777" w:rsidR="00133AEB" w:rsidRPr="001F6A23" w:rsidRDefault="00133AEB" w:rsidP="001F6A23">
      <w:pPr>
        <w:pStyle w:val="Bibliography"/>
        <w:spacing w:line="240" w:lineRule="auto"/>
        <w:ind w:left="720" w:hanging="720"/>
        <w:rPr>
          <w:sz w:val="22"/>
        </w:rPr>
      </w:pPr>
      <w:r w:rsidRPr="001F6A23">
        <w:rPr>
          <w:sz w:val="22"/>
        </w:rPr>
        <w:t xml:space="preserve">NEFC, N. E. (2014). </w:t>
      </w:r>
      <w:r w:rsidRPr="001F6A23">
        <w:rPr>
          <w:i/>
          <w:sz w:val="22"/>
        </w:rPr>
        <w:t>Go Long Ples: Reducing inequality in education funding .</w:t>
      </w:r>
      <w:r w:rsidRPr="001F6A23">
        <w:rPr>
          <w:sz w:val="22"/>
        </w:rPr>
        <w:t xml:space="preserve"> </w:t>
      </w:r>
    </w:p>
    <w:p w14:paraId="7E6B7E72" w14:textId="77777777" w:rsidR="00133AEB" w:rsidRPr="001F6A23" w:rsidRDefault="00133AEB" w:rsidP="001F6A23">
      <w:pPr>
        <w:pStyle w:val="Bibliography"/>
        <w:spacing w:line="240" w:lineRule="auto"/>
        <w:ind w:left="720" w:hanging="720"/>
        <w:rPr>
          <w:sz w:val="22"/>
        </w:rPr>
      </w:pPr>
      <w:r w:rsidRPr="001F6A23">
        <w:rPr>
          <w:sz w:val="22"/>
        </w:rPr>
        <w:t xml:space="preserve">NEFC, N. E. (2017). </w:t>
      </w:r>
      <w:r w:rsidRPr="001F6A23">
        <w:rPr>
          <w:i/>
          <w:sz w:val="22"/>
        </w:rPr>
        <w:t>2017 Budget Fiscal Report.</w:t>
      </w:r>
      <w:r w:rsidRPr="001F6A23">
        <w:rPr>
          <w:sz w:val="22"/>
        </w:rPr>
        <w:t xml:space="preserve"> Retrieved from NEFC: http://www.nefc.gov.pg/documents/publications/fiscalReports/2017Fiscal_Report.pdf</w:t>
      </w:r>
    </w:p>
    <w:p w14:paraId="7CDECCC7" w14:textId="77777777" w:rsidR="00133AEB" w:rsidRPr="001F6A23" w:rsidRDefault="00133AEB" w:rsidP="001F6A23">
      <w:pPr>
        <w:pStyle w:val="Bibliography"/>
        <w:spacing w:line="240" w:lineRule="auto"/>
        <w:ind w:left="720" w:hanging="720"/>
        <w:rPr>
          <w:sz w:val="22"/>
        </w:rPr>
      </w:pPr>
      <w:r w:rsidRPr="001F6A23">
        <w:rPr>
          <w:sz w:val="22"/>
        </w:rPr>
        <w:lastRenderedPageBreak/>
        <w:t xml:space="preserve">Noor, A. M. (2015). Subnational benchmarking of health systems performance in Africa using health outcome and coverage indicators. </w:t>
      </w:r>
      <w:r w:rsidRPr="001F6A23">
        <w:rPr>
          <w:i/>
          <w:sz w:val="22"/>
        </w:rPr>
        <w:t>BMC Medicine</w:t>
      </w:r>
      <w:r w:rsidRPr="001F6A23">
        <w:rPr>
          <w:sz w:val="22"/>
        </w:rPr>
        <w:t>, 13:299. Retrieved from http://bmcmedicine.biomedcentral.com/articles/10.1186/s12916-015-0541-y</w:t>
      </w:r>
    </w:p>
    <w:p w14:paraId="0A62E7C1" w14:textId="77777777" w:rsidR="00133AEB" w:rsidRPr="001F6A23" w:rsidRDefault="00133AEB" w:rsidP="001F6A23">
      <w:pPr>
        <w:pStyle w:val="Bibliography"/>
        <w:spacing w:line="240" w:lineRule="auto"/>
        <w:ind w:left="720" w:hanging="720"/>
        <w:rPr>
          <w:sz w:val="22"/>
        </w:rPr>
      </w:pPr>
      <w:r w:rsidRPr="001F6A23">
        <w:rPr>
          <w:sz w:val="22"/>
        </w:rPr>
        <w:t xml:space="preserve">Olaniyan, O., &amp; Lawanson, A. O. (2010). </w:t>
      </w:r>
      <w:r w:rsidRPr="001F6A23">
        <w:rPr>
          <w:i/>
          <w:sz w:val="22"/>
        </w:rPr>
        <w:t>Health Expenditure and Health Status in Northern and Southern Nigeria: A Comparative Analysis Using NHA Framework.</w:t>
      </w:r>
      <w:r w:rsidRPr="001F6A23">
        <w:rPr>
          <w:sz w:val="22"/>
        </w:rPr>
        <w:t xml:space="preserve"> </w:t>
      </w:r>
    </w:p>
    <w:p w14:paraId="0F619B87" w14:textId="77777777" w:rsidR="00133AEB" w:rsidRPr="001F6A23" w:rsidRDefault="00133AEB" w:rsidP="001F6A23">
      <w:pPr>
        <w:pStyle w:val="Bibliography"/>
        <w:spacing w:line="240" w:lineRule="auto"/>
        <w:ind w:left="720" w:hanging="720"/>
        <w:rPr>
          <w:sz w:val="22"/>
        </w:rPr>
      </w:pPr>
      <w:r w:rsidRPr="001F6A23">
        <w:rPr>
          <w:i/>
          <w:sz w:val="22"/>
        </w:rPr>
        <w:t>Organic Law on Provincial Governments and Local-Level Governments.</w:t>
      </w:r>
      <w:r w:rsidRPr="001F6A23">
        <w:rPr>
          <w:sz w:val="22"/>
        </w:rPr>
        <w:t xml:space="preserve"> (1995). Port Moresby .</w:t>
      </w:r>
    </w:p>
    <w:p w14:paraId="2E98374D" w14:textId="77777777" w:rsidR="00133AEB" w:rsidRPr="001F6A23" w:rsidRDefault="00133AEB" w:rsidP="001F6A23">
      <w:pPr>
        <w:pStyle w:val="Bibliography"/>
        <w:spacing w:line="240" w:lineRule="auto"/>
        <w:ind w:left="720" w:hanging="720"/>
        <w:rPr>
          <w:sz w:val="22"/>
        </w:rPr>
      </w:pPr>
      <w:r w:rsidRPr="001F6A23">
        <w:rPr>
          <w:sz w:val="22"/>
        </w:rPr>
        <w:t xml:space="preserve">Peters, D. H., Kandola, K., Elmendorf, A. E., &amp; Chellaraj, G. (1999). </w:t>
      </w:r>
      <w:r w:rsidRPr="001F6A23">
        <w:rPr>
          <w:i/>
          <w:sz w:val="22"/>
        </w:rPr>
        <w:t>Health expenditures, services, and outcomes in Africa: Basic data and cross-national comparisons, 1990-1996.</w:t>
      </w:r>
      <w:r w:rsidRPr="001F6A23">
        <w:rPr>
          <w:sz w:val="22"/>
        </w:rPr>
        <w:t xml:space="preserve"> World Bank Publications Department.</w:t>
      </w:r>
    </w:p>
    <w:p w14:paraId="208E53B9" w14:textId="77777777" w:rsidR="00133AEB" w:rsidRPr="001F6A23" w:rsidRDefault="00133AEB" w:rsidP="001F6A23">
      <w:pPr>
        <w:pStyle w:val="Bibliography"/>
        <w:spacing w:line="240" w:lineRule="auto"/>
        <w:ind w:left="720" w:hanging="720"/>
        <w:rPr>
          <w:sz w:val="22"/>
        </w:rPr>
      </w:pPr>
      <w:r w:rsidRPr="001F6A23">
        <w:rPr>
          <w:sz w:val="22"/>
        </w:rPr>
        <w:t xml:space="preserve">The World Bank. (2016). </w:t>
      </w:r>
      <w:r w:rsidRPr="001F6A23">
        <w:rPr>
          <w:i/>
          <w:sz w:val="22"/>
        </w:rPr>
        <w:t>The World Bank</w:t>
      </w:r>
      <w:r w:rsidRPr="001F6A23">
        <w:rPr>
          <w:sz w:val="22"/>
        </w:rPr>
        <w:t>. Retrieved from World Development Indicators: http://data.worldbank.org/data-catalog/world-development-indicators</w:t>
      </w:r>
    </w:p>
    <w:p w14:paraId="0F2EB661" w14:textId="77777777" w:rsidR="00133AEB" w:rsidRPr="001F6A23" w:rsidRDefault="00133AEB" w:rsidP="001F6A23">
      <w:pPr>
        <w:pStyle w:val="Bibliography"/>
        <w:spacing w:line="240" w:lineRule="auto"/>
        <w:ind w:left="720" w:hanging="720"/>
        <w:rPr>
          <w:sz w:val="22"/>
        </w:rPr>
      </w:pPr>
      <w:r w:rsidRPr="001F6A23">
        <w:rPr>
          <w:sz w:val="22"/>
        </w:rPr>
        <w:t xml:space="preserve">WHO. (2010). </w:t>
      </w:r>
      <w:r w:rsidRPr="001F6A23">
        <w:rPr>
          <w:i/>
          <w:sz w:val="22"/>
        </w:rPr>
        <w:t>Health systems financing: the path to universal coverage.</w:t>
      </w:r>
      <w:r w:rsidRPr="001F6A23">
        <w:rPr>
          <w:sz w:val="22"/>
        </w:rPr>
        <w:t xml:space="preserve"> </w:t>
      </w:r>
    </w:p>
    <w:p w14:paraId="0E17565F" w14:textId="77777777" w:rsidR="00133AEB" w:rsidRPr="001F6A23" w:rsidRDefault="00133AEB" w:rsidP="001F6A23">
      <w:pPr>
        <w:pStyle w:val="Bibliography"/>
        <w:spacing w:line="240" w:lineRule="auto"/>
        <w:ind w:left="720" w:hanging="720"/>
        <w:rPr>
          <w:sz w:val="22"/>
        </w:rPr>
      </w:pPr>
      <w:r w:rsidRPr="001F6A23">
        <w:rPr>
          <w:sz w:val="22"/>
        </w:rPr>
        <w:t xml:space="preserve">WHO. (2012). </w:t>
      </w:r>
      <w:r w:rsidRPr="001F6A23">
        <w:rPr>
          <w:i/>
          <w:sz w:val="22"/>
        </w:rPr>
        <w:t>Health Service Delivery Profile Papua New Guinea 2012</w:t>
      </w:r>
      <w:r w:rsidRPr="001F6A23">
        <w:rPr>
          <w:sz w:val="22"/>
        </w:rPr>
        <w:t>. Retrieved from World Health Organization Western Pacific Region: http://www.wpro.who.int/health_services/service_delivery_profile_papua_new_guinea.pdf</w:t>
      </w:r>
    </w:p>
    <w:p w14:paraId="305937A8" w14:textId="77777777" w:rsidR="00133AEB" w:rsidRPr="001F6A23" w:rsidRDefault="00133AEB" w:rsidP="001F6A23">
      <w:pPr>
        <w:pStyle w:val="Bibliography"/>
        <w:spacing w:line="240" w:lineRule="auto"/>
        <w:ind w:left="720" w:hanging="720"/>
        <w:rPr>
          <w:sz w:val="22"/>
        </w:rPr>
      </w:pPr>
      <w:r w:rsidRPr="001F6A23">
        <w:rPr>
          <w:sz w:val="22"/>
        </w:rPr>
        <w:t xml:space="preserve">World Bank. (1993). </w:t>
      </w:r>
      <w:r w:rsidRPr="001F6A23">
        <w:rPr>
          <w:i/>
          <w:sz w:val="22"/>
        </w:rPr>
        <w:t>World Development Report 1993 : Investing in Health.</w:t>
      </w:r>
      <w:r w:rsidRPr="001F6A23">
        <w:rPr>
          <w:sz w:val="22"/>
        </w:rPr>
        <w:t xml:space="preserve"> New York: Oxford University Press.</w:t>
      </w:r>
    </w:p>
    <w:p w14:paraId="69B8E3E6" w14:textId="77777777" w:rsidR="00133AEB" w:rsidRPr="001F6A23" w:rsidRDefault="00133AEB" w:rsidP="001F6A23">
      <w:pPr>
        <w:pStyle w:val="Bibliography"/>
        <w:spacing w:line="240" w:lineRule="auto"/>
        <w:ind w:left="720" w:hanging="720"/>
        <w:rPr>
          <w:sz w:val="22"/>
        </w:rPr>
      </w:pPr>
      <w:r w:rsidRPr="001F6A23">
        <w:rPr>
          <w:sz w:val="22"/>
        </w:rPr>
        <w:t xml:space="preserve">World Bank and World Health Organization . (2015). </w:t>
      </w:r>
      <w:r w:rsidRPr="001F6A23">
        <w:rPr>
          <w:i/>
          <w:sz w:val="22"/>
        </w:rPr>
        <w:t>Tracking Universal Health Coverage, First Global Monitoring Report .</w:t>
      </w:r>
      <w:r w:rsidRPr="001F6A23">
        <w:rPr>
          <w:sz w:val="22"/>
        </w:rPr>
        <w:t xml:space="preserve"> World Health Organization.</w:t>
      </w:r>
    </w:p>
    <w:p w14:paraId="750BCD69" w14:textId="32F3600A" w:rsidR="00133AEB" w:rsidRPr="00AE7BB9" w:rsidRDefault="00133AEB" w:rsidP="001F6A23">
      <w:pPr>
        <w:spacing w:line="240" w:lineRule="auto"/>
        <w:jc w:val="left"/>
        <w:rPr>
          <w:rFonts w:asciiTheme="minorHAnsi" w:hAnsiTheme="minorHAnsi"/>
        </w:rPr>
      </w:pPr>
      <w:r w:rsidRPr="00AE7BB9">
        <w:rPr>
          <w:rFonts w:asciiTheme="minorHAnsi" w:hAnsiTheme="minorHAnsi"/>
          <w:b/>
          <w:bCs/>
          <w:noProof/>
        </w:rPr>
        <w:fldChar w:fldCharType="end"/>
      </w:r>
    </w:p>
    <w:p w14:paraId="60D433B2" w14:textId="77777777" w:rsidR="00133AEB" w:rsidRPr="00AE7BB9" w:rsidRDefault="00133AEB" w:rsidP="001F6A23">
      <w:pPr>
        <w:spacing w:line="240" w:lineRule="auto"/>
        <w:rPr>
          <w:rFonts w:asciiTheme="minorHAnsi" w:hAnsiTheme="minorHAnsi" w:cs="Times New Roman"/>
          <w:szCs w:val="24"/>
        </w:rPr>
      </w:pPr>
    </w:p>
    <w:p w14:paraId="47D02BEC" w14:textId="77777777" w:rsidR="00133AEB" w:rsidRPr="00AE7BB9" w:rsidRDefault="00133AEB" w:rsidP="001F6A23">
      <w:pPr>
        <w:spacing w:line="240" w:lineRule="auto"/>
        <w:rPr>
          <w:rFonts w:asciiTheme="minorHAnsi" w:hAnsiTheme="minorHAnsi" w:cs="Times New Roman"/>
          <w:szCs w:val="24"/>
        </w:rPr>
      </w:pPr>
    </w:p>
    <w:p w14:paraId="1831EB08" w14:textId="77777777" w:rsidR="00133AEB" w:rsidRPr="00AE7BB9" w:rsidRDefault="00133AEB" w:rsidP="001F6A23">
      <w:pPr>
        <w:spacing w:after="240" w:line="240" w:lineRule="auto"/>
        <w:rPr>
          <w:rFonts w:asciiTheme="minorHAnsi" w:hAnsiTheme="minorHAnsi" w:cs="Times New Roman"/>
          <w:szCs w:val="24"/>
        </w:rPr>
      </w:pPr>
    </w:p>
    <w:p w14:paraId="4E1253C5" w14:textId="747420D1" w:rsidR="00133AEB" w:rsidRPr="00F41726" w:rsidRDefault="00133AEB" w:rsidP="001F6A23">
      <w:pPr>
        <w:pStyle w:val="Numberedparagraph"/>
        <w:numPr>
          <w:ilvl w:val="0"/>
          <w:numId w:val="0"/>
        </w:numPr>
        <w:spacing w:after="240"/>
        <w:contextualSpacing w:val="0"/>
        <w:jc w:val="left"/>
        <w:rPr>
          <w:rFonts w:asciiTheme="minorHAnsi" w:eastAsiaTheme="minorEastAsia" w:hAnsiTheme="minorHAnsi" w:cs="Times New Roman"/>
          <w:szCs w:val="24"/>
          <w:lang w:eastAsia="zh-CN"/>
        </w:rPr>
      </w:pPr>
    </w:p>
    <w:sectPr w:rsidR="00133AEB" w:rsidRPr="00F4172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7FFD2" w14:textId="77777777" w:rsidR="009777AD" w:rsidRDefault="009777AD" w:rsidP="00843E62">
      <w:pPr>
        <w:spacing w:after="0" w:line="240" w:lineRule="auto"/>
      </w:pPr>
      <w:r>
        <w:separator/>
      </w:r>
    </w:p>
  </w:endnote>
  <w:endnote w:type="continuationSeparator" w:id="0">
    <w:p w14:paraId="2B9C9801" w14:textId="77777777" w:rsidR="009777AD" w:rsidRDefault="009777AD" w:rsidP="00843E62">
      <w:pPr>
        <w:spacing w:after="0" w:line="240" w:lineRule="auto"/>
      </w:pPr>
      <w:r>
        <w:continuationSeparator/>
      </w:r>
    </w:p>
  </w:endnote>
  <w:endnote w:type="continuationNotice" w:id="1">
    <w:p w14:paraId="1CE24C9F" w14:textId="77777777" w:rsidR="009777AD" w:rsidRDefault="00977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294209"/>
      <w:docPartObj>
        <w:docPartGallery w:val="Page Numbers (Bottom of Page)"/>
        <w:docPartUnique/>
      </w:docPartObj>
    </w:sdtPr>
    <w:sdtEndPr>
      <w:rPr>
        <w:noProof/>
        <w:sz w:val="20"/>
        <w:szCs w:val="20"/>
      </w:rPr>
    </w:sdtEndPr>
    <w:sdtContent>
      <w:p w14:paraId="4E189621" w14:textId="143786A8" w:rsidR="008A305B" w:rsidRPr="00FD68A2" w:rsidRDefault="008A305B">
        <w:pPr>
          <w:pStyle w:val="Footer"/>
          <w:jc w:val="center"/>
          <w:rPr>
            <w:sz w:val="20"/>
            <w:szCs w:val="20"/>
          </w:rPr>
        </w:pPr>
        <w:r w:rsidRPr="00FD68A2">
          <w:rPr>
            <w:sz w:val="20"/>
            <w:szCs w:val="20"/>
          </w:rPr>
          <w:fldChar w:fldCharType="begin"/>
        </w:r>
        <w:r w:rsidRPr="00FD68A2">
          <w:rPr>
            <w:sz w:val="20"/>
            <w:szCs w:val="20"/>
          </w:rPr>
          <w:instrText xml:space="preserve"> PAGE   \* MERGEFORMAT </w:instrText>
        </w:r>
        <w:r w:rsidRPr="00FD68A2">
          <w:rPr>
            <w:sz w:val="20"/>
            <w:szCs w:val="20"/>
          </w:rPr>
          <w:fldChar w:fldCharType="separate"/>
        </w:r>
        <w:r w:rsidR="007931AA">
          <w:rPr>
            <w:noProof/>
            <w:sz w:val="20"/>
            <w:szCs w:val="20"/>
          </w:rPr>
          <w:t>19</w:t>
        </w:r>
        <w:r w:rsidRPr="00FD68A2">
          <w:rPr>
            <w:noProof/>
            <w:sz w:val="20"/>
            <w:szCs w:val="20"/>
          </w:rPr>
          <w:fldChar w:fldCharType="end"/>
        </w:r>
      </w:p>
    </w:sdtContent>
  </w:sdt>
  <w:p w14:paraId="7150B336" w14:textId="77777777" w:rsidR="008A305B" w:rsidRDefault="008A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5145D" w14:textId="77777777" w:rsidR="009777AD" w:rsidRDefault="009777AD" w:rsidP="00843E62">
      <w:pPr>
        <w:spacing w:after="0" w:line="240" w:lineRule="auto"/>
      </w:pPr>
      <w:r>
        <w:separator/>
      </w:r>
    </w:p>
  </w:footnote>
  <w:footnote w:type="continuationSeparator" w:id="0">
    <w:p w14:paraId="37115651" w14:textId="77777777" w:rsidR="009777AD" w:rsidRDefault="009777AD" w:rsidP="00843E62">
      <w:pPr>
        <w:spacing w:after="0" w:line="240" w:lineRule="auto"/>
      </w:pPr>
      <w:r>
        <w:continuationSeparator/>
      </w:r>
    </w:p>
  </w:footnote>
  <w:footnote w:type="continuationNotice" w:id="1">
    <w:p w14:paraId="58F0B29C" w14:textId="77777777" w:rsidR="009777AD" w:rsidRDefault="009777AD">
      <w:pPr>
        <w:spacing w:after="0" w:line="240" w:lineRule="auto"/>
      </w:pPr>
    </w:p>
  </w:footnote>
  <w:footnote w:id="2">
    <w:p w14:paraId="6581E618" w14:textId="77777777" w:rsidR="008A305B" w:rsidRPr="00430DA4" w:rsidRDefault="008A305B" w:rsidP="008A305B">
      <w:pPr>
        <w:rPr>
          <w:rFonts w:ascii="Arial" w:eastAsiaTheme="minorEastAsia" w:hAnsi="Arial" w:cs="Arial"/>
          <w:sz w:val="20"/>
          <w:szCs w:val="20"/>
          <w:lang w:val="en-US" w:eastAsia="zh-CN"/>
        </w:rPr>
      </w:pPr>
      <w:r w:rsidRPr="001F6A23">
        <w:rPr>
          <w:rStyle w:val="FootnoteReference"/>
          <w:sz w:val="20"/>
        </w:rPr>
        <w:footnoteRef/>
      </w:r>
      <w:r w:rsidRPr="001F6A23">
        <w:rPr>
          <w:rFonts w:asciiTheme="minorHAnsi" w:hAnsiTheme="minorHAnsi"/>
          <w:sz w:val="20"/>
        </w:rPr>
        <w:t xml:space="preserve">The policy note is prepared by Alan Cairns (consultant, World Bank), Sophie Witter (consultant, World Bank), and Xiaohui Hou (Senior Economist and Task Team Leader, World Bank), with substantiative comment received </w:t>
      </w:r>
      <w:proofErr w:type="gramStart"/>
      <w:r w:rsidRPr="001F6A23">
        <w:rPr>
          <w:rFonts w:asciiTheme="minorHAnsi" w:hAnsiTheme="minorHAnsi"/>
          <w:sz w:val="20"/>
        </w:rPr>
        <w:t>from  Elva</w:t>
      </w:r>
      <w:proofErr w:type="gramEnd"/>
      <w:r w:rsidRPr="001F6A23">
        <w:rPr>
          <w:rFonts w:asciiTheme="minorHAnsi" w:hAnsiTheme="minorHAnsi"/>
          <w:sz w:val="20"/>
        </w:rPr>
        <w:t xml:space="preserve"> Lionel, Deputy Secretary from the National Department of Health and Mr. Hohora Suve, Chairman of the National Economics and Fiscal Commission.</w:t>
      </w:r>
      <w:r w:rsidRPr="001F6A23">
        <w:rPr>
          <w:sz w:val="20"/>
        </w:rPr>
        <w:t xml:space="preserve"> </w:t>
      </w:r>
    </w:p>
    <w:p w14:paraId="4365117E" w14:textId="77777777" w:rsidR="008A305B" w:rsidRPr="00260189" w:rsidRDefault="008A305B" w:rsidP="008A305B">
      <w:pPr>
        <w:pStyle w:val="FootnoteText"/>
        <w:rPr>
          <w:lang w:val="en-US"/>
        </w:rPr>
      </w:pPr>
    </w:p>
  </w:footnote>
  <w:footnote w:id="3">
    <w:p w14:paraId="175CE265" w14:textId="77777777" w:rsidR="008A305B" w:rsidRPr="00E863FA" w:rsidRDefault="008A305B" w:rsidP="008A305B">
      <w:pPr>
        <w:pStyle w:val="FootnoteText"/>
        <w:spacing w:before="120"/>
        <w:rPr>
          <w:sz w:val="18"/>
          <w:szCs w:val="18"/>
        </w:rPr>
      </w:pPr>
      <w:r>
        <w:rPr>
          <w:rStyle w:val="FootnoteReference"/>
        </w:rPr>
        <w:footnoteRef/>
      </w:r>
      <w:r>
        <w:t xml:space="preserve"> </w:t>
      </w:r>
      <w:r w:rsidRPr="000C352F">
        <w:rPr>
          <w:sz w:val="17"/>
          <w:szCs w:val="17"/>
        </w:rPr>
        <w:t>This accepts that there may be a delay between the timing of improved spending practices and any resulting improvement in facility performance and improved outpatient attendances at health centres.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7259" w14:textId="77777777" w:rsidR="008A305B" w:rsidRDefault="008A3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687"/>
    <w:multiLevelType w:val="hybridMultilevel"/>
    <w:tmpl w:val="016616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574209"/>
    <w:multiLevelType w:val="multilevel"/>
    <w:tmpl w:val="16F03D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092117"/>
    <w:multiLevelType w:val="hybridMultilevel"/>
    <w:tmpl w:val="64E8AC7E"/>
    <w:lvl w:ilvl="0" w:tplc="0CAA13C8">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C78CB"/>
    <w:multiLevelType w:val="hybridMultilevel"/>
    <w:tmpl w:val="C6DEC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069FF"/>
    <w:multiLevelType w:val="hybridMultilevel"/>
    <w:tmpl w:val="74A8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B1E3A"/>
    <w:multiLevelType w:val="multilevel"/>
    <w:tmpl w:val="9974A5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987C6B"/>
    <w:multiLevelType w:val="hybridMultilevel"/>
    <w:tmpl w:val="F73A12BA"/>
    <w:lvl w:ilvl="0" w:tplc="2990C1A8">
      <w:start w:val="1"/>
      <w:numFmt w:val="decimal"/>
      <w:pStyle w:val="Numberedparagraph"/>
      <w:lvlText w:val="%1."/>
      <w:lvlJc w:val="left"/>
      <w:pPr>
        <w:ind w:left="1170" w:hanging="360"/>
      </w:pPr>
      <w:rPr>
        <w:rFonts w:ascii="Baskerville Old Face" w:hAnsi="Baskerville Old Face" w:hint="default"/>
        <w:b/>
        <w:i w:val="0"/>
        <w:color w:val="auto"/>
        <w:sz w:val="22"/>
        <w:szCs w:val="22"/>
      </w:rPr>
    </w:lvl>
    <w:lvl w:ilvl="1" w:tplc="04090019">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7" w15:restartNumberingAfterBreak="0">
    <w:nsid w:val="2D1E1118"/>
    <w:multiLevelType w:val="multilevel"/>
    <w:tmpl w:val="DBE4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E3AFF"/>
    <w:multiLevelType w:val="multilevel"/>
    <w:tmpl w:val="333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0A5619"/>
    <w:multiLevelType w:val="multilevel"/>
    <w:tmpl w:val="A1FAA1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D12607"/>
    <w:multiLevelType w:val="multilevel"/>
    <w:tmpl w:val="20E2E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BE841F9"/>
    <w:multiLevelType w:val="multilevel"/>
    <w:tmpl w:val="4E2AFE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7E7C13"/>
    <w:multiLevelType w:val="hybridMultilevel"/>
    <w:tmpl w:val="2384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9F582A"/>
    <w:multiLevelType w:val="hybridMultilevel"/>
    <w:tmpl w:val="8FDA03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74F575E"/>
    <w:multiLevelType w:val="multilevel"/>
    <w:tmpl w:val="D42AF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0D3076"/>
    <w:multiLevelType w:val="hybridMultilevel"/>
    <w:tmpl w:val="FB0EF0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C692867"/>
    <w:multiLevelType w:val="multilevel"/>
    <w:tmpl w:val="791C8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num>
  <w:num w:numId="3">
    <w:abstractNumId w:val="13"/>
  </w:num>
  <w:num w:numId="4">
    <w:abstractNumId w:val="15"/>
  </w:num>
  <w:num w:numId="5">
    <w:abstractNumId w:val="2"/>
  </w:num>
  <w:num w:numId="6">
    <w:abstractNumId w:val="0"/>
  </w:num>
  <w:num w:numId="7">
    <w:abstractNumId w:val="7"/>
  </w:num>
  <w:num w:numId="8">
    <w:abstractNumId w:val="3"/>
  </w:num>
  <w:num w:numId="9">
    <w:abstractNumId w:val="8"/>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 Ligh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746C00"/>
    <w:rsid w:val="000221A5"/>
    <w:rsid w:val="000315F7"/>
    <w:rsid w:val="00031C0F"/>
    <w:rsid w:val="00032857"/>
    <w:rsid w:val="000328F3"/>
    <w:rsid w:val="00034340"/>
    <w:rsid w:val="00047E11"/>
    <w:rsid w:val="00050FF5"/>
    <w:rsid w:val="00052569"/>
    <w:rsid w:val="0006273C"/>
    <w:rsid w:val="00067AD5"/>
    <w:rsid w:val="0008669A"/>
    <w:rsid w:val="00087D35"/>
    <w:rsid w:val="00090E83"/>
    <w:rsid w:val="0009148E"/>
    <w:rsid w:val="000A2D9B"/>
    <w:rsid w:val="000A3175"/>
    <w:rsid w:val="000B7FE4"/>
    <w:rsid w:val="000C1294"/>
    <w:rsid w:val="000C3190"/>
    <w:rsid w:val="000D64B8"/>
    <w:rsid w:val="000E1CCE"/>
    <w:rsid w:val="000F09F4"/>
    <w:rsid w:val="000F6183"/>
    <w:rsid w:val="000F7E85"/>
    <w:rsid w:val="00102F17"/>
    <w:rsid w:val="001052C7"/>
    <w:rsid w:val="00113E66"/>
    <w:rsid w:val="001211EB"/>
    <w:rsid w:val="00123138"/>
    <w:rsid w:val="00133AEB"/>
    <w:rsid w:val="001560F0"/>
    <w:rsid w:val="00157AC2"/>
    <w:rsid w:val="00171204"/>
    <w:rsid w:val="001744BD"/>
    <w:rsid w:val="00174D14"/>
    <w:rsid w:val="00185F14"/>
    <w:rsid w:val="001866C5"/>
    <w:rsid w:val="00193141"/>
    <w:rsid w:val="00194158"/>
    <w:rsid w:val="001A4BD5"/>
    <w:rsid w:val="001A50A7"/>
    <w:rsid w:val="001A6727"/>
    <w:rsid w:val="001A7EAC"/>
    <w:rsid w:val="001B471D"/>
    <w:rsid w:val="001C08D3"/>
    <w:rsid w:val="001E4216"/>
    <w:rsid w:val="001F1267"/>
    <w:rsid w:val="001F2ECA"/>
    <w:rsid w:val="001F6A23"/>
    <w:rsid w:val="0020036E"/>
    <w:rsid w:val="00205323"/>
    <w:rsid w:val="00205CA2"/>
    <w:rsid w:val="00211B38"/>
    <w:rsid w:val="00223ADF"/>
    <w:rsid w:val="002356D4"/>
    <w:rsid w:val="00244319"/>
    <w:rsid w:val="00244DC5"/>
    <w:rsid w:val="00245134"/>
    <w:rsid w:val="00260189"/>
    <w:rsid w:val="00261782"/>
    <w:rsid w:val="002663B4"/>
    <w:rsid w:val="00273E6E"/>
    <w:rsid w:val="00277B7A"/>
    <w:rsid w:val="00295034"/>
    <w:rsid w:val="002A007F"/>
    <w:rsid w:val="002A2040"/>
    <w:rsid w:val="002A3BE8"/>
    <w:rsid w:val="002A5310"/>
    <w:rsid w:val="002A5C5A"/>
    <w:rsid w:val="002C17AD"/>
    <w:rsid w:val="002C206B"/>
    <w:rsid w:val="002C7158"/>
    <w:rsid w:val="002E2327"/>
    <w:rsid w:val="002F11A6"/>
    <w:rsid w:val="003155EC"/>
    <w:rsid w:val="00316AEA"/>
    <w:rsid w:val="003311B3"/>
    <w:rsid w:val="00340969"/>
    <w:rsid w:val="003445F0"/>
    <w:rsid w:val="0036534C"/>
    <w:rsid w:val="003713D2"/>
    <w:rsid w:val="0038768F"/>
    <w:rsid w:val="003B0273"/>
    <w:rsid w:val="003B0E9E"/>
    <w:rsid w:val="003B29A6"/>
    <w:rsid w:val="003B3C77"/>
    <w:rsid w:val="003C1ACF"/>
    <w:rsid w:val="003D5902"/>
    <w:rsid w:val="003E1BD0"/>
    <w:rsid w:val="003E5CAD"/>
    <w:rsid w:val="003F74E9"/>
    <w:rsid w:val="00414B67"/>
    <w:rsid w:val="004217B6"/>
    <w:rsid w:val="00430DA4"/>
    <w:rsid w:val="00431819"/>
    <w:rsid w:val="0043455C"/>
    <w:rsid w:val="0044168E"/>
    <w:rsid w:val="00444F8A"/>
    <w:rsid w:val="004504F5"/>
    <w:rsid w:val="004658DF"/>
    <w:rsid w:val="004757FA"/>
    <w:rsid w:val="00475D81"/>
    <w:rsid w:val="00476E54"/>
    <w:rsid w:val="004A4C68"/>
    <w:rsid w:val="004A59F5"/>
    <w:rsid w:val="004B3A81"/>
    <w:rsid w:val="004C6DC0"/>
    <w:rsid w:val="004F0E71"/>
    <w:rsid w:val="005131D0"/>
    <w:rsid w:val="00524A86"/>
    <w:rsid w:val="005300AB"/>
    <w:rsid w:val="005306AF"/>
    <w:rsid w:val="005339DB"/>
    <w:rsid w:val="00550541"/>
    <w:rsid w:val="0056034E"/>
    <w:rsid w:val="00560538"/>
    <w:rsid w:val="00565EB1"/>
    <w:rsid w:val="005678F4"/>
    <w:rsid w:val="005734D2"/>
    <w:rsid w:val="0058423D"/>
    <w:rsid w:val="0059060F"/>
    <w:rsid w:val="005908B9"/>
    <w:rsid w:val="005938E0"/>
    <w:rsid w:val="005951FC"/>
    <w:rsid w:val="005A7DA5"/>
    <w:rsid w:val="005C0155"/>
    <w:rsid w:val="005C4805"/>
    <w:rsid w:val="005C4A08"/>
    <w:rsid w:val="005F11A2"/>
    <w:rsid w:val="005F5281"/>
    <w:rsid w:val="005F6EDF"/>
    <w:rsid w:val="005F79E8"/>
    <w:rsid w:val="0060769E"/>
    <w:rsid w:val="006121B6"/>
    <w:rsid w:val="00614E79"/>
    <w:rsid w:val="006208C5"/>
    <w:rsid w:val="00627AD1"/>
    <w:rsid w:val="006505BC"/>
    <w:rsid w:val="0069084B"/>
    <w:rsid w:val="006A1F66"/>
    <w:rsid w:val="006A3E99"/>
    <w:rsid w:val="006A5B53"/>
    <w:rsid w:val="006A7AEF"/>
    <w:rsid w:val="00711640"/>
    <w:rsid w:val="0072622F"/>
    <w:rsid w:val="0073243B"/>
    <w:rsid w:val="00746C00"/>
    <w:rsid w:val="00746CA6"/>
    <w:rsid w:val="007507C9"/>
    <w:rsid w:val="007539CC"/>
    <w:rsid w:val="00762616"/>
    <w:rsid w:val="007931AA"/>
    <w:rsid w:val="007C041D"/>
    <w:rsid w:val="007C3E34"/>
    <w:rsid w:val="007C4B68"/>
    <w:rsid w:val="007D6E46"/>
    <w:rsid w:val="007E01ED"/>
    <w:rsid w:val="007E7D72"/>
    <w:rsid w:val="007F55D3"/>
    <w:rsid w:val="00800E13"/>
    <w:rsid w:val="0080323F"/>
    <w:rsid w:val="00814078"/>
    <w:rsid w:val="0082185C"/>
    <w:rsid w:val="0083014C"/>
    <w:rsid w:val="008308EC"/>
    <w:rsid w:val="00843E62"/>
    <w:rsid w:val="00850148"/>
    <w:rsid w:val="00854D4E"/>
    <w:rsid w:val="00856358"/>
    <w:rsid w:val="00875326"/>
    <w:rsid w:val="0087702D"/>
    <w:rsid w:val="00893F10"/>
    <w:rsid w:val="008A1B6B"/>
    <w:rsid w:val="008A305B"/>
    <w:rsid w:val="008A676F"/>
    <w:rsid w:val="008B0EFB"/>
    <w:rsid w:val="008B45CA"/>
    <w:rsid w:val="008C7FC3"/>
    <w:rsid w:val="00901C18"/>
    <w:rsid w:val="00902068"/>
    <w:rsid w:val="00906919"/>
    <w:rsid w:val="009164F7"/>
    <w:rsid w:val="00921F93"/>
    <w:rsid w:val="00922D1B"/>
    <w:rsid w:val="0094057F"/>
    <w:rsid w:val="00946F81"/>
    <w:rsid w:val="009529E4"/>
    <w:rsid w:val="00952F1E"/>
    <w:rsid w:val="00957B96"/>
    <w:rsid w:val="009673C2"/>
    <w:rsid w:val="00974D27"/>
    <w:rsid w:val="009777AD"/>
    <w:rsid w:val="009A25E8"/>
    <w:rsid w:val="009D4E46"/>
    <w:rsid w:val="009E2F8A"/>
    <w:rsid w:val="009E31C4"/>
    <w:rsid w:val="009E3B39"/>
    <w:rsid w:val="009E50CA"/>
    <w:rsid w:val="009E6949"/>
    <w:rsid w:val="00A20B83"/>
    <w:rsid w:val="00A41BF2"/>
    <w:rsid w:val="00A44D91"/>
    <w:rsid w:val="00A45E6E"/>
    <w:rsid w:val="00A46A5F"/>
    <w:rsid w:val="00A61A11"/>
    <w:rsid w:val="00A640D6"/>
    <w:rsid w:val="00A73A67"/>
    <w:rsid w:val="00A9252B"/>
    <w:rsid w:val="00AB083E"/>
    <w:rsid w:val="00AB3A1B"/>
    <w:rsid w:val="00AB4F68"/>
    <w:rsid w:val="00AB7789"/>
    <w:rsid w:val="00AC1BFE"/>
    <w:rsid w:val="00AE1510"/>
    <w:rsid w:val="00AE7064"/>
    <w:rsid w:val="00AE7BB9"/>
    <w:rsid w:val="00AF6523"/>
    <w:rsid w:val="00B010D6"/>
    <w:rsid w:val="00B1119E"/>
    <w:rsid w:val="00B11F6D"/>
    <w:rsid w:val="00B264EF"/>
    <w:rsid w:val="00B3008A"/>
    <w:rsid w:val="00B33ED9"/>
    <w:rsid w:val="00B371F4"/>
    <w:rsid w:val="00B43276"/>
    <w:rsid w:val="00B524DC"/>
    <w:rsid w:val="00B67F0E"/>
    <w:rsid w:val="00B85961"/>
    <w:rsid w:val="00B86D18"/>
    <w:rsid w:val="00BA097F"/>
    <w:rsid w:val="00BB3107"/>
    <w:rsid w:val="00BB63D0"/>
    <w:rsid w:val="00BC2EBF"/>
    <w:rsid w:val="00BE521A"/>
    <w:rsid w:val="00C10860"/>
    <w:rsid w:val="00C400E5"/>
    <w:rsid w:val="00C40311"/>
    <w:rsid w:val="00C42A4A"/>
    <w:rsid w:val="00C46DAA"/>
    <w:rsid w:val="00C47A31"/>
    <w:rsid w:val="00C47E7E"/>
    <w:rsid w:val="00C5571A"/>
    <w:rsid w:val="00C571E0"/>
    <w:rsid w:val="00C701DC"/>
    <w:rsid w:val="00C73853"/>
    <w:rsid w:val="00C73F14"/>
    <w:rsid w:val="00C8371B"/>
    <w:rsid w:val="00C9053C"/>
    <w:rsid w:val="00C95551"/>
    <w:rsid w:val="00CA2D7C"/>
    <w:rsid w:val="00CC401C"/>
    <w:rsid w:val="00CC6516"/>
    <w:rsid w:val="00CD08E4"/>
    <w:rsid w:val="00CD11B0"/>
    <w:rsid w:val="00CE560A"/>
    <w:rsid w:val="00CE607B"/>
    <w:rsid w:val="00D03C1F"/>
    <w:rsid w:val="00D119ED"/>
    <w:rsid w:val="00D1463A"/>
    <w:rsid w:val="00D2213B"/>
    <w:rsid w:val="00D2259B"/>
    <w:rsid w:val="00D23B89"/>
    <w:rsid w:val="00D51334"/>
    <w:rsid w:val="00D56018"/>
    <w:rsid w:val="00D663D6"/>
    <w:rsid w:val="00D673DD"/>
    <w:rsid w:val="00D71394"/>
    <w:rsid w:val="00D776D9"/>
    <w:rsid w:val="00D817D9"/>
    <w:rsid w:val="00D85459"/>
    <w:rsid w:val="00DA5BF3"/>
    <w:rsid w:val="00DB6551"/>
    <w:rsid w:val="00DB7270"/>
    <w:rsid w:val="00DC19F3"/>
    <w:rsid w:val="00DD45A5"/>
    <w:rsid w:val="00E009C9"/>
    <w:rsid w:val="00E059C0"/>
    <w:rsid w:val="00E07888"/>
    <w:rsid w:val="00E12DD7"/>
    <w:rsid w:val="00E13D56"/>
    <w:rsid w:val="00E24B52"/>
    <w:rsid w:val="00E308A6"/>
    <w:rsid w:val="00E4381F"/>
    <w:rsid w:val="00E52170"/>
    <w:rsid w:val="00E60895"/>
    <w:rsid w:val="00E727FB"/>
    <w:rsid w:val="00E74FD7"/>
    <w:rsid w:val="00E837B5"/>
    <w:rsid w:val="00E91512"/>
    <w:rsid w:val="00EB65EF"/>
    <w:rsid w:val="00EC03EB"/>
    <w:rsid w:val="00EE1D7E"/>
    <w:rsid w:val="00EE78AD"/>
    <w:rsid w:val="00EF2145"/>
    <w:rsid w:val="00EF55E2"/>
    <w:rsid w:val="00F013A0"/>
    <w:rsid w:val="00F07133"/>
    <w:rsid w:val="00F13EC0"/>
    <w:rsid w:val="00F15C16"/>
    <w:rsid w:val="00F22705"/>
    <w:rsid w:val="00F32760"/>
    <w:rsid w:val="00F4042B"/>
    <w:rsid w:val="00F43848"/>
    <w:rsid w:val="00F50B9F"/>
    <w:rsid w:val="00F63BAC"/>
    <w:rsid w:val="00F65C8E"/>
    <w:rsid w:val="00F933E6"/>
    <w:rsid w:val="00F9728C"/>
    <w:rsid w:val="00FA1A9A"/>
    <w:rsid w:val="00FA29CF"/>
    <w:rsid w:val="00FB271A"/>
    <w:rsid w:val="00FC667E"/>
    <w:rsid w:val="00FD68A2"/>
    <w:rsid w:val="00FE11C6"/>
    <w:rsid w:val="00FE5633"/>
    <w:rsid w:val="00FF0F2F"/>
    <w:rsid w:val="00FF6C1D"/>
    <w:rsid w:val="00FF7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B200"/>
  <w15:docId w15:val="{D39C2560-65E8-401C-86D8-49DEF95E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E62"/>
    <w:pPr>
      <w:spacing w:after="200" w:line="276" w:lineRule="auto"/>
      <w:jc w:val="both"/>
    </w:pPr>
    <w:rPr>
      <w:rFonts w:asciiTheme="majorHAnsi" w:eastAsiaTheme="minorHAnsi" w:hAnsiTheme="majorHAnsi"/>
      <w:sz w:val="24"/>
      <w:lang w:val="en-AU" w:eastAsia="en-US"/>
    </w:rPr>
  </w:style>
  <w:style w:type="paragraph" w:styleId="Heading1">
    <w:name w:val="heading 1"/>
    <w:basedOn w:val="Normal"/>
    <w:next w:val="Normal"/>
    <w:link w:val="Heading1Char"/>
    <w:uiPriority w:val="9"/>
    <w:qFormat/>
    <w:rsid w:val="00BC2EBF"/>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38768F"/>
    <w:pPr>
      <w:keepNext/>
      <w:keepLines/>
      <w:spacing w:before="120" w:after="120" w:line="240" w:lineRule="auto"/>
      <w:outlineLvl w:val="1"/>
    </w:pPr>
    <w:rPr>
      <w:rFonts w:cs="Times New Roman"/>
      <w:b/>
      <w:color w:val="000000" w:themeColor="text1"/>
      <w:szCs w:val="24"/>
    </w:rPr>
  </w:style>
  <w:style w:type="paragraph" w:styleId="Heading3">
    <w:name w:val="heading 3"/>
    <w:basedOn w:val="Normal"/>
    <w:next w:val="Normal"/>
    <w:link w:val="Heading3Char"/>
    <w:uiPriority w:val="9"/>
    <w:unhideWhenUsed/>
    <w:qFormat/>
    <w:rsid w:val="00340969"/>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F63BAC"/>
    <w:pPr>
      <w:keepNext/>
      <w:keepLines/>
      <w:spacing w:before="200" w:after="0"/>
      <w:outlineLvl w:val="3"/>
    </w:pPr>
    <w:rPr>
      <w:rFonts w:eastAsiaTheme="majorEastAsia"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00"/>
    <w:pPr>
      <w:ind w:left="720"/>
      <w:contextualSpacing/>
    </w:pPr>
  </w:style>
  <w:style w:type="character" w:styleId="FootnoteReference">
    <w:name w:val="footnote reference"/>
    <w:aliases w:val="16 Point,Superscript 6 Point,ftref,footnote ref,referencia nota al pie,fr,Footnote text,(NECG) Footnote Reference,Footnote Reference Number,Ref,de nota al pie,Footnote Ref in FtNote, BVI fnr,BVI fnr,Char Char Char Char Car Char"/>
    <w:basedOn w:val="DefaultParagraphFont"/>
    <w:uiPriority w:val="99"/>
    <w:unhideWhenUsed/>
    <w:rsid w:val="00843E62"/>
    <w:rPr>
      <w:vertAlign w:val="superscript"/>
    </w:rPr>
  </w:style>
  <w:style w:type="paragraph" w:customStyle="1" w:styleId="Numberedparagraph">
    <w:name w:val="Numbered paragraph"/>
    <w:basedOn w:val="ListParagraph"/>
    <w:link w:val="NumberedparagraphChar"/>
    <w:qFormat/>
    <w:rsid w:val="00843E62"/>
    <w:pPr>
      <w:numPr>
        <w:numId w:val="2"/>
      </w:numPr>
      <w:autoSpaceDE w:val="0"/>
      <w:autoSpaceDN w:val="0"/>
      <w:adjustRightInd w:val="0"/>
      <w:spacing w:after="0" w:line="240" w:lineRule="auto"/>
    </w:pPr>
  </w:style>
  <w:style w:type="character" w:customStyle="1" w:styleId="NumberedparagraphChar">
    <w:name w:val="Numbered paragraph Char"/>
    <w:basedOn w:val="DefaultParagraphFont"/>
    <w:link w:val="Numberedparagraph"/>
    <w:rsid w:val="00843E62"/>
    <w:rPr>
      <w:rFonts w:asciiTheme="majorHAnsi" w:eastAsiaTheme="minorHAnsi" w:hAnsiTheme="majorHAnsi"/>
      <w:sz w:val="24"/>
      <w:lang w:eastAsia="en-US"/>
    </w:rPr>
  </w:style>
  <w:style w:type="character" w:customStyle="1" w:styleId="Heading2Char">
    <w:name w:val="Heading 2 Char"/>
    <w:basedOn w:val="DefaultParagraphFont"/>
    <w:link w:val="Heading2"/>
    <w:uiPriority w:val="9"/>
    <w:rsid w:val="00550541"/>
    <w:rPr>
      <w:rFonts w:asciiTheme="majorHAnsi" w:eastAsiaTheme="minorHAnsi" w:hAnsiTheme="majorHAnsi" w:cs="Times New Roman"/>
      <w:b/>
      <w:color w:val="000000" w:themeColor="text1"/>
      <w:sz w:val="24"/>
      <w:szCs w:val="24"/>
      <w:lang w:val="en-AU" w:eastAsia="en-US"/>
    </w:rPr>
  </w:style>
  <w:style w:type="paragraph" w:styleId="FootnoteText">
    <w:name w:val="footnote text"/>
    <w:aliases w:val="Texto nota pie Car Car,Texto nota pie Car Car Car Car Car Car,Texto nota pie Car Car Car Car Car,Texto nota pie Car Car Car Car Car Car Car,Texto nota pie Car Car Car,single space,footnote text,fn,FOOTNOTES,Geneva 9,Font: Geneva 9,ft,Char"/>
    <w:basedOn w:val="Normal"/>
    <w:link w:val="FootnoteTextChar"/>
    <w:uiPriority w:val="99"/>
    <w:unhideWhenUsed/>
    <w:qFormat/>
    <w:rsid w:val="00843E62"/>
    <w:pPr>
      <w:spacing w:after="0" w:line="240" w:lineRule="auto"/>
    </w:pPr>
    <w:rPr>
      <w:sz w:val="20"/>
      <w:szCs w:val="20"/>
    </w:rPr>
  </w:style>
  <w:style w:type="character" w:customStyle="1" w:styleId="FootnoteTextChar">
    <w:name w:val="Footnote Text Char"/>
    <w:aliases w:val="Texto nota pie Car Car Char,Texto nota pie Car Car Car Car Car Car Char,Texto nota pie Car Car Car Car Car Char,Texto nota pie Car Car Car Car Car Car Car Char,Texto nota pie Car Car Car Char,single space Char,footnote text Char"/>
    <w:basedOn w:val="DefaultParagraphFont"/>
    <w:link w:val="FootnoteText"/>
    <w:uiPriority w:val="99"/>
    <w:rsid w:val="00843E62"/>
    <w:rPr>
      <w:rFonts w:asciiTheme="majorHAnsi" w:eastAsiaTheme="minorHAnsi" w:hAnsiTheme="majorHAnsi"/>
      <w:sz w:val="20"/>
      <w:szCs w:val="20"/>
      <w:lang w:val="en-AU" w:eastAsia="en-US"/>
    </w:rPr>
  </w:style>
  <w:style w:type="paragraph" w:styleId="Caption">
    <w:name w:val="caption"/>
    <w:basedOn w:val="Normal"/>
    <w:next w:val="Normal"/>
    <w:uiPriority w:val="35"/>
    <w:unhideWhenUsed/>
    <w:qFormat/>
    <w:rsid w:val="00843E62"/>
    <w:pPr>
      <w:spacing w:line="240" w:lineRule="auto"/>
    </w:pPr>
    <w:rPr>
      <w:rFonts w:eastAsiaTheme="minorEastAsia"/>
      <w:b/>
      <w:bCs/>
      <w:color w:val="5B9BD5" w:themeColor="accent1"/>
      <w:lang w:val="fr-FR" w:eastAsia="zh-CN"/>
    </w:rPr>
  </w:style>
  <w:style w:type="paragraph" w:customStyle="1" w:styleId="Figure">
    <w:name w:val="Figure"/>
    <w:basedOn w:val="TableofFigures"/>
    <w:next w:val="Normal"/>
    <w:qFormat/>
    <w:rsid w:val="00843E62"/>
    <w:rPr>
      <w:b/>
      <w:szCs w:val="24"/>
    </w:rPr>
  </w:style>
  <w:style w:type="paragraph" w:styleId="TableofFigures">
    <w:name w:val="table of figures"/>
    <w:basedOn w:val="Normal"/>
    <w:next w:val="Normal"/>
    <w:uiPriority w:val="99"/>
    <w:semiHidden/>
    <w:unhideWhenUsed/>
    <w:rsid w:val="00843E62"/>
    <w:pPr>
      <w:spacing w:after="0"/>
    </w:pPr>
  </w:style>
  <w:style w:type="paragraph" w:styleId="CommentText">
    <w:name w:val="annotation text"/>
    <w:basedOn w:val="Normal"/>
    <w:link w:val="CommentTextChar"/>
    <w:uiPriority w:val="99"/>
    <w:unhideWhenUsed/>
    <w:rsid w:val="00CC6516"/>
    <w:pPr>
      <w:spacing w:line="240" w:lineRule="auto"/>
    </w:pPr>
    <w:rPr>
      <w:sz w:val="20"/>
      <w:szCs w:val="20"/>
    </w:rPr>
  </w:style>
  <w:style w:type="character" w:customStyle="1" w:styleId="CommentTextChar">
    <w:name w:val="Comment Text Char"/>
    <w:basedOn w:val="DefaultParagraphFont"/>
    <w:link w:val="CommentText"/>
    <w:uiPriority w:val="99"/>
    <w:rsid w:val="00CC6516"/>
    <w:rPr>
      <w:rFonts w:asciiTheme="majorHAnsi" w:eastAsiaTheme="minorHAnsi" w:hAnsiTheme="majorHAnsi"/>
      <w:sz w:val="20"/>
      <w:szCs w:val="20"/>
      <w:lang w:val="en-AU" w:eastAsia="en-US"/>
    </w:rPr>
  </w:style>
  <w:style w:type="paragraph" w:styleId="NoSpacing">
    <w:name w:val="No Spacing"/>
    <w:link w:val="NoSpacingChar"/>
    <w:uiPriority w:val="1"/>
    <w:qFormat/>
    <w:rsid w:val="00CC6516"/>
    <w:pPr>
      <w:spacing w:after="0" w:line="240" w:lineRule="auto"/>
    </w:pPr>
    <w:rPr>
      <w:rFonts w:ascii="Baskerville Old Face" w:eastAsiaTheme="minorHAnsi" w:hAnsi="Baskerville Old Face" w:cs="Times New Roman"/>
      <w:lang w:eastAsia="en-US"/>
    </w:rPr>
  </w:style>
  <w:style w:type="character" w:customStyle="1" w:styleId="NoSpacingChar">
    <w:name w:val="No Spacing Char"/>
    <w:link w:val="NoSpacing"/>
    <w:uiPriority w:val="1"/>
    <w:rsid w:val="00CC6516"/>
    <w:rPr>
      <w:rFonts w:ascii="Baskerville Old Face" w:eastAsiaTheme="minorHAnsi" w:hAnsi="Baskerville Old Face" w:cs="Times New Roman"/>
      <w:lang w:eastAsia="en-US"/>
    </w:rPr>
  </w:style>
  <w:style w:type="paragraph" w:styleId="BalloonText">
    <w:name w:val="Balloon Text"/>
    <w:basedOn w:val="Normal"/>
    <w:link w:val="BalloonTextChar"/>
    <w:uiPriority w:val="99"/>
    <w:semiHidden/>
    <w:unhideWhenUsed/>
    <w:rsid w:val="0087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2D"/>
    <w:rPr>
      <w:rFonts w:ascii="Tahoma" w:eastAsiaTheme="minorHAnsi" w:hAnsi="Tahoma" w:cs="Tahoma"/>
      <w:sz w:val="16"/>
      <w:szCs w:val="16"/>
      <w:lang w:val="en-AU" w:eastAsia="en-US"/>
    </w:rPr>
  </w:style>
  <w:style w:type="character" w:styleId="CommentReference">
    <w:name w:val="annotation reference"/>
    <w:basedOn w:val="DefaultParagraphFont"/>
    <w:uiPriority w:val="99"/>
    <w:semiHidden/>
    <w:unhideWhenUsed/>
    <w:rsid w:val="0087702D"/>
    <w:rPr>
      <w:sz w:val="16"/>
      <w:szCs w:val="16"/>
    </w:rPr>
  </w:style>
  <w:style w:type="paragraph" w:styleId="CommentSubject">
    <w:name w:val="annotation subject"/>
    <w:basedOn w:val="CommentText"/>
    <w:next w:val="CommentText"/>
    <w:link w:val="CommentSubjectChar"/>
    <w:uiPriority w:val="99"/>
    <w:semiHidden/>
    <w:unhideWhenUsed/>
    <w:rsid w:val="0087702D"/>
    <w:rPr>
      <w:b/>
      <w:bCs/>
    </w:rPr>
  </w:style>
  <w:style w:type="character" w:customStyle="1" w:styleId="CommentSubjectChar">
    <w:name w:val="Comment Subject Char"/>
    <w:basedOn w:val="CommentTextChar"/>
    <w:link w:val="CommentSubject"/>
    <w:uiPriority w:val="99"/>
    <w:semiHidden/>
    <w:rsid w:val="0087702D"/>
    <w:rPr>
      <w:rFonts w:asciiTheme="majorHAnsi" w:eastAsiaTheme="minorHAnsi" w:hAnsiTheme="majorHAnsi"/>
      <w:b/>
      <w:bCs/>
      <w:sz w:val="20"/>
      <w:szCs w:val="20"/>
      <w:lang w:val="en-AU" w:eastAsia="en-US"/>
    </w:rPr>
  </w:style>
  <w:style w:type="character" w:customStyle="1" w:styleId="Heading1Char">
    <w:name w:val="Heading 1 Char"/>
    <w:basedOn w:val="DefaultParagraphFont"/>
    <w:link w:val="Heading1"/>
    <w:uiPriority w:val="9"/>
    <w:rsid w:val="00BC2EBF"/>
    <w:rPr>
      <w:rFonts w:asciiTheme="majorHAnsi" w:eastAsiaTheme="majorEastAsia" w:hAnsiTheme="majorHAnsi" w:cstheme="majorBidi"/>
      <w:b/>
      <w:bCs/>
      <w:color w:val="2E74B5" w:themeColor="accent1" w:themeShade="BF"/>
      <w:sz w:val="28"/>
      <w:szCs w:val="28"/>
      <w:lang w:val="en-AU" w:eastAsia="en-US"/>
    </w:rPr>
  </w:style>
  <w:style w:type="character" w:customStyle="1" w:styleId="Heading3Char">
    <w:name w:val="Heading 3 Char"/>
    <w:basedOn w:val="DefaultParagraphFont"/>
    <w:link w:val="Heading3"/>
    <w:uiPriority w:val="9"/>
    <w:rsid w:val="00340969"/>
    <w:rPr>
      <w:rFonts w:asciiTheme="majorHAnsi" w:eastAsiaTheme="majorEastAsia" w:hAnsiTheme="majorHAnsi" w:cstheme="majorBidi"/>
      <w:b/>
      <w:bCs/>
      <w:color w:val="5B9BD5" w:themeColor="accent1"/>
      <w:sz w:val="24"/>
      <w:lang w:val="en-AU" w:eastAsia="en-US"/>
    </w:rPr>
  </w:style>
  <w:style w:type="character" w:customStyle="1" w:styleId="Heading4Char">
    <w:name w:val="Heading 4 Char"/>
    <w:basedOn w:val="DefaultParagraphFont"/>
    <w:link w:val="Heading4"/>
    <w:uiPriority w:val="9"/>
    <w:rsid w:val="00F63BAC"/>
    <w:rPr>
      <w:rFonts w:asciiTheme="majorHAnsi" w:eastAsiaTheme="majorEastAsia" w:hAnsiTheme="majorHAnsi" w:cstheme="majorBidi"/>
      <w:b/>
      <w:bCs/>
      <w:i/>
      <w:iCs/>
      <w:color w:val="5B9BD5" w:themeColor="accent1"/>
      <w:sz w:val="24"/>
      <w:lang w:val="en-AU" w:eastAsia="en-US"/>
    </w:rPr>
  </w:style>
  <w:style w:type="character" w:customStyle="1" w:styleId="authorname">
    <w:name w:val="authorname"/>
    <w:basedOn w:val="DefaultParagraphFont"/>
    <w:rsid w:val="009A25E8"/>
  </w:style>
  <w:style w:type="character" w:customStyle="1" w:styleId="u-sronly">
    <w:name w:val="u-sronly"/>
    <w:basedOn w:val="DefaultParagraphFont"/>
    <w:rsid w:val="009A25E8"/>
  </w:style>
  <w:style w:type="character" w:customStyle="1" w:styleId="journaltitle">
    <w:name w:val="journaltitle"/>
    <w:basedOn w:val="DefaultParagraphFont"/>
    <w:rsid w:val="009A25E8"/>
  </w:style>
  <w:style w:type="character" w:customStyle="1" w:styleId="articlecitationyear">
    <w:name w:val="articlecitation_year"/>
    <w:basedOn w:val="DefaultParagraphFont"/>
    <w:rsid w:val="009A25E8"/>
  </w:style>
  <w:style w:type="character" w:customStyle="1" w:styleId="articlecitationvolume">
    <w:name w:val="articlecitation_volume"/>
    <w:basedOn w:val="DefaultParagraphFont"/>
    <w:rsid w:val="009A25E8"/>
  </w:style>
  <w:style w:type="character" w:styleId="Strong">
    <w:name w:val="Strong"/>
    <w:basedOn w:val="DefaultParagraphFont"/>
    <w:uiPriority w:val="22"/>
    <w:qFormat/>
    <w:rsid w:val="009A25E8"/>
    <w:rPr>
      <w:b/>
      <w:bCs/>
    </w:rPr>
  </w:style>
  <w:style w:type="character" w:styleId="Hyperlink">
    <w:name w:val="Hyperlink"/>
    <w:basedOn w:val="DefaultParagraphFont"/>
    <w:uiPriority w:val="99"/>
    <w:unhideWhenUsed/>
    <w:rsid w:val="00DB7270"/>
    <w:rPr>
      <w:color w:val="0563C1" w:themeColor="hyperlink"/>
      <w:u w:val="single"/>
    </w:rPr>
  </w:style>
  <w:style w:type="paragraph" w:styleId="Title">
    <w:name w:val="Title"/>
    <w:basedOn w:val="Normal"/>
    <w:next w:val="Normal"/>
    <w:link w:val="TitleChar"/>
    <w:uiPriority w:val="10"/>
    <w:qFormat/>
    <w:rsid w:val="00C73F14"/>
    <w:pPr>
      <w:pBdr>
        <w:bottom w:val="single" w:sz="8" w:space="4" w:color="5B9BD5"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73F14"/>
    <w:rPr>
      <w:rFonts w:asciiTheme="majorHAnsi" w:eastAsiaTheme="majorEastAsia" w:hAnsiTheme="majorHAnsi" w:cstheme="majorBidi"/>
      <w:color w:val="323E4F" w:themeColor="text2" w:themeShade="BF"/>
      <w:spacing w:val="5"/>
      <w:kern w:val="28"/>
      <w:sz w:val="52"/>
      <w:szCs w:val="52"/>
      <w:lang w:val="en-AU" w:eastAsia="en-US"/>
    </w:rPr>
  </w:style>
  <w:style w:type="paragraph" w:styleId="Bibliography">
    <w:name w:val="Bibliography"/>
    <w:basedOn w:val="Normal"/>
    <w:next w:val="Normal"/>
    <w:uiPriority w:val="37"/>
    <w:unhideWhenUsed/>
    <w:rsid w:val="00901C18"/>
  </w:style>
  <w:style w:type="character" w:styleId="Emphasis">
    <w:name w:val="Emphasis"/>
    <w:basedOn w:val="DefaultParagraphFont"/>
    <w:uiPriority w:val="20"/>
    <w:qFormat/>
    <w:rsid w:val="002C17AD"/>
    <w:rPr>
      <w:b/>
      <w:bCs/>
      <w:i w:val="0"/>
      <w:iCs w:val="0"/>
    </w:rPr>
  </w:style>
  <w:style w:type="character" w:customStyle="1" w:styleId="st1">
    <w:name w:val="st1"/>
    <w:basedOn w:val="DefaultParagraphFont"/>
    <w:rsid w:val="002C17AD"/>
  </w:style>
  <w:style w:type="paragraph" w:styleId="PlainText">
    <w:name w:val="Plain Text"/>
    <w:basedOn w:val="Normal"/>
    <w:link w:val="PlainTextChar"/>
    <w:uiPriority w:val="99"/>
    <w:unhideWhenUsed/>
    <w:rsid w:val="00C47A31"/>
    <w:pPr>
      <w:spacing w:after="0" w:line="240" w:lineRule="auto"/>
      <w:jc w:val="left"/>
    </w:pPr>
    <w:rPr>
      <w:rFonts w:ascii="Consolas" w:hAnsi="Consolas"/>
      <w:sz w:val="21"/>
      <w:szCs w:val="21"/>
      <w:lang w:val="en-GB"/>
    </w:rPr>
  </w:style>
  <w:style w:type="character" w:customStyle="1" w:styleId="PlainTextChar">
    <w:name w:val="Plain Text Char"/>
    <w:basedOn w:val="DefaultParagraphFont"/>
    <w:link w:val="PlainText"/>
    <w:uiPriority w:val="99"/>
    <w:rsid w:val="00C47A31"/>
    <w:rPr>
      <w:rFonts w:ascii="Consolas" w:eastAsiaTheme="minorHAnsi" w:hAnsi="Consolas"/>
      <w:sz w:val="21"/>
      <w:szCs w:val="21"/>
      <w:lang w:val="en-GB" w:eastAsia="en-US"/>
    </w:rPr>
  </w:style>
  <w:style w:type="paragraph" w:styleId="Header">
    <w:name w:val="header"/>
    <w:basedOn w:val="Normal"/>
    <w:link w:val="HeaderChar"/>
    <w:uiPriority w:val="99"/>
    <w:unhideWhenUsed/>
    <w:rsid w:val="00047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E11"/>
    <w:rPr>
      <w:rFonts w:asciiTheme="majorHAnsi" w:eastAsiaTheme="minorHAnsi" w:hAnsiTheme="majorHAnsi"/>
      <w:sz w:val="24"/>
      <w:lang w:val="en-AU" w:eastAsia="en-US"/>
    </w:rPr>
  </w:style>
  <w:style w:type="paragraph" w:styleId="Footer">
    <w:name w:val="footer"/>
    <w:basedOn w:val="Normal"/>
    <w:link w:val="FooterChar"/>
    <w:uiPriority w:val="99"/>
    <w:unhideWhenUsed/>
    <w:rsid w:val="00047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E11"/>
    <w:rPr>
      <w:rFonts w:asciiTheme="majorHAnsi" w:eastAsiaTheme="minorHAnsi" w:hAnsiTheme="majorHAnsi"/>
      <w:sz w:val="24"/>
      <w:lang w:val="en-AU" w:eastAsia="en-US"/>
    </w:rPr>
  </w:style>
  <w:style w:type="paragraph" w:styleId="Revision">
    <w:name w:val="Revision"/>
    <w:hidden/>
    <w:uiPriority w:val="99"/>
    <w:semiHidden/>
    <w:rsid w:val="0038768F"/>
    <w:pPr>
      <w:spacing w:after="0" w:line="240" w:lineRule="auto"/>
    </w:pPr>
    <w:rPr>
      <w:rFonts w:asciiTheme="majorHAnsi" w:eastAsiaTheme="minorHAnsi" w:hAnsiTheme="majorHAnsi"/>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235">
      <w:bodyDiv w:val="1"/>
      <w:marLeft w:val="0"/>
      <w:marRight w:val="0"/>
      <w:marTop w:val="0"/>
      <w:marBottom w:val="0"/>
      <w:divBdr>
        <w:top w:val="none" w:sz="0" w:space="0" w:color="auto"/>
        <w:left w:val="none" w:sz="0" w:space="0" w:color="auto"/>
        <w:bottom w:val="none" w:sz="0" w:space="0" w:color="auto"/>
        <w:right w:val="none" w:sz="0" w:space="0" w:color="auto"/>
      </w:divBdr>
    </w:div>
    <w:div w:id="4787665">
      <w:bodyDiv w:val="1"/>
      <w:marLeft w:val="0"/>
      <w:marRight w:val="0"/>
      <w:marTop w:val="0"/>
      <w:marBottom w:val="0"/>
      <w:divBdr>
        <w:top w:val="none" w:sz="0" w:space="0" w:color="auto"/>
        <w:left w:val="none" w:sz="0" w:space="0" w:color="auto"/>
        <w:bottom w:val="none" w:sz="0" w:space="0" w:color="auto"/>
        <w:right w:val="none" w:sz="0" w:space="0" w:color="auto"/>
      </w:divBdr>
    </w:div>
    <w:div w:id="11997151">
      <w:bodyDiv w:val="1"/>
      <w:marLeft w:val="0"/>
      <w:marRight w:val="0"/>
      <w:marTop w:val="0"/>
      <w:marBottom w:val="0"/>
      <w:divBdr>
        <w:top w:val="none" w:sz="0" w:space="0" w:color="auto"/>
        <w:left w:val="none" w:sz="0" w:space="0" w:color="auto"/>
        <w:bottom w:val="none" w:sz="0" w:space="0" w:color="auto"/>
        <w:right w:val="none" w:sz="0" w:space="0" w:color="auto"/>
      </w:divBdr>
    </w:div>
    <w:div w:id="21592826">
      <w:bodyDiv w:val="1"/>
      <w:marLeft w:val="0"/>
      <w:marRight w:val="0"/>
      <w:marTop w:val="0"/>
      <w:marBottom w:val="0"/>
      <w:divBdr>
        <w:top w:val="none" w:sz="0" w:space="0" w:color="auto"/>
        <w:left w:val="none" w:sz="0" w:space="0" w:color="auto"/>
        <w:bottom w:val="none" w:sz="0" w:space="0" w:color="auto"/>
        <w:right w:val="none" w:sz="0" w:space="0" w:color="auto"/>
      </w:divBdr>
    </w:div>
    <w:div w:id="23601161">
      <w:bodyDiv w:val="1"/>
      <w:marLeft w:val="0"/>
      <w:marRight w:val="0"/>
      <w:marTop w:val="0"/>
      <w:marBottom w:val="0"/>
      <w:divBdr>
        <w:top w:val="none" w:sz="0" w:space="0" w:color="auto"/>
        <w:left w:val="none" w:sz="0" w:space="0" w:color="auto"/>
        <w:bottom w:val="none" w:sz="0" w:space="0" w:color="auto"/>
        <w:right w:val="none" w:sz="0" w:space="0" w:color="auto"/>
      </w:divBdr>
    </w:div>
    <w:div w:id="26175253">
      <w:bodyDiv w:val="1"/>
      <w:marLeft w:val="0"/>
      <w:marRight w:val="0"/>
      <w:marTop w:val="0"/>
      <w:marBottom w:val="0"/>
      <w:divBdr>
        <w:top w:val="none" w:sz="0" w:space="0" w:color="auto"/>
        <w:left w:val="none" w:sz="0" w:space="0" w:color="auto"/>
        <w:bottom w:val="none" w:sz="0" w:space="0" w:color="auto"/>
        <w:right w:val="none" w:sz="0" w:space="0" w:color="auto"/>
      </w:divBdr>
    </w:div>
    <w:div w:id="53702534">
      <w:bodyDiv w:val="1"/>
      <w:marLeft w:val="0"/>
      <w:marRight w:val="0"/>
      <w:marTop w:val="0"/>
      <w:marBottom w:val="0"/>
      <w:divBdr>
        <w:top w:val="none" w:sz="0" w:space="0" w:color="auto"/>
        <w:left w:val="none" w:sz="0" w:space="0" w:color="auto"/>
        <w:bottom w:val="none" w:sz="0" w:space="0" w:color="auto"/>
        <w:right w:val="none" w:sz="0" w:space="0" w:color="auto"/>
      </w:divBdr>
    </w:div>
    <w:div w:id="64954296">
      <w:bodyDiv w:val="1"/>
      <w:marLeft w:val="0"/>
      <w:marRight w:val="0"/>
      <w:marTop w:val="0"/>
      <w:marBottom w:val="0"/>
      <w:divBdr>
        <w:top w:val="none" w:sz="0" w:space="0" w:color="auto"/>
        <w:left w:val="none" w:sz="0" w:space="0" w:color="auto"/>
        <w:bottom w:val="none" w:sz="0" w:space="0" w:color="auto"/>
        <w:right w:val="none" w:sz="0" w:space="0" w:color="auto"/>
      </w:divBdr>
    </w:div>
    <w:div w:id="82993854">
      <w:bodyDiv w:val="1"/>
      <w:marLeft w:val="0"/>
      <w:marRight w:val="0"/>
      <w:marTop w:val="0"/>
      <w:marBottom w:val="0"/>
      <w:divBdr>
        <w:top w:val="none" w:sz="0" w:space="0" w:color="auto"/>
        <w:left w:val="none" w:sz="0" w:space="0" w:color="auto"/>
        <w:bottom w:val="none" w:sz="0" w:space="0" w:color="auto"/>
        <w:right w:val="none" w:sz="0" w:space="0" w:color="auto"/>
      </w:divBdr>
    </w:div>
    <w:div w:id="92826558">
      <w:bodyDiv w:val="1"/>
      <w:marLeft w:val="0"/>
      <w:marRight w:val="0"/>
      <w:marTop w:val="0"/>
      <w:marBottom w:val="0"/>
      <w:divBdr>
        <w:top w:val="none" w:sz="0" w:space="0" w:color="auto"/>
        <w:left w:val="none" w:sz="0" w:space="0" w:color="auto"/>
        <w:bottom w:val="none" w:sz="0" w:space="0" w:color="auto"/>
        <w:right w:val="none" w:sz="0" w:space="0" w:color="auto"/>
      </w:divBdr>
    </w:div>
    <w:div w:id="93208468">
      <w:bodyDiv w:val="1"/>
      <w:marLeft w:val="0"/>
      <w:marRight w:val="0"/>
      <w:marTop w:val="0"/>
      <w:marBottom w:val="0"/>
      <w:divBdr>
        <w:top w:val="none" w:sz="0" w:space="0" w:color="auto"/>
        <w:left w:val="none" w:sz="0" w:space="0" w:color="auto"/>
        <w:bottom w:val="none" w:sz="0" w:space="0" w:color="auto"/>
        <w:right w:val="none" w:sz="0" w:space="0" w:color="auto"/>
      </w:divBdr>
    </w:div>
    <w:div w:id="107048536">
      <w:bodyDiv w:val="1"/>
      <w:marLeft w:val="0"/>
      <w:marRight w:val="0"/>
      <w:marTop w:val="0"/>
      <w:marBottom w:val="0"/>
      <w:divBdr>
        <w:top w:val="none" w:sz="0" w:space="0" w:color="auto"/>
        <w:left w:val="none" w:sz="0" w:space="0" w:color="auto"/>
        <w:bottom w:val="none" w:sz="0" w:space="0" w:color="auto"/>
        <w:right w:val="none" w:sz="0" w:space="0" w:color="auto"/>
      </w:divBdr>
    </w:div>
    <w:div w:id="108163043">
      <w:bodyDiv w:val="1"/>
      <w:marLeft w:val="0"/>
      <w:marRight w:val="0"/>
      <w:marTop w:val="0"/>
      <w:marBottom w:val="0"/>
      <w:divBdr>
        <w:top w:val="none" w:sz="0" w:space="0" w:color="auto"/>
        <w:left w:val="none" w:sz="0" w:space="0" w:color="auto"/>
        <w:bottom w:val="none" w:sz="0" w:space="0" w:color="auto"/>
        <w:right w:val="none" w:sz="0" w:space="0" w:color="auto"/>
      </w:divBdr>
    </w:div>
    <w:div w:id="126316817">
      <w:bodyDiv w:val="1"/>
      <w:marLeft w:val="0"/>
      <w:marRight w:val="0"/>
      <w:marTop w:val="0"/>
      <w:marBottom w:val="0"/>
      <w:divBdr>
        <w:top w:val="none" w:sz="0" w:space="0" w:color="auto"/>
        <w:left w:val="none" w:sz="0" w:space="0" w:color="auto"/>
        <w:bottom w:val="none" w:sz="0" w:space="0" w:color="auto"/>
        <w:right w:val="none" w:sz="0" w:space="0" w:color="auto"/>
      </w:divBdr>
    </w:div>
    <w:div w:id="131022901">
      <w:bodyDiv w:val="1"/>
      <w:marLeft w:val="0"/>
      <w:marRight w:val="0"/>
      <w:marTop w:val="0"/>
      <w:marBottom w:val="0"/>
      <w:divBdr>
        <w:top w:val="none" w:sz="0" w:space="0" w:color="auto"/>
        <w:left w:val="none" w:sz="0" w:space="0" w:color="auto"/>
        <w:bottom w:val="none" w:sz="0" w:space="0" w:color="auto"/>
        <w:right w:val="none" w:sz="0" w:space="0" w:color="auto"/>
      </w:divBdr>
    </w:div>
    <w:div w:id="150171764">
      <w:bodyDiv w:val="1"/>
      <w:marLeft w:val="0"/>
      <w:marRight w:val="0"/>
      <w:marTop w:val="0"/>
      <w:marBottom w:val="0"/>
      <w:divBdr>
        <w:top w:val="none" w:sz="0" w:space="0" w:color="auto"/>
        <w:left w:val="none" w:sz="0" w:space="0" w:color="auto"/>
        <w:bottom w:val="none" w:sz="0" w:space="0" w:color="auto"/>
        <w:right w:val="none" w:sz="0" w:space="0" w:color="auto"/>
      </w:divBdr>
    </w:div>
    <w:div w:id="156460192">
      <w:bodyDiv w:val="1"/>
      <w:marLeft w:val="0"/>
      <w:marRight w:val="0"/>
      <w:marTop w:val="0"/>
      <w:marBottom w:val="0"/>
      <w:divBdr>
        <w:top w:val="none" w:sz="0" w:space="0" w:color="auto"/>
        <w:left w:val="none" w:sz="0" w:space="0" w:color="auto"/>
        <w:bottom w:val="none" w:sz="0" w:space="0" w:color="auto"/>
        <w:right w:val="none" w:sz="0" w:space="0" w:color="auto"/>
      </w:divBdr>
    </w:div>
    <w:div w:id="160126215">
      <w:bodyDiv w:val="1"/>
      <w:marLeft w:val="0"/>
      <w:marRight w:val="0"/>
      <w:marTop w:val="0"/>
      <w:marBottom w:val="0"/>
      <w:divBdr>
        <w:top w:val="none" w:sz="0" w:space="0" w:color="auto"/>
        <w:left w:val="none" w:sz="0" w:space="0" w:color="auto"/>
        <w:bottom w:val="none" w:sz="0" w:space="0" w:color="auto"/>
        <w:right w:val="none" w:sz="0" w:space="0" w:color="auto"/>
      </w:divBdr>
    </w:div>
    <w:div w:id="179513942">
      <w:bodyDiv w:val="1"/>
      <w:marLeft w:val="0"/>
      <w:marRight w:val="0"/>
      <w:marTop w:val="0"/>
      <w:marBottom w:val="0"/>
      <w:divBdr>
        <w:top w:val="none" w:sz="0" w:space="0" w:color="auto"/>
        <w:left w:val="none" w:sz="0" w:space="0" w:color="auto"/>
        <w:bottom w:val="none" w:sz="0" w:space="0" w:color="auto"/>
        <w:right w:val="none" w:sz="0" w:space="0" w:color="auto"/>
      </w:divBdr>
    </w:div>
    <w:div w:id="187574009">
      <w:bodyDiv w:val="1"/>
      <w:marLeft w:val="0"/>
      <w:marRight w:val="0"/>
      <w:marTop w:val="0"/>
      <w:marBottom w:val="0"/>
      <w:divBdr>
        <w:top w:val="none" w:sz="0" w:space="0" w:color="auto"/>
        <w:left w:val="none" w:sz="0" w:space="0" w:color="auto"/>
        <w:bottom w:val="none" w:sz="0" w:space="0" w:color="auto"/>
        <w:right w:val="none" w:sz="0" w:space="0" w:color="auto"/>
      </w:divBdr>
    </w:div>
    <w:div w:id="207109320">
      <w:bodyDiv w:val="1"/>
      <w:marLeft w:val="0"/>
      <w:marRight w:val="0"/>
      <w:marTop w:val="0"/>
      <w:marBottom w:val="0"/>
      <w:divBdr>
        <w:top w:val="none" w:sz="0" w:space="0" w:color="auto"/>
        <w:left w:val="none" w:sz="0" w:space="0" w:color="auto"/>
        <w:bottom w:val="none" w:sz="0" w:space="0" w:color="auto"/>
        <w:right w:val="none" w:sz="0" w:space="0" w:color="auto"/>
      </w:divBdr>
    </w:div>
    <w:div w:id="207643085">
      <w:bodyDiv w:val="1"/>
      <w:marLeft w:val="0"/>
      <w:marRight w:val="0"/>
      <w:marTop w:val="0"/>
      <w:marBottom w:val="0"/>
      <w:divBdr>
        <w:top w:val="none" w:sz="0" w:space="0" w:color="auto"/>
        <w:left w:val="none" w:sz="0" w:space="0" w:color="auto"/>
        <w:bottom w:val="none" w:sz="0" w:space="0" w:color="auto"/>
        <w:right w:val="none" w:sz="0" w:space="0" w:color="auto"/>
      </w:divBdr>
    </w:div>
    <w:div w:id="215437515">
      <w:bodyDiv w:val="1"/>
      <w:marLeft w:val="0"/>
      <w:marRight w:val="0"/>
      <w:marTop w:val="0"/>
      <w:marBottom w:val="0"/>
      <w:divBdr>
        <w:top w:val="none" w:sz="0" w:space="0" w:color="auto"/>
        <w:left w:val="none" w:sz="0" w:space="0" w:color="auto"/>
        <w:bottom w:val="none" w:sz="0" w:space="0" w:color="auto"/>
        <w:right w:val="none" w:sz="0" w:space="0" w:color="auto"/>
      </w:divBdr>
    </w:div>
    <w:div w:id="218565247">
      <w:bodyDiv w:val="1"/>
      <w:marLeft w:val="0"/>
      <w:marRight w:val="0"/>
      <w:marTop w:val="0"/>
      <w:marBottom w:val="0"/>
      <w:divBdr>
        <w:top w:val="none" w:sz="0" w:space="0" w:color="auto"/>
        <w:left w:val="none" w:sz="0" w:space="0" w:color="auto"/>
        <w:bottom w:val="none" w:sz="0" w:space="0" w:color="auto"/>
        <w:right w:val="none" w:sz="0" w:space="0" w:color="auto"/>
      </w:divBdr>
    </w:div>
    <w:div w:id="221911727">
      <w:bodyDiv w:val="1"/>
      <w:marLeft w:val="0"/>
      <w:marRight w:val="0"/>
      <w:marTop w:val="0"/>
      <w:marBottom w:val="0"/>
      <w:divBdr>
        <w:top w:val="none" w:sz="0" w:space="0" w:color="auto"/>
        <w:left w:val="none" w:sz="0" w:space="0" w:color="auto"/>
        <w:bottom w:val="none" w:sz="0" w:space="0" w:color="auto"/>
        <w:right w:val="none" w:sz="0" w:space="0" w:color="auto"/>
      </w:divBdr>
    </w:div>
    <w:div w:id="228227739">
      <w:bodyDiv w:val="1"/>
      <w:marLeft w:val="0"/>
      <w:marRight w:val="0"/>
      <w:marTop w:val="0"/>
      <w:marBottom w:val="0"/>
      <w:divBdr>
        <w:top w:val="none" w:sz="0" w:space="0" w:color="auto"/>
        <w:left w:val="none" w:sz="0" w:space="0" w:color="auto"/>
        <w:bottom w:val="none" w:sz="0" w:space="0" w:color="auto"/>
        <w:right w:val="none" w:sz="0" w:space="0" w:color="auto"/>
      </w:divBdr>
    </w:div>
    <w:div w:id="230501664">
      <w:bodyDiv w:val="1"/>
      <w:marLeft w:val="0"/>
      <w:marRight w:val="0"/>
      <w:marTop w:val="0"/>
      <w:marBottom w:val="0"/>
      <w:divBdr>
        <w:top w:val="none" w:sz="0" w:space="0" w:color="auto"/>
        <w:left w:val="none" w:sz="0" w:space="0" w:color="auto"/>
        <w:bottom w:val="none" w:sz="0" w:space="0" w:color="auto"/>
        <w:right w:val="none" w:sz="0" w:space="0" w:color="auto"/>
      </w:divBdr>
    </w:div>
    <w:div w:id="237328172">
      <w:bodyDiv w:val="1"/>
      <w:marLeft w:val="0"/>
      <w:marRight w:val="0"/>
      <w:marTop w:val="0"/>
      <w:marBottom w:val="0"/>
      <w:divBdr>
        <w:top w:val="none" w:sz="0" w:space="0" w:color="auto"/>
        <w:left w:val="none" w:sz="0" w:space="0" w:color="auto"/>
        <w:bottom w:val="none" w:sz="0" w:space="0" w:color="auto"/>
        <w:right w:val="none" w:sz="0" w:space="0" w:color="auto"/>
      </w:divBdr>
    </w:div>
    <w:div w:id="245891674">
      <w:bodyDiv w:val="1"/>
      <w:marLeft w:val="0"/>
      <w:marRight w:val="0"/>
      <w:marTop w:val="0"/>
      <w:marBottom w:val="0"/>
      <w:divBdr>
        <w:top w:val="none" w:sz="0" w:space="0" w:color="auto"/>
        <w:left w:val="none" w:sz="0" w:space="0" w:color="auto"/>
        <w:bottom w:val="none" w:sz="0" w:space="0" w:color="auto"/>
        <w:right w:val="none" w:sz="0" w:space="0" w:color="auto"/>
      </w:divBdr>
    </w:div>
    <w:div w:id="274797919">
      <w:bodyDiv w:val="1"/>
      <w:marLeft w:val="0"/>
      <w:marRight w:val="0"/>
      <w:marTop w:val="0"/>
      <w:marBottom w:val="0"/>
      <w:divBdr>
        <w:top w:val="none" w:sz="0" w:space="0" w:color="auto"/>
        <w:left w:val="none" w:sz="0" w:space="0" w:color="auto"/>
        <w:bottom w:val="none" w:sz="0" w:space="0" w:color="auto"/>
        <w:right w:val="none" w:sz="0" w:space="0" w:color="auto"/>
      </w:divBdr>
    </w:div>
    <w:div w:id="293370975">
      <w:bodyDiv w:val="1"/>
      <w:marLeft w:val="0"/>
      <w:marRight w:val="0"/>
      <w:marTop w:val="0"/>
      <w:marBottom w:val="0"/>
      <w:divBdr>
        <w:top w:val="none" w:sz="0" w:space="0" w:color="auto"/>
        <w:left w:val="none" w:sz="0" w:space="0" w:color="auto"/>
        <w:bottom w:val="none" w:sz="0" w:space="0" w:color="auto"/>
        <w:right w:val="none" w:sz="0" w:space="0" w:color="auto"/>
      </w:divBdr>
    </w:div>
    <w:div w:id="302128254">
      <w:bodyDiv w:val="1"/>
      <w:marLeft w:val="0"/>
      <w:marRight w:val="0"/>
      <w:marTop w:val="0"/>
      <w:marBottom w:val="0"/>
      <w:divBdr>
        <w:top w:val="none" w:sz="0" w:space="0" w:color="auto"/>
        <w:left w:val="none" w:sz="0" w:space="0" w:color="auto"/>
        <w:bottom w:val="none" w:sz="0" w:space="0" w:color="auto"/>
        <w:right w:val="none" w:sz="0" w:space="0" w:color="auto"/>
      </w:divBdr>
    </w:div>
    <w:div w:id="305205554">
      <w:bodyDiv w:val="1"/>
      <w:marLeft w:val="0"/>
      <w:marRight w:val="0"/>
      <w:marTop w:val="0"/>
      <w:marBottom w:val="0"/>
      <w:divBdr>
        <w:top w:val="none" w:sz="0" w:space="0" w:color="auto"/>
        <w:left w:val="none" w:sz="0" w:space="0" w:color="auto"/>
        <w:bottom w:val="none" w:sz="0" w:space="0" w:color="auto"/>
        <w:right w:val="none" w:sz="0" w:space="0" w:color="auto"/>
      </w:divBdr>
    </w:div>
    <w:div w:id="356010275">
      <w:bodyDiv w:val="1"/>
      <w:marLeft w:val="0"/>
      <w:marRight w:val="0"/>
      <w:marTop w:val="0"/>
      <w:marBottom w:val="0"/>
      <w:divBdr>
        <w:top w:val="none" w:sz="0" w:space="0" w:color="auto"/>
        <w:left w:val="none" w:sz="0" w:space="0" w:color="auto"/>
        <w:bottom w:val="none" w:sz="0" w:space="0" w:color="auto"/>
        <w:right w:val="none" w:sz="0" w:space="0" w:color="auto"/>
      </w:divBdr>
    </w:div>
    <w:div w:id="357897100">
      <w:bodyDiv w:val="1"/>
      <w:marLeft w:val="0"/>
      <w:marRight w:val="0"/>
      <w:marTop w:val="0"/>
      <w:marBottom w:val="0"/>
      <w:divBdr>
        <w:top w:val="none" w:sz="0" w:space="0" w:color="auto"/>
        <w:left w:val="none" w:sz="0" w:space="0" w:color="auto"/>
        <w:bottom w:val="none" w:sz="0" w:space="0" w:color="auto"/>
        <w:right w:val="none" w:sz="0" w:space="0" w:color="auto"/>
      </w:divBdr>
    </w:div>
    <w:div w:id="366221330">
      <w:bodyDiv w:val="1"/>
      <w:marLeft w:val="0"/>
      <w:marRight w:val="0"/>
      <w:marTop w:val="0"/>
      <w:marBottom w:val="0"/>
      <w:divBdr>
        <w:top w:val="none" w:sz="0" w:space="0" w:color="auto"/>
        <w:left w:val="none" w:sz="0" w:space="0" w:color="auto"/>
        <w:bottom w:val="none" w:sz="0" w:space="0" w:color="auto"/>
        <w:right w:val="none" w:sz="0" w:space="0" w:color="auto"/>
      </w:divBdr>
    </w:div>
    <w:div w:id="367337578">
      <w:bodyDiv w:val="1"/>
      <w:marLeft w:val="0"/>
      <w:marRight w:val="0"/>
      <w:marTop w:val="0"/>
      <w:marBottom w:val="0"/>
      <w:divBdr>
        <w:top w:val="none" w:sz="0" w:space="0" w:color="auto"/>
        <w:left w:val="none" w:sz="0" w:space="0" w:color="auto"/>
        <w:bottom w:val="none" w:sz="0" w:space="0" w:color="auto"/>
        <w:right w:val="none" w:sz="0" w:space="0" w:color="auto"/>
      </w:divBdr>
      <w:divsChild>
        <w:div w:id="1769083096">
          <w:marLeft w:val="0"/>
          <w:marRight w:val="0"/>
          <w:marTop w:val="240"/>
          <w:marBottom w:val="0"/>
          <w:divBdr>
            <w:top w:val="none" w:sz="0" w:space="0" w:color="auto"/>
            <w:left w:val="none" w:sz="0" w:space="0" w:color="auto"/>
            <w:bottom w:val="none" w:sz="0" w:space="0" w:color="auto"/>
            <w:right w:val="none" w:sz="0" w:space="0" w:color="auto"/>
          </w:divBdr>
        </w:div>
        <w:div w:id="1301499428">
          <w:marLeft w:val="0"/>
          <w:marRight w:val="0"/>
          <w:marTop w:val="0"/>
          <w:marBottom w:val="240"/>
          <w:divBdr>
            <w:top w:val="none" w:sz="0" w:space="0" w:color="auto"/>
            <w:left w:val="none" w:sz="0" w:space="0" w:color="auto"/>
            <w:bottom w:val="none" w:sz="0" w:space="0" w:color="auto"/>
            <w:right w:val="none" w:sz="0" w:space="0" w:color="auto"/>
          </w:divBdr>
        </w:div>
        <w:div w:id="122040107">
          <w:marLeft w:val="0"/>
          <w:marRight w:val="0"/>
          <w:marTop w:val="0"/>
          <w:marBottom w:val="60"/>
          <w:divBdr>
            <w:top w:val="none" w:sz="0" w:space="0" w:color="auto"/>
            <w:left w:val="none" w:sz="0" w:space="0" w:color="auto"/>
            <w:bottom w:val="none" w:sz="0" w:space="0" w:color="auto"/>
            <w:right w:val="none" w:sz="0" w:space="0" w:color="auto"/>
          </w:divBdr>
          <w:divsChild>
            <w:div w:id="998457839">
              <w:marLeft w:val="0"/>
              <w:marRight w:val="0"/>
              <w:marTop w:val="0"/>
              <w:marBottom w:val="0"/>
              <w:divBdr>
                <w:top w:val="none" w:sz="0" w:space="0" w:color="auto"/>
                <w:left w:val="none" w:sz="0" w:space="0" w:color="auto"/>
                <w:bottom w:val="none" w:sz="0" w:space="0" w:color="auto"/>
                <w:right w:val="none" w:sz="0" w:space="0" w:color="auto"/>
              </w:divBdr>
              <w:divsChild>
                <w:div w:id="17511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2282">
      <w:bodyDiv w:val="1"/>
      <w:marLeft w:val="0"/>
      <w:marRight w:val="0"/>
      <w:marTop w:val="0"/>
      <w:marBottom w:val="0"/>
      <w:divBdr>
        <w:top w:val="none" w:sz="0" w:space="0" w:color="auto"/>
        <w:left w:val="none" w:sz="0" w:space="0" w:color="auto"/>
        <w:bottom w:val="none" w:sz="0" w:space="0" w:color="auto"/>
        <w:right w:val="none" w:sz="0" w:space="0" w:color="auto"/>
      </w:divBdr>
    </w:div>
    <w:div w:id="377822585">
      <w:bodyDiv w:val="1"/>
      <w:marLeft w:val="0"/>
      <w:marRight w:val="0"/>
      <w:marTop w:val="0"/>
      <w:marBottom w:val="0"/>
      <w:divBdr>
        <w:top w:val="none" w:sz="0" w:space="0" w:color="auto"/>
        <w:left w:val="none" w:sz="0" w:space="0" w:color="auto"/>
        <w:bottom w:val="none" w:sz="0" w:space="0" w:color="auto"/>
        <w:right w:val="none" w:sz="0" w:space="0" w:color="auto"/>
      </w:divBdr>
    </w:div>
    <w:div w:id="387074090">
      <w:bodyDiv w:val="1"/>
      <w:marLeft w:val="0"/>
      <w:marRight w:val="0"/>
      <w:marTop w:val="0"/>
      <w:marBottom w:val="0"/>
      <w:divBdr>
        <w:top w:val="none" w:sz="0" w:space="0" w:color="auto"/>
        <w:left w:val="none" w:sz="0" w:space="0" w:color="auto"/>
        <w:bottom w:val="none" w:sz="0" w:space="0" w:color="auto"/>
        <w:right w:val="none" w:sz="0" w:space="0" w:color="auto"/>
      </w:divBdr>
    </w:div>
    <w:div w:id="388039798">
      <w:bodyDiv w:val="1"/>
      <w:marLeft w:val="0"/>
      <w:marRight w:val="0"/>
      <w:marTop w:val="0"/>
      <w:marBottom w:val="0"/>
      <w:divBdr>
        <w:top w:val="none" w:sz="0" w:space="0" w:color="auto"/>
        <w:left w:val="none" w:sz="0" w:space="0" w:color="auto"/>
        <w:bottom w:val="none" w:sz="0" w:space="0" w:color="auto"/>
        <w:right w:val="none" w:sz="0" w:space="0" w:color="auto"/>
      </w:divBdr>
    </w:div>
    <w:div w:id="394663498">
      <w:bodyDiv w:val="1"/>
      <w:marLeft w:val="0"/>
      <w:marRight w:val="0"/>
      <w:marTop w:val="0"/>
      <w:marBottom w:val="0"/>
      <w:divBdr>
        <w:top w:val="none" w:sz="0" w:space="0" w:color="auto"/>
        <w:left w:val="none" w:sz="0" w:space="0" w:color="auto"/>
        <w:bottom w:val="none" w:sz="0" w:space="0" w:color="auto"/>
        <w:right w:val="none" w:sz="0" w:space="0" w:color="auto"/>
      </w:divBdr>
    </w:div>
    <w:div w:id="400107269">
      <w:bodyDiv w:val="1"/>
      <w:marLeft w:val="0"/>
      <w:marRight w:val="0"/>
      <w:marTop w:val="0"/>
      <w:marBottom w:val="0"/>
      <w:divBdr>
        <w:top w:val="none" w:sz="0" w:space="0" w:color="auto"/>
        <w:left w:val="none" w:sz="0" w:space="0" w:color="auto"/>
        <w:bottom w:val="none" w:sz="0" w:space="0" w:color="auto"/>
        <w:right w:val="none" w:sz="0" w:space="0" w:color="auto"/>
      </w:divBdr>
    </w:div>
    <w:div w:id="403114556">
      <w:bodyDiv w:val="1"/>
      <w:marLeft w:val="0"/>
      <w:marRight w:val="0"/>
      <w:marTop w:val="0"/>
      <w:marBottom w:val="0"/>
      <w:divBdr>
        <w:top w:val="none" w:sz="0" w:space="0" w:color="auto"/>
        <w:left w:val="none" w:sz="0" w:space="0" w:color="auto"/>
        <w:bottom w:val="none" w:sz="0" w:space="0" w:color="auto"/>
        <w:right w:val="none" w:sz="0" w:space="0" w:color="auto"/>
      </w:divBdr>
    </w:div>
    <w:div w:id="403181973">
      <w:bodyDiv w:val="1"/>
      <w:marLeft w:val="0"/>
      <w:marRight w:val="0"/>
      <w:marTop w:val="0"/>
      <w:marBottom w:val="0"/>
      <w:divBdr>
        <w:top w:val="none" w:sz="0" w:space="0" w:color="auto"/>
        <w:left w:val="none" w:sz="0" w:space="0" w:color="auto"/>
        <w:bottom w:val="none" w:sz="0" w:space="0" w:color="auto"/>
        <w:right w:val="none" w:sz="0" w:space="0" w:color="auto"/>
      </w:divBdr>
    </w:div>
    <w:div w:id="428162873">
      <w:bodyDiv w:val="1"/>
      <w:marLeft w:val="0"/>
      <w:marRight w:val="0"/>
      <w:marTop w:val="0"/>
      <w:marBottom w:val="0"/>
      <w:divBdr>
        <w:top w:val="none" w:sz="0" w:space="0" w:color="auto"/>
        <w:left w:val="none" w:sz="0" w:space="0" w:color="auto"/>
        <w:bottom w:val="none" w:sz="0" w:space="0" w:color="auto"/>
        <w:right w:val="none" w:sz="0" w:space="0" w:color="auto"/>
      </w:divBdr>
    </w:div>
    <w:div w:id="429932567">
      <w:bodyDiv w:val="1"/>
      <w:marLeft w:val="0"/>
      <w:marRight w:val="0"/>
      <w:marTop w:val="0"/>
      <w:marBottom w:val="0"/>
      <w:divBdr>
        <w:top w:val="none" w:sz="0" w:space="0" w:color="auto"/>
        <w:left w:val="none" w:sz="0" w:space="0" w:color="auto"/>
        <w:bottom w:val="none" w:sz="0" w:space="0" w:color="auto"/>
        <w:right w:val="none" w:sz="0" w:space="0" w:color="auto"/>
      </w:divBdr>
    </w:div>
    <w:div w:id="436215079">
      <w:bodyDiv w:val="1"/>
      <w:marLeft w:val="0"/>
      <w:marRight w:val="0"/>
      <w:marTop w:val="0"/>
      <w:marBottom w:val="0"/>
      <w:divBdr>
        <w:top w:val="none" w:sz="0" w:space="0" w:color="auto"/>
        <w:left w:val="none" w:sz="0" w:space="0" w:color="auto"/>
        <w:bottom w:val="none" w:sz="0" w:space="0" w:color="auto"/>
        <w:right w:val="none" w:sz="0" w:space="0" w:color="auto"/>
      </w:divBdr>
    </w:div>
    <w:div w:id="442116225">
      <w:bodyDiv w:val="1"/>
      <w:marLeft w:val="0"/>
      <w:marRight w:val="0"/>
      <w:marTop w:val="0"/>
      <w:marBottom w:val="0"/>
      <w:divBdr>
        <w:top w:val="none" w:sz="0" w:space="0" w:color="auto"/>
        <w:left w:val="none" w:sz="0" w:space="0" w:color="auto"/>
        <w:bottom w:val="none" w:sz="0" w:space="0" w:color="auto"/>
        <w:right w:val="none" w:sz="0" w:space="0" w:color="auto"/>
      </w:divBdr>
    </w:div>
    <w:div w:id="463470836">
      <w:bodyDiv w:val="1"/>
      <w:marLeft w:val="0"/>
      <w:marRight w:val="0"/>
      <w:marTop w:val="0"/>
      <w:marBottom w:val="0"/>
      <w:divBdr>
        <w:top w:val="none" w:sz="0" w:space="0" w:color="auto"/>
        <w:left w:val="none" w:sz="0" w:space="0" w:color="auto"/>
        <w:bottom w:val="none" w:sz="0" w:space="0" w:color="auto"/>
        <w:right w:val="none" w:sz="0" w:space="0" w:color="auto"/>
      </w:divBdr>
    </w:div>
    <w:div w:id="471337069">
      <w:bodyDiv w:val="1"/>
      <w:marLeft w:val="0"/>
      <w:marRight w:val="0"/>
      <w:marTop w:val="0"/>
      <w:marBottom w:val="0"/>
      <w:divBdr>
        <w:top w:val="none" w:sz="0" w:space="0" w:color="auto"/>
        <w:left w:val="none" w:sz="0" w:space="0" w:color="auto"/>
        <w:bottom w:val="none" w:sz="0" w:space="0" w:color="auto"/>
        <w:right w:val="none" w:sz="0" w:space="0" w:color="auto"/>
      </w:divBdr>
    </w:div>
    <w:div w:id="478157580">
      <w:bodyDiv w:val="1"/>
      <w:marLeft w:val="0"/>
      <w:marRight w:val="0"/>
      <w:marTop w:val="0"/>
      <w:marBottom w:val="0"/>
      <w:divBdr>
        <w:top w:val="none" w:sz="0" w:space="0" w:color="auto"/>
        <w:left w:val="none" w:sz="0" w:space="0" w:color="auto"/>
        <w:bottom w:val="none" w:sz="0" w:space="0" w:color="auto"/>
        <w:right w:val="none" w:sz="0" w:space="0" w:color="auto"/>
      </w:divBdr>
    </w:div>
    <w:div w:id="492842456">
      <w:bodyDiv w:val="1"/>
      <w:marLeft w:val="0"/>
      <w:marRight w:val="0"/>
      <w:marTop w:val="0"/>
      <w:marBottom w:val="0"/>
      <w:divBdr>
        <w:top w:val="none" w:sz="0" w:space="0" w:color="auto"/>
        <w:left w:val="none" w:sz="0" w:space="0" w:color="auto"/>
        <w:bottom w:val="none" w:sz="0" w:space="0" w:color="auto"/>
        <w:right w:val="none" w:sz="0" w:space="0" w:color="auto"/>
      </w:divBdr>
    </w:div>
    <w:div w:id="506940564">
      <w:bodyDiv w:val="1"/>
      <w:marLeft w:val="0"/>
      <w:marRight w:val="0"/>
      <w:marTop w:val="0"/>
      <w:marBottom w:val="0"/>
      <w:divBdr>
        <w:top w:val="none" w:sz="0" w:space="0" w:color="auto"/>
        <w:left w:val="none" w:sz="0" w:space="0" w:color="auto"/>
        <w:bottom w:val="none" w:sz="0" w:space="0" w:color="auto"/>
        <w:right w:val="none" w:sz="0" w:space="0" w:color="auto"/>
      </w:divBdr>
    </w:div>
    <w:div w:id="524487096">
      <w:bodyDiv w:val="1"/>
      <w:marLeft w:val="0"/>
      <w:marRight w:val="0"/>
      <w:marTop w:val="0"/>
      <w:marBottom w:val="0"/>
      <w:divBdr>
        <w:top w:val="none" w:sz="0" w:space="0" w:color="auto"/>
        <w:left w:val="none" w:sz="0" w:space="0" w:color="auto"/>
        <w:bottom w:val="none" w:sz="0" w:space="0" w:color="auto"/>
        <w:right w:val="none" w:sz="0" w:space="0" w:color="auto"/>
      </w:divBdr>
    </w:div>
    <w:div w:id="527640618">
      <w:bodyDiv w:val="1"/>
      <w:marLeft w:val="0"/>
      <w:marRight w:val="0"/>
      <w:marTop w:val="0"/>
      <w:marBottom w:val="0"/>
      <w:divBdr>
        <w:top w:val="none" w:sz="0" w:space="0" w:color="auto"/>
        <w:left w:val="none" w:sz="0" w:space="0" w:color="auto"/>
        <w:bottom w:val="none" w:sz="0" w:space="0" w:color="auto"/>
        <w:right w:val="none" w:sz="0" w:space="0" w:color="auto"/>
      </w:divBdr>
    </w:div>
    <w:div w:id="533346181">
      <w:bodyDiv w:val="1"/>
      <w:marLeft w:val="0"/>
      <w:marRight w:val="0"/>
      <w:marTop w:val="0"/>
      <w:marBottom w:val="0"/>
      <w:divBdr>
        <w:top w:val="none" w:sz="0" w:space="0" w:color="auto"/>
        <w:left w:val="none" w:sz="0" w:space="0" w:color="auto"/>
        <w:bottom w:val="none" w:sz="0" w:space="0" w:color="auto"/>
        <w:right w:val="none" w:sz="0" w:space="0" w:color="auto"/>
      </w:divBdr>
    </w:div>
    <w:div w:id="547913017">
      <w:bodyDiv w:val="1"/>
      <w:marLeft w:val="0"/>
      <w:marRight w:val="0"/>
      <w:marTop w:val="0"/>
      <w:marBottom w:val="0"/>
      <w:divBdr>
        <w:top w:val="none" w:sz="0" w:space="0" w:color="auto"/>
        <w:left w:val="none" w:sz="0" w:space="0" w:color="auto"/>
        <w:bottom w:val="none" w:sz="0" w:space="0" w:color="auto"/>
        <w:right w:val="none" w:sz="0" w:space="0" w:color="auto"/>
      </w:divBdr>
    </w:div>
    <w:div w:id="571237972">
      <w:bodyDiv w:val="1"/>
      <w:marLeft w:val="0"/>
      <w:marRight w:val="0"/>
      <w:marTop w:val="0"/>
      <w:marBottom w:val="0"/>
      <w:divBdr>
        <w:top w:val="none" w:sz="0" w:space="0" w:color="auto"/>
        <w:left w:val="none" w:sz="0" w:space="0" w:color="auto"/>
        <w:bottom w:val="none" w:sz="0" w:space="0" w:color="auto"/>
        <w:right w:val="none" w:sz="0" w:space="0" w:color="auto"/>
      </w:divBdr>
    </w:div>
    <w:div w:id="571819895">
      <w:bodyDiv w:val="1"/>
      <w:marLeft w:val="0"/>
      <w:marRight w:val="0"/>
      <w:marTop w:val="0"/>
      <w:marBottom w:val="0"/>
      <w:divBdr>
        <w:top w:val="none" w:sz="0" w:space="0" w:color="auto"/>
        <w:left w:val="none" w:sz="0" w:space="0" w:color="auto"/>
        <w:bottom w:val="none" w:sz="0" w:space="0" w:color="auto"/>
        <w:right w:val="none" w:sz="0" w:space="0" w:color="auto"/>
      </w:divBdr>
    </w:div>
    <w:div w:id="582110643">
      <w:bodyDiv w:val="1"/>
      <w:marLeft w:val="0"/>
      <w:marRight w:val="0"/>
      <w:marTop w:val="0"/>
      <w:marBottom w:val="0"/>
      <w:divBdr>
        <w:top w:val="none" w:sz="0" w:space="0" w:color="auto"/>
        <w:left w:val="none" w:sz="0" w:space="0" w:color="auto"/>
        <w:bottom w:val="none" w:sz="0" w:space="0" w:color="auto"/>
        <w:right w:val="none" w:sz="0" w:space="0" w:color="auto"/>
      </w:divBdr>
    </w:div>
    <w:div w:id="590702756">
      <w:bodyDiv w:val="1"/>
      <w:marLeft w:val="0"/>
      <w:marRight w:val="0"/>
      <w:marTop w:val="0"/>
      <w:marBottom w:val="0"/>
      <w:divBdr>
        <w:top w:val="none" w:sz="0" w:space="0" w:color="auto"/>
        <w:left w:val="none" w:sz="0" w:space="0" w:color="auto"/>
        <w:bottom w:val="none" w:sz="0" w:space="0" w:color="auto"/>
        <w:right w:val="none" w:sz="0" w:space="0" w:color="auto"/>
      </w:divBdr>
    </w:div>
    <w:div w:id="615526621">
      <w:bodyDiv w:val="1"/>
      <w:marLeft w:val="0"/>
      <w:marRight w:val="0"/>
      <w:marTop w:val="0"/>
      <w:marBottom w:val="0"/>
      <w:divBdr>
        <w:top w:val="none" w:sz="0" w:space="0" w:color="auto"/>
        <w:left w:val="none" w:sz="0" w:space="0" w:color="auto"/>
        <w:bottom w:val="none" w:sz="0" w:space="0" w:color="auto"/>
        <w:right w:val="none" w:sz="0" w:space="0" w:color="auto"/>
      </w:divBdr>
    </w:div>
    <w:div w:id="628441074">
      <w:bodyDiv w:val="1"/>
      <w:marLeft w:val="0"/>
      <w:marRight w:val="0"/>
      <w:marTop w:val="0"/>
      <w:marBottom w:val="0"/>
      <w:divBdr>
        <w:top w:val="none" w:sz="0" w:space="0" w:color="auto"/>
        <w:left w:val="none" w:sz="0" w:space="0" w:color="auto"/>
        <w:bottom w:val="none" w:sz="0" w:space="0" w:color="auto"/>
        <w:right w:val="none" w:sz="0" w:space="0" w:color="auto"/>
      </w:divBdr>
    </w:div>
    <w:div w:id="652685774">
      <w:bodyDiv w:val="1"/>
      <w:marLeft w:val="0"/>
      <w:marRight w:val="0"/>
      <w:marTop w:val="0"/>
      <w:marBottom w:val="0"/>
      <w:divBdr>
        <w:top w:val="none" w:sz="0" w:space="0" w:color="auto"/>
        <w:left w:val="none" w:sz="0" w:space="0" w:color="auto"/>
        <w:bottom w:val="none" w:sz="0" w:space="0" w:color="auto"/>
        <w:right w:val="none" w:sz="0" w:space="0" w:color="auto"/>
      </w:divBdr>
    </w:div>
    <w:div w:id="660281943">
      <w:bodyDiv w:val="1"/>
      <w:marLeft w:val="0"/>
      <w:marRight w:val="0"/>
      <w:marTop w:val="0"/>
      <w:marBottom w:val="0"/>
      <w:divBdr>
        <w:top w:val="none" w:sz="0" w:space="0" w:color="auto"/>
        <w:left w:val="none" w:sz="0" w:space="0" w:color="auto"/>
        <w:bottom w:val="none" w:sz="0" w:space="0" w:color="auto"/>
        <w:right w:val="none" w:sz="0" w:space="0" w:color="auto"/>
      </w:divBdr>
    </w:div>
    <w:div w:id="671686105">
      <w:bodyDiv w:val="1"/>
      <w:marLeft w:val="0"/>
      <w:marRight w:val="0"/>
      <w:marTop w:val="0"/>
      <w:marBottom w:val="0"/>
      <w:divBdr>
        <w:top w:val="none" w:sz="0" w:space="0" w:color="auto"/>
        <w:left w:val="none" w:sz="0" w:space="0" w:color="auto"/>
        <w:bottom w:val="none" w:sz="0" w:space="0" w:color="auto"/>
        <w:right w:val="none" w:sz="0" w:space="0" w:color="auto"/>
      </w:divBdr>
    </w:div>
    <w:div w:id="696081402">
      <w:bodyDiv w:val="1"/>
      <w:marLeft w:val="0"/>
      <w:marRight w:val="0"/>
      <w:marTop w:val="0"/>
      <w:marBottom w:val="0"/>
      <w:divBdr>
        <w:top w:val="none" w:sz="0" w:space="0" w:color="auto"/>
        <w:left w:val="none" w:sz="0" w:space="0" w:color="auto"/>
        <w:bottom w:val="none" w:sz="0" w:space="0" w:color="auto"/>
        <w:right w:val="none" w:sz="0" w:space="0" w:color="auto"/>
      </w:divBdr>
    </w:div>
    <w:div w:id="699360290">
      <w:bodyDiv w:val="1"/>
      <w:marLeft w:val="0"/>
      <w:marRight w:val="0"/>
      <w:marTop w:val="0"/>
      <w:marBottom w:val="0"/>
      <w:divBdr>
        <w:top w:val="none" w:sz="0" w:space="0" w:color="auto"/>
        <w:left w:val="none" w:sz="0" w:space="0" w:color="auto"/>
        <w:bottom w:val="none" w:sz="0" w:space="0" w:color="auto"/>
        <w:right w:val="none" w:sz="0" w:space="0" w:color="auto"/>
      </w:divBdr>
    </w:div>
    <w:div w:id="703677080">
      <w:bodyDiv w:val="1"/>
      <w:marLeft w:val="0"/>
      <w:marRight w:val="0"/>
      <w:marTop w:val="0"/>
      <w:marBottom w:val="0"/>
      <w:divBdr>
        <w:top w:val="none" w:sz="0" w:space="0" w:color="auto"/>
        <w:left w:val="none" w:sz="0" w:space="0" w:color="auto"/>
        <w:bottom w:val="none" w:sz="0" w:space="0" w:color="auto"/>
        <w:right w:val="none" w:sz="0" w:space="0" w:color="auto"/>
      </w:divBdr>
    </w:div>
    <w:div w:id="704528554">
      <w:bodyDiv w:val="1"/>
      <w:marLeft w:val="0"/>
      <w:marRight w:val="0"/>
      <w:marTop w:val="0"/>
      <w:marBottom w:val="0"/>
      <w:divBdr>
        <w:top w:val="none" w:sz="0" w:space="0" w:color="auto"/>
        <w:left w:val="none" w:sz="0" w:space="0" w:color="auto"/>
        <w:bottom w:val="none" w:sz="0" w:space="0" w:color="auto"/>
        <w:right w:val="none" w:sz="0" w:space="0" w:color="auto"/>
      </w:divBdr>
    </w:div>
    <w:div w:id="712844953">
      <w:bodyDiv w:val="1"/>
      <w:marLeft w:val="0"/>
      <w:marRight w:val="0"/>
      <w:marTop w:val="0"/>
      <w:marBottom w:val="0"/>
      <w:divBdr>
        <w:top w:val="none" w:sz="0" w:space="0" w:color="auto"/>
        <w:left w:val="none" w:sz="0" w:space="0" w:color="auto"/>
        <w:bottom w:val="none" w:sz="0" w:space="0" w:color="auto"/>
        <w:right w:val="none" w:sz="0" w:space="0" w:color="auto"/>
      </w:divBdr>
    </w:div>
    <w:div w:id="715354176">
      <w:bodyDiv w:val="1"/>
      <w:marLeft w:val="0"/>
      <w:marRight w:val="0"/>
      <w:marTop w:val="0"/>
      <w:marBottom w:val="0"/>
      <w:divBdr>
        <w:top w:val="none" w:sz="0" w:space="0" w:color="auto"/>
        <w:left w:val="none" w:sz="0" w:space="0" w:color="auto"/>
        <w:bottom w:val="none" w:sz="0" w:space="0" w:color="auto"/>
        <w:right w:val="none" w:sz="0" w:space="0" w:color="auto"/>
      </w:divBdr>
    </w:div>
    <w:div w:id="729304269">
      <w:bodyDiv w:val="1"/>
      <w:marLeft w:val="0"/>
      <w:marRight w:val="0"/>
      <w:marTop w:val="0"/>
      <w:marBottom w:val="0"/>
      <w:divBdr>
        <w:top w:val="none" w:sz="0" w:space="0" w:color="auto"/>
        <w:left w:val="none" w:sz="0" w:space="0" w:color="auto"/>
        <w:bottom w:val="none" w:sz="0" w:space="0" w:color="auto"/>
        <w:right w:val="none" w:sz="0" w:space="0" w:color="auto"/>
      </w:divBdr>
    </w:div>
    <w:div w:id="737900888">
      <w:bodyDiv w:val="1"/>
      <w:marLeft w:val="0"/>
      <w:marRight w:val="0"/>
      <w:marTop w:val="0"/>
      <w:marBottom w:val="0"/>
      <w:divBdr>
        <w:top w:val="none" w:sz="0" w:space="0" w:color="auto"/>
        <w:left w:val="none" w:sz="0" w:space="0" w:color="auto"/>
        <w:bottom w:val="none" w:sz="0" w:space="0" w:color="auto"/>
        <w:right w:val="none" w:sz="0" w:space="0" w:color="auto"/>
      </w:divBdr>
    </w:div>
    <w:div w:id="744107353">
      <w:bodyDiv w:val="1"/>
      <w:marLeft w:val="0"/>
      <w:marRight w:val="0"/>
      <w:marTop w:val="0"/>
      <w:marBottom w:val="0"/>
      <w:divBdr>
        <w:top w:val="none" w:sz="0" w:space="0" w:color="auto"/>
        <w:left w:val="none" w:sz="0" w:space="0" w:color="auto"/>
        <w:bottom w:val="none" w:sz="0" w:space="0" w:color="auto"/>
        <w:right w:val="none" w:sz="0" w:space="0" w:color="auto"/>
      </w:divBdr>
    </w:div>
    <w:div w:id="755178201">
      <w:bodyDiv w:val="1"/>
      <w:marLeft w:val="0"/>
      <w:marRight w:val="0"/>
      <w:marTop w:val="0"/>
      <w:marBottom w:val="0"/>
      <w:divBdr>
        <w:top w:val="none" w:sz="0" w:space="0" w:color="auto"/>
        <w:left w:val="none" w:sz="0" w:space="0" w:color="auto"/>
        <w:bottom w:val="none" w:sz="0" w:space="0" w:color="auto"/>
        <w:right w:val="none" w:sz="0" w:space="0" w:color="auto"/>
      </w:divBdr>
    </w:div>
    <w:div w:id="756437888">
      <w:bodyDiv w:val="1"/>
      <w:marLeft w:val="0"/>
      <w:marRight w:val="0"/>
      <w:marTop w:val="0"/>
      <w:marBottom w:val="0"/>
      <w:divBdr>
        <w:top w:val="none" w:sz="0" w:space="0" w:color="auto"/>
        <w:left w:val="none" w:sz="0" w:space="0" w:color="auto"/>
        <w:bottom w:val="none" w:sz="0" w:space="0" w:color="auto"/>
        <w:right w:val="none" w:sz="0" w:space="0" w:color="auto"/>
      </w:divBdr>
    </w:div>
    <w:div w:id="767193470">
      <w:bodyDiv w:val="1"/>
      <w:marLeft w:val="0"/>
      <w:marRight w:val="0"/>
      <w:marTop w:val="0"/>
      <w:marBottom w:val="0"/>
      <w:divBdr>
        <w:top w:val="none" w:sz="0" w:space="0" w:color="auto"/>
        <w:left w:val="none" w:sz="0" w:space="0" w:color="auto"/>
        <w:bottom w:val="none" w:sz="0" w:space="0" w:color="auto"/>
        <w:right w:val="none" w:sz="0" w:space="0" w:color="auto"/>
      </w:divBdr>
    </w:div>
    <w:div w:id="774590918">
      <w:bodyDiv w:val="1"/>
      <w:marLeft w:val="0"/>
      <w:marRight w:val="0"/>
      <w:marTop w:val="0"/>
      <w:marBottom w:val="0"/>
      <w:divBdr>
        <w:top w:val="none" w:sz="0" w:space="0" w:color="auto"/>
        <w:left w:val="none" w:sz="0" w:space="0" w:color="auto"/>
        <w:bottom w:val="none" w:sz="0" w:space="0" w:color="auto"/>
        <w:right w:val="none" w:sz="0" w:space="0" w:color="auto"/>
      </w:divBdr>
    </w:div>
    <w:div w:id="793402268">
      <w:bodyDiv w:val="1"/>
      <w:marLeft w:val="0"/>
      <w:marRight w:val="0"/>
      <w:marTop w:val="0"/>
      <w:marBottom w:val="0"/>
      <w:divBdr>
        <w:top w:val="none" w:sz="0" w:space="0" w:color="auto"/>
        <w:left w:val="none" w:sz="0" w:space="0" w:color="auto"/>
        <w:bottom w:val="none" w:sz="0" w:space="0" w:color="auto"/>
        <w:right w:val="none" w:sz="0" w:space="0" w:color="auto"/>
      </w:divBdr>
    </w:div>
    <w:div w:id="835682157">
      <w:bodyDiv w:val="1"/>
      <w:marLeft w:val="0"/>
      <w:marRight w:val="0"/>
      <w:marTop w:val="0"/>
      <w:marBottom w:val="0"/>
      <w:divBdr>
        <w:top w:val="none" w:sz="0" w:space="0" w:color="auto"/>
        <w:left w:val="none" w:sz="0" w:space="0" w:color="auto"/>
        <w:bottom w:val="none" w:sz="0" w:space="0" w:color="auto"/>
        <w:right w:val="none" w:sz="0" w:space="0" w:color="auto"/>
      </w:divBdr>
    </w:div>
    <w:div w:id="837501398">
      <w:bodyDiv w:val="1"/>
      <w:marLeft w:val="0"/>
      <w:marRight w:val="0"/>
      <w:marTop w:val="0"/>
      <w:marBottom w:val="0"/>
      <w:divBdr>
        <w:top w:val="none" w:sz="0" w:space="0" w:color="auto"/>
        <w:left w:val="none" w:sz="0" w:space="0" w:color="auto"/>
        <w:bottom w:val="none" w:sz="0" w:space="0" w:color="auto"/>
        <w:right w:val="none" w:sz="0" w:space="0" w:color="auto"/>
      </w:divBdr>
    </w:div>
    <w:div w:id="839471874">
      <w:bodyDiv w:val="1"/>
      <w:marLeft w:val="0"/>
      <w:marRight w:val="0"/>
      <w:marTop w:val="0"/>
      <w:marBottom w:val="0"/>
      <w:divBdr>
        <w:top w:val="none" w:sz="0" w:space="0" w:color="auto"/>
        <w:left w:val="none" w:sz="0" w:space="0" w:color="auto"/>
        <w:bottom w:val="none" w:sz="0" w:space="0" w:color="auto"/>
        <w:right w:val="none" w:sz="0" w:space="0" w:color="auto"/>
      </w:divBdr>
    </w:div>
    <w:div w:id="840657193">
      <w:bodyDiv w:val="1"/>
      <w:marLeft w:val="0"/>
      <w:marRight w:val="0"/>
      <w:marTop w:val="0"/>
      <w:marBottom w:val="0"/>
      <w:divBdr>
        <w:top w:val="none" w:sz="0" w:space="0" w:color="auto"/>
        <w:left w:val="none" w:sz="0" w:space="0" w:color="auto"/>
        <w:bottom w:val="none" w:sz="0" w:space="0" w:color="auto"/>
        <w:right w:val="none" w:sz="0" w:space="0" w:color="auto"/>
      </w:divBdr>
    </w:div>
    <w:div w:id="848062420">
      <w:bodyDiv w:val="1"/>
      <w:marLeft w:val="0"/>
      <w:marRight w:val="0"/>
      <w:marTop w:val="0"/>
      <w:marBottom w:val="0"/>
      <w:divBdr>
        <w:top w:val="none" w:sz="0" w:space="0" w:color="auto"/>
        <w:left w:val="none" w:sz="0" w:space="0" w:color="auto"/>
        <w:bottom w:val="none" w:sz="0" w:space="0" w:color="auto"/>
        <w:right w:val="none" w:sz="0" w:space="0" w:color="auto"/>
      </w:divBdr>
    </w:div>
    <w:div w:id="848832928">
      <w:bodyDiv w:val="1"/>
      <w:marLeft w:val="0"/>
      <w:marRight w:val="0"/>
      <w:marTop w:val="0"/>
      <w:marBottom w:val="0"/>
      <w:divBdr>
        <w:top w:val="none" w:sz="0" w:space="0" w:color="auto"/>
        <w:left w:val="none" w:sz="0" w:space="0" w:color="auto"/>
        <w:bottom w:val="none" w:sz="0" w:space="0" w:color="auto"/>
        <w:right w:val="none" w:sz="0" w:space="0" w:color="auto"/>
      </w:divBdr>
    </w:div>
    <w:div w:id="856310980">
      <w:bodyDiv w:val="1"/>
      <w:marLeft w:val="0"/>
      <w:marRight w:val="0"/>
      <w:marTop w:val="0"/>
      <w:marBottom w:val="0"/>
      <w:divBdr>
        <w:top w:val="none" w:sz="0" w:space="0" w:color="auto"/>
        <w:left w:val="none" w:sz="0" w:space="0" w:color="auto"/>
        <w:bottom w:val="none" w:sz="0" w:space="0" w:color="auto"/>
        <w:right w:val="none" w:sz="0" w:space="0" w:color="auto"/>
      </w:divBdr>
    </w:div>
    <w:div w:id="872886939">
      <w:bodyDiv w:val="1"/>
      <w:marLeft w:val="0"/>
      <w:marRight w:val="0"/>
      <w:marTop w:val="0"/>
      <w:marBottom w:val="0"/>
      <w:divBdr>
        <w:top w:val="none" w:sz="0" w:space="0" w:color="auto"/>
        <w:left w:val="none" w:sz="0" w:space="0" w:color="auto"/>
        <w:bottom w:val="none" w:sz="0" w:space="0" w:color="auto"/>
        <w:right w:val="none" w:sz="0" w:space="0" w:color="auto"/>
      </w:divBdr>
    </w:div>
    <w:div w:id="903838164">
      <w:bodyDiv w:val="1"/>
      <w:marLeft w:val="0"/>
      <w:marRight w:val="0"/>
      <w:marTop w:val="0"/>
      <w:marBottom w:val="0"/>
      <w:divBdr>
        <w:top w:val="none" w:sz="0" w:space="0" w:color="auto"/>
        <w:left w:val="none" w:sz="0" w:space="0" w:color="auto"/>
        <w:bottom w:val="none" w:sz="0" w:space="0" w:color="auto"/>
        <w:right w:val="none" w:sz="0" w:space="0" w:color="auto"/>
      </w:divBdr>
    </w:div>
    <w:div w:id="930965129">
      <w:bodyDiv w:val="1"/>
      <w:marLeft w:val="0"/>
      <w:marRight w:val="0"/>
      <w:marTop w:val="0"/>
      <w:marBottom w:val="0"/>
      <w:divBdr>
        <w:top w:val="none" w:sz="0" w:space="0" w:color="auto"/>
        <w:left w:val="none" w:sz="0" w:space="0" w:color="auto"/>
        <w:bottom w:val="none" w:sz="0" w:space="0" w:color="auto"/>
        <w:right w:val="none" w:sz="0" w:space="0" w:color="auto"/>
      </w:divBdr>
    </w:div>
    <w:div w:id="931429389">
      <w:bodyDiv w:val="1"/>
      <w:marLeft w:val="0"/>
      <w:marRight w:val="0"/>
      <w:marTop w:val="0"/>
      <w:marBottom w:val="0"/>
      <w:divBdr>
        <w:top w:val="none" w:sz="0" w:space="0" w:color="auto"/>
        <w:left w:val="none" w:sz="0" w:space="0" w:color="auto"/>
        <w:bottom w:val="none" w:sz="0" w:space="0" w:color="auto"/>
        <w:right w:val="none" w:sz="0" w:space="0" w:color="auto"/>
      </w:divBdr>
    </w:div>
    <w:div w:id="947854521">
      <w:bodyDiv w:val="1"/>
      <w:marLeft w:val="0"/>
      <w:marRight w:val="0"/>
      <w:marTop w:val="0"/>
      <w:marBottom w:val="0"/>
      <w:divBdr>
        <w:top w:val="none" w:sz="0" w:space="0" w:color="auto"/>
        <w:left w:val="none" w:sz="0" w:space="0" w:color="auto"/>
        <w:bottom w:val="none" w:sz="0" w:space="0" w:color="auto"/>
        <w:right w:val="none" w:sz="0" w:space="0" w:color="auto"/>
      </w:divBdr>
    </w:div>
    <w:div w:id="954485970">
      <w:bodyDiv w:val="1"/>
      <w:marLeft w:val="0"/>
      <w:marRight w:val="0"/>
      <w:marTop w:val="0"/>
      <w:marBottom w:val="0"/>
      <w:divBdr>
        <w:top w:val="none" w:sz="0" w:space="0" w:color="auto"/>
        <w:left w:val="none" w:sz="0" w:space="0" w:color="auto"/>
        <w:bottom w:val="none" w:sz="0" w:space="0" w:color="auto"/>
        <w:right w:val="none" w:sz="0" w:space="0" w:color="auto"/>
      </w:divBdr>
    </w:div>
    <w:div w:id="977993919">
      <w:bodyDiv w:val="1"/>
      <w:marLeft w:val="0"/>
      <w:marRight w:val="0"/>
      <w:marTop w:val="0"/>
      <w:marBottom w:val="0"/>
      <w:divBdr>
        <w:top w:val="none" w:sz="0" w:space="0" w:color="auto"/>
        <w:left w:val="none" w:sz="0" w:space="0" w:color="auto"/>
        <w:bottom w:val="none" w:sz="0" w:space="0" w:color="auto"/>
        <w:right w:val="none" w:sz="0" w:space="0" w:color="auto"/>
      </w:divBdr>
    </w:div>
    <w:div w:id="986326208">
      <w:bodyDiv w:val="1"/>
      <w:marLeft w:val="0"/>
      <w:marRight w:val="0"/>
      <w:marTop w:val="0"/>
      <w:marBottom w:val="0"/>
      <w:divBdr>
        <w:top w:val="none" w:sz="0" w:space="0" w:color="auto"/>
        <w:left w:val="none" w:sz="0" w:space="0" w:color="auto"/>
        <w:bottom w:val="none" w:sz="0" w:space="0" w:color="auto"/>
        <w:right w:val="none" w:sz="0" w:space="0" w:color="auto"/>
      </w:divBdr>
    </w:div>
    <w:div w:id="990868820">
      <w:bodyDiv w:val="1"/>
      <w:marLeft w:val="0"/>
      <w:marRight w:val="0"/>
      <w:marTop w:val="0"/>
      <w:marBottom w:val="0"/>
      <w:divBdr>
        <w:top w:val="none" w:sz="0" w:space="0" w:color="auto"/>
        <w:left w:val="none" w:sz="0" w:space="0" w:color="auto"/>
        <w:bottom w:val="none" w:sz="0" w:space="0" w:color="auto"/>
        <w:right w:val="none" w:sz="0" w:space="0" w:color="auto"/>
      </w:divBdr>
    </w:div>
    <w:div w:id="999038722">
      <w:bodyDiv w:val="1"/>
      <w:marLeft w:val="0"/>
      <w:marRight w:val="0"/>
      <w:marTop w:val="0"/>
      <w:marBottom w:val="0"/>
      <w:divBdr>
        <w:top w:val="none" w:sz="0" w:space="0" w:color="auto"/>
        <w:left w:val="none" w:sz="0" w:space="0" w:color="auto"/>
        <w:bottom w:val="none" w:sz="0" w:space="0" w:color="auto"/>
        <w:right w:val="none" w:sz="0" w:space="0" w:color="auto"/>
      </w:divBdr>
    </w:div>
    <w:div w:id="1015185001">
      <w:bodyDiv w:val="1"/>
      <w:marLeft w:val="0"/>
      <w:marRight w:val="0"/>
      <w:marTop w:val="0"/>
      <w:marBottom w:val="0"/>
      <w:divBdr>
        <w:top w:val="none" w:sz="0" w:space="0" w:color="auto"/>
        <w:left w:val="none" w:sz="0" w:space="0" w:color="auto"/>
        <w:bottom w:val="none" w:sz="0" w:space="0" w:color="auto"/>
        <w:right w:val="none" w:sz="0" w:space="0" w:color="auto"/>
      </w:divBdr>
    </w:div>
    <w:div w:id="1025057633">
      <w:bodyDiv w:val="1"/>
      <w:marLeft w:val="0"/>
      <w:marRight w:val="0"/>
      <w:marTop w:val="0"/>
      <w:marBottom w:val="0"/>
      <w:divBdr>
        <w:top w:val="none" w:sz="0" w:space="0" w:color="auto"/>
        <w:left w:val="none" w:sz="0" w:space="0" w:color="auto"/>
        <w:bottom w:val="none" w:sz="0" w:space="0" w:color="auto"/>
        <w:right w:val="none" w:sz="0" w:space="0" w:color="auto"/>
      </w:divBdr>
    </w:div>
    <w:div w:id="1032194762">
      <w:bodyDiv w:val="1"/>
      <w:marLeft w:val="0"/>
      <w:marRight w:val="0"/>
      <w:marTop w:val="0"/>
      <w:marBottom w:val="0"/>
      <w:divBdr>
        <w:top w:val="none" w:sz="0" w:space="0" w:color="auto"/>
        <w:left w:val="none" w:sz="0" w:space="0" w:color="auto"/>
        <w:bottom w:val="none" w:sz="0" w:space="0" w:color="auto"/>
        <w:right w:val="none" w:sz="0" w:space="0" w:color="auto"/>
      </w:divBdr>
    </w:div>
    <w:div w:id="1066878683">
      <w:bodyDiv w:val="1"/>
      <w:marLeft w:val="0"/>
      <w:marRight w:val="0"/>
      <w:marTop w:val="0"/>
      <w:marBottom w:val="0"/>
      <w:divBdr>
        <w:top w:val="none" w:sz="0" w:space="0" w:color="auto"/>
        <w:left w:val="none" w:sz="0" w:space="0" w:color="auto"/>
        <w:bottom w:val="none" w:sz="0" w:space="0" w:color="auto"/>
        <w:right w:val="none" w:sz="0" w:space="0" w:color="auto"/>
      </w:divBdr>
    </w:div>
    <w:div w:id="1072847328">
      <w:bodyDiv w:val="1"/>
      <w:marLeft w:val="0"/>
      <w:marRight w:val="0"/>
      <w:marTop w:val="0"/>
      <w:marBottom w:val="0"/>
      <w:divBdr>
        <w:top w:val="none" w:sz="0" w:space="0" w:color="auto"/>
        <w:left w:val="none" w:sz="0" w:space="0" w:color="auto"/>
        <w:bottom w:val="none" w:sz="0" w:space="0" w:color="auto"/>
        <w:right w:val="none" w:sz="0" w:space="0" w:color="auto"/>
      </w:divBdr>
    </w:div>
    <w:div w:id="1073770499">
      <w:bodyDiv w:val="1"/>
      <w:marLeft w:val="0"/>
      <w:marRight w:val="0"/>
      <w:marTop w:val="0"/>
      <w:marBottom w:val="0"/>
      <w:divBdr>
        <w:top w:val="none" w:sz="0" w:space="0" w:color="auto"/>
        <w:left w:val="none" w:sz="0" w:space="0" w:color="auto"/>
        <w:bottom w:val="none" w:sz="0" w:space="0" w:color="auto"/>
        <w:right w:val="none" w:sz="0" w:space="0" w:color="auto"/>
      </w:divBdr>
    </w:div>
    <w:div w:id="1076169571">
      <w:bodyDiv w:val="1"/>
      <w:marLeft w:val="0"/>
      <w:marRight w:val="0"/>
      <w:marTop w:val="0"/>
      <w:marBottom w:val="0"/>
      <w:divBdr>
        <w:top w:val="none" w:sz="0" w:space="0" w:color="auto"/>
        <w:left w:val="none" w:sz="0" w:space="0" w:color="auto"/>
        <w:bottom w:val="none" w:sz="0" w:space="0" w:color="auto"/>
        <w:right w:val="none" w:sz="0" w:space="0" w:color="auto"/>
      </w:divBdr>
    </w:div>
    <w:div w:id="1077675061">
      <w:bodyDiv w:val="1"/>
      <w:marLeft w:val="0"/>
      <w:marRight w:val="0"/>
      <w:marTop w:val="0"/>
      <w:marBottom w:val="0"/>
      <w:divBdr>
        <w:top w:val="none" w:sz="0" w:space="0" w:color="auto"/>
        <w:left w:val="none" w:sz="0" w:space="0" w:color="auto"/>
        <w:bottom w:val="none" w:sz="0" w:space="0" w:color="auto"/>
        <w:right w:val="none" w:sz="0" w:space="0" w:color="auto"/>
      </w:divBdr>
    </w:div>
    <w:div w:id="1082722137">
      <w:bodyDiv w:val="1"/>
      <w:marLeft w:val="0"/>
      <w:marRight w:val="0"/>
      <w:marTop w:val="0"/>
      <w:marBottom w:val="0"/>
      <w:divBdr>
        <w:top w:val="none" w:sz="0" w:space="0" w:color="auto"/>
        <w:left w:val="none" w:sz="0" w:space="0" w:color="auto"/>
        <w:bottom w:val="none" w:sz="0" w:space="0" w:color="auto"/>
        <w:right w:val="none" w:sz="0" w:space="0" w:color="auto"/>
      </w:divBdr>
    </w:div>
    <w:div w:id="1128010678">
      <w:bodyDiv w:val="1"/>
      <w:marLeft w:val="0"/>
      <w:marRight w:val="0"/>
      <w:marTop w:val="0"/>
      <w:marBottom w:val="0"/>
      <w:divBdr>
        <w:top w:val="none" w:sz="0" w:space="0" w:color="auto"/>
        <w:left w:val="none" w:sz="0" w:space="0" w:color="auto"/>
        <w:bottom w:val="none" w:sz="0" w:space="0" w:color="auto"/>
        <w:right w:val="none" w:sz="0" w:space="0" w:color="auto"/>
      </w:divBdr>
    </w:div>
    <w:div w:id="1129974273">
      <w:bodyDiv w:val="1"/>
      <w:marLeft w:val="0"/>
      <w:marRight w:val="0"/>
      <w:marTop w:val="0"/>
      <w:marBottom w:val="0"/>
      <w:divBdr>
        <w:top w:val="none" w:sz="0" w:space="0" w:color="auto"/>
        <w:left w:val="none" w:sz="0" w:space="0" w:color="auto"/>
        <w:bottom w:val="none" w:sz="0" w:space="0" w:color="auto"/>
        <w:right w:val="none" w:sz="0" w:space="0" w:color="auto"/>
      </w:divBdr>
    </w:div>
    <w:div w:id="1132405370">
      <w:bodyDiv w:val="1"/>
      <w:marLeft w:val="0"/>
      <w:marRight w:val="0"/>
      <w:marTop w:val="0"/>
      <w:marBottom w:val="0"/>
      <w:divBdr>
        <w:top w:val="none" w:sz="0" w:space="0" w:color="auto"/>
        <w:left w:val="none" w:sz="0" w:space="0" w:color="auto"/>
        <w:bottom w:val="none" w:sz="0" w:space="0" w:color="auto"/>
        <w:right w:val="none" w:sz="0" w:space="0" w:color="auto"/>
      </w:divBdr>
    </w:div>
    <w:div w:id="1138718209">
      <w:bodyDiv w:val="1"/>
      <w:marLeft w:val="0"/>
      <w:marRight w:val="0"/>
      <w:marTop w:val="0"/>
      <w:marBottom w:val="0"/>
      <w:divBdr>
        <w:top w:val="none" w:sz="0" w:space="0" w:color="auto"/>
        <w:left w:val="none" w:sz="0" w:space="0" w:color="auto"/>
        <w:bottom w:val="none" w:sz="0" w:space="0" w:color="auto"/>
        <w:right w:val="none" w:sz="0" w:space="0" w:color="auto"/>
      </w:divBdr>
    </w:div>
    <w:div w:id="1142425935">
      <w:bodyDiv w:val="1"/>
      <w:marLeft w:val="0"/>
      <w:marRight w:val="0"/>
      <w:marTop w:val="0"/>
      <w:marBottom w:val="0"/>
      <w:divBdr>
        <w:top w:val="none" w:sz="0" w:space="0" w:color="auto"/>
        <w:left w:val="none" w:sz="0" w:space="0" w:color="auto"/>
        <w:bottom w:val="none" w:sz="0" w:space="0" w:color="auto"/>
        <w:right w:val="none" w:sz="0" w:space="0" w:color="auto"/>
      </w:divBdr>
    </w:div>
    <w:div w:id="1145468069">
      <w:bodyDiv w:val="1"/>
      <w:marLeft w:val="0"/>
      <w:marRight w:val="0"/>
      <w:marTop w:val="0"/>
      <w:marBottom w:val="0"/>
      <w:divBdr>
        <w:top w:val="none" w:sz="0" w:space="0" w:color="auto"/>
        <w:left w:val="none" w:sz="0" w:space="0" w:color="auto"/>
        <w:bottom w:val="none" w:sz="0" w:space="0" w:color="auto"/>
        <w:right w:val="none" w:sz="0" w:space="0" w:color="auto"/>
      </w:divBdr>
    </w:div>
    <w:div w:id="1149901696">
      <w:bodyDiv w:val="1"/>
      <w:marLeft w:val="0"/>
      <w:marRight w:val="0"/>
      <w:marTop w:val="0"/>
      <w:marBottom w:val="0"/>
      <w:divBdr>
        <w:top w:val="none" w:sz="0" w:space="0" w:color="auto"/>
        <w:left w:val="none" w:sz="0" w:space="0" w:color="auto"/>
        <w:bottom w:val="none" w:sz="0" w:space="0" w:color="auto"/>
        <w:right w:val="none" w:sz="0" w:space="0" w:color="auto"/>
      </w:divBdr>
    </w:div>
    <w:div w:id="1183396073">
      <w:bodyDiv w:val="1"/>
      <w:marLeft w:val="0"/>
      <w:marRight w:val="0"/>
      <w:marTop w:val="0"/>
      <w:marBottom w:val="0"/>
      <w:divBdr>
        <w:top w:val="none" w:sz="0" w:space="0" w:color="auto"/>
        <w:left w:val="none" w:sz="0" w:space="0" w:color="auto"/>
        <w:bottom w:val="none" w:sz="0" w:space="0" w:color="auto"/>
        <w:right w:val="none" w:sz="0" w:space="0" w:color="auto"/>
      </w:divBdr>
    </w:div>
    <w:div w:id="1207374874">
      <w:bodyDiv w:val="1"/>
      <w:marLeft w:val="0"/>
      <w:marRight w:val="0"/>
      <w:marTop w:val="0"/>
      <w:marBottom w:val="0"/>
      <w:divBdr>
        <w:top w:val="none" w:sz="0" w:space="0" w:color="auto"/>
        <w:left w:val="none" w:sz="0" w:space="0" w:color="auto"/>
        <w:bottom w:val="none" w:sz="0" w:space="0" w:color="auto"/>
        <w:right w:val="none" w:sz="0" w:space="0" w:color="auto"/>
      </w:divBdr>
    </w:div>
    <w:div w:id="1209800204">
      <w:bodyDiv w:val="1"/>
      <w:marLeft w:val="0"/>
      <w:marRight w:val="0"/>
      <w:marTop w:val="0"/>
      <w:marBottom w:val="0"/>
      <w:divBdr>
        <w:top w:val="none" w:sz="0" w:space="0" w:color="auto"/>
        <w:left w:val="none" w:sz="0" w:space="0" w:color="auto"/>
        <w:bottom w:val="none" w:sz="0" w:space="0" w:color="auto"/>
        <w:right w:val="none" w:sz="0" w:space="0" w:color="auto"/>
      </w:divBdr>
    </w:div>
    <w:div w:id="1211848019">
      <w:bodyDiv w:val="1"/>
      <w:marLeft w:val="0"/>
      <w:marRight w:val="0"/>
      <w:marTop w:val="0"/>
      <w:marBottom w:val="0"/>
      <w:divBdr>
        <w:top w:val="none" w:sz="0" w:space="0" w:color="auto"/>
        <w:left w:val="none" w:sz="0" w:space="0" w:color="auto"/>
        <w:bottom w:val="none" w:sz="0" w:space="0" w:color="auto"/>
        <w:right w:val="none" w:sz="0" w:space="0" w:color="auto"/>
      </w:divBdr>
    </w:div>
    <w:div w:id="1216310756">
      <w:bodyDiv w:val="1"/>
      <w:marLeft w:val="0"/>
      <w:marRight w:val="0"/>
      <w:marTop w:val="0"/>
      <w:marBottom w:val="0"/>
      <w:divBdr>
        <w:top w:val="none" w:sz="0" w:space="0" w:color="auto"/>
        <w:left w:val="none" w:sz="0" w:space="0" w:color="auto"/>
        <w:bottom w:val="none" w:sz="0" w:space="0" w:color="auto"/>
        <w:right w:val="none" w:sz="0" w:space="0" w:color="auto"/>
      </w:divBdr>
    </w:div>
    <w:div w:id="1217739395">
      <w:bodyDiv w:val="1"/>
      <w:marLeft w:val="0"/>
      <w:marRight w:val="0"/>
      <w:marTop w:val="0"/>
      <w:marBottom w:val="0"/>
      <w:divBdr>
        <w:top w:val="none" w:sz="0" w:space="0" w:color="auto"/>
        <w:left w:val="none" w:sz="0" w:space="0" w:color="auto"/>
        <w:bottom w:val="none" w:sz="0" w:space="0" w:color="auto"/>
        <w:right w:val="none" w:sz="0" w:space="0" w:color="auto"/>
      </w:divBdr>
    </w:div>
    <w:div w:id="1217861055">
      <w:bodyDiv w:val="1"/>
      <w:marLeft w:val="0"/>
      <w:marRight w:val="0"/>
      <w:marTop w:val="0"/>
      <w:marBottom w:val="0"/>
      <w:divBdr>
        <w:top w:val="none" w:sz="0" w:space="0" w:color="auto"/>
        <w:left w:val="none" w:sz="0" w:space="0" w:color="auto"/>
        <w:bottom w:val="none" w:sz="0" w:space="0" w:color="auto"/>
        <w:right w:val="none" w:sz="0" w:space="0" w:color="auto"/>
      </w:divBdr>
    </w:div>
    <w:div w:id="1229996714">
      <w:bodyDiv w:val="1"/>
      <w:marLeft w:val="0"/>
      <w:marRight w:val="0"/>
      <w:marTop w:val="0"/>
      <w:marBottom w:val="0"/>
      <w:divBdr>
        <w:top w:val="none" w:sz="0" w:space="0" w:color="auto"/>
        <w:left w:val="none" w:sz="0" w:space="0" w:color="auto"/>
        <w:bottom w:val="none" w:sz="0" w:space="0" w:color="auto"/>
        <w:right w:val="none" w:sz="0" w:space="0" w:color="auto"/>
      </w:divBdr>
    </w:div>
    <w:div w:id="1240560325">
      <w:bodyDiv w:val="1"/>
      <w:marLeft w:val="0"/>
      <w:marRight w:val="0"/>
      <w:marTop w:val="0"/>
      <w:marBottom w:val="0"/>
      <w:divBdr>
        <w:top w:val="none" w:sz="0" w:space="0" w:color="auto"/>
        <w:left w:val="none" w:sz="0" w:space="0" w:color="auto"/>
        <w:bottom w:val="none" w:sz="0" w:space="0" w:color="auto"/>
        <w:right w:val="none" w:sz="0" w:space="0" w:color="auto"/>
      </w:divBdr>
    </w:div>
    <w:div w:id="1248660175">
      <w:bodyDiv w:val="1"/>
      <w:marLeft w:val="0"/>
      <w:marRight w:val="0"/>
      <w:marTop w:val="0"/>
      <w:marBottom w:val="0"/>
      <w:divBdr>
        <w:top w:val="none" w:sz="0" w:space="0" w:color="auto"/>
        <w:left w:val="none" w:sz="0" w:space="0" w:color="auto"/>
        <w:bottom w:val="none" w:sz="0" w:space="0" w:color="auto"/>
        <w:right w:val="none" w:sz="0" w:space="0" w:color="auto"/>
      </w:divBdr>
    </w:div>
    <w:div w:id="1257439361">
      <w:bodyDiv w:val="1"/>
      <w:marLeft w:val="0"/>
      <w:marRight w:val="0"/>
      <w:marTop w:val="0"/>
      <w:marBottom w:val="0"/>
      <w:divBdr>
        <w:top w:val="none" w:sz="0" w:space="0" w:color="auto"/>
        <w:left w:val="none" w:sz="0" w:space="0" w:color="auto"/>
        <w:bottom w:val="none" w:sz="0" w:space="0" w:color="auto"/>
        <w:right w:val="none" w:sz="0" w:space="0" w:color="auto"/>
      </w:divBdr>
    </w:div>
    <w:div w:id="1283879253">
      <w:bodyDiv w:val="1"/>
      <w:marLeft w:val="0"/>
      <w:marRight w:val="0"/>
      <w:marTop w:val="0"/>
      <w:marBottom w:val="0"/>
      <w:divBdr>
        <w:top w:val="none" w:sz="0" w:space="0" w:color="auto"/>
        <w:left w:val="none" w:sz="0" w:space="0" w:color="auto"/>
        <w:bottom w:val="none" w:sz="0" w:space="0" w:color="auto"/>
        <w:right w:val="none" w:sz="0" w:space="0" w:color="auto"/>
      </w:divBdr>
    </w:div>
    <w:div w:id="1289363346">
      <w:bodyDiv w:val="1"/>
      <w:marLeft w:val="0"/>
      <w:marRight w:val="0"/>
      <w:marTop w:val="0"/>
      <w:marBottom w:val="0"/>
      <w:divBdr>
        <w:top w:val="none" w:sz="0" w:space="0" w:color="auto"/>
        <w:left w:val="none" w:sz="0" w:space="0" w:color="auto"/>
        <w:bottom w:val="none" w:sz="0" w:space="0" w:color="auto"/>
        <w:right w:val="none" w:sz="0" w:space="0" w:color="auto"/>
      </w:divBdr>
    </w:div>
    <w:div w:id="1314027011">
      <w:bodyDiv w:val="1"/>
      <w:marLeft w:val="0"/>
      <w:marRight w:val="0"/>
      <w:marTop w:val="0"/>
      <w:marBottom w:val="0"/>
      <w:divBdr>
        <w:top w:val="none" w:sz="0" w:space="0" w:color="auto"/>
        <w:left w:val="none" w:sz="0" w:space="0" w:color="auto"/>
        <w:bottom w:val="none" w:sz="0" w:space="0" w:color="auto"/>
        <w:right w:val="none" w:sz="0" w:space="0" w:color="auto"/>
      </w:divBdr>
    </w:div>
    <w:div w:id="1317489077">
      <w:bodyDiv w:val="1"/>
      <w:marLeft w:val="0"/>
      <w:marRight w:val="0"/>
      <w:marTop w:val="0"/>
      <w:marBottom w:val="0"/>
      <w:divBdr>
        <w:top w:val="none" w:sz="0" w:space="0" w:color="auto"/>
        <w:left w:val="none" w:sz="0" w:space="0" w:color="auto"/>
        <w:bottom w:val="none" w:sz="0" w:space="0" w:color="auto"/>
        <w:right w:val="none" w:sz="0" w:space="0" w:color="auto"/>
      </w:divBdr>
    </w:div>
    <w:div w:id="1319385578">
      <w:bodyDiv w:val="1"/>
      <w:marLeft w:val="0"/>
      <w:marRight w:val="0"/>
      <w:marTop w:val="0"/>
      <w:marBottom w:val="0"/>
      <w:divBdr>
        <w:top w:val="none" w:sz="0" w:space="0" w:color="auto"/>
        <w:left w:val="none" w:sz="0" w:space="0" w:color="auto"/>
        <w:bottom w:val="none" w:sz="0" w:space="0" w:color="auto"/>
        <w:right w:val="none" w:sz="0" w:space="0" w:color="auto"/>
      </w:divBdr>
    </w:div>
    <w:div w:id="1324696569">
      <w:bodyDiv w:val="1"/>
      <w:marLeft w:val="0"/>
      <w:marRight w:val="0"/>
      <w:marTop w:val="0"/>
      <w:marBottom w:val="0"/>
      <w:divBdr>
        <w:top w:val="none" w:sz="0" w:space="0" w:color="auto"/>
        <w:left w:val="none" w:sz="0" w:space="0" w:color="auto"/>
        <w:bottom w:val="none" w:sz="0" w:space="0" w:color="auto"/>
        <w:right w:val="none" w:sz="0" w:space="0" w:color="auto"/>
      </w:divBdr>
    </w:div>
    <w:div w:id="1356613191">
      <w:bodyDiv w:val="1"/>
      <w:marLeft w:val="0"/>
      <w:marRight w:val="0"/>
      <w:marTop w:val="0"/>
      <w:marBottom w:val="0"/>
      <w:divBdr>
        <w:top w:val="none" w:sz="0" w:space="0" w:color="auto"/>
        <w:left w:val="none" w:sz="0" w:space="0" w:color="auto"/>
        <w:bottom w:val="none" w:sz="0" w:space="0" w:color="auto"/>
        <w:right w:val="none" w:sz="0" w:space="0" w:color="auto"/>
      </w:divBdr>
    </w:div>
    <w:div w:id="1397818196">
      <w:bodyDiv w:val="1"/>
      <w:marLeft w:val="0"/>
      <w:marRight w:val="0"/>
      <w:marTop w:val="0"/>
      <w:marBottom w:val="0"/>
      <w:divBdr>
        <w:top w:val="none" w:sz="0" w:space="0" w:color="auto"/>
        <w:left w:val="none" w:sz="0" w:space="0" w:color="auto"/>
        <w:bottom w:val="none" w:sz="0" w:space="0" w:color="auto"/>
        <w:right w:val="none" w:sz="0" w:space="0" w:color="auto"/>
      </w:divBdr>
    </w:div>
    <w:div w:id="1398505214">
      <w:bodyDiv w:val="1"/>
      <w:marLeft w:val="0"/>
      <w:marRight w:val="0"/>
      <w:marTop w:val="0"/>
      <w:marBottom w:val="0"/>
      <w:divBdr>
        <w:top w:val="none" w:sz="0" w:space="0" w:color="auto"/>
        <w:left w:val="none" w:sz="0" w:space="0" w:color="auto"/>
        <w:bottom w:val="none" w:sz="0" w:space="0" w:color="auto"/>
        <w:right w:val="none" w:sz="0" w:space="0" w:color="auto"/>
      </w:divBdr>
    </w:div>
    <w:div w:id="1405684671">
      <w:bodyDiv w:val="1"/>
      <w:marLeft w:val="0"/>
      <w:marRight w:val="0"/>
      <w:marTop w:val="0"/>
      <w:marBottom w:val="0"/>
      <w:divBdr>
        <w:top w:val="none" w:sz="0" w:space="0" w:color="auto"/>
        <w:left w:val="none" w:sz="0" w:space="0" w:color="auto"/>
        <w:bottom w:val="none" w:sz="0" w:space="0" w:color="auto"/>
        <w:right w:val="none" w:sz="0" w:space="0" w:color="auto"/>
      </w:divBdr>
    </w:div>
    <w:div w:id="1408111129">
      <w:bodyDiv w:val="1"/>
      <w:marLeft w:val="0"/>
      <w:marRight w:val="0"/>
      <w:marTop w:val="0"/>
      <w:marBottom w:val="0"/>
      <w:divBdr>
        <w:top w:val="none" w:sz="0" w:space="0" w:color="auto"/>
        <w:left w:val="none" w:sz="0" w:space="0" w:color="auto"/>
        <w:bottom w:val="none" w:sz="0" w:space="0" w:color="auto"/>
        <w:right w:val="none" w:sz="0" w:space="0" w:color="auto"/>
      </w:divBdr>
    </w:div>
    <w:div w:id="1413359386">
      <w:bodyDiv w:val="1"/>
      <w:marLeft w:val="0"/>
      <w:marRight w:val="0"/>
      <w:marTop w:val="0"/>
      <w:marBottom w:val="0"/>
      <w:divBdr>
        <w:top w:val="none" w:sz="0" w:space="0" w:color="auto"/>
        <w:left w:val="none" w:sz="0" w:space="0" w:color="auto"/>
        <w:bottom w:val="none" w:sz="0" w:space="0" w:color="auto"/>
        <w:right w:val="none" w:sz="0" w:space="0" w:color="auto"/>
      </w:divBdr>
    </w:div>
    <w:div w:id="1425344446">
      <w:bodyDiv w:val="1"/>
      <w:marLeft w:val="0"/>
      <w:marRight w:val="0"/>
      <w:marTop w:val="0"/>
      <w:marBottom w:val="0"/>
      <w:divBdr>
        <w:top w:val="none" w:sz="0" w:space="0" w:color="auto"/>
        <w:left w:val="none" w:sz="0" w:space="0" w:color="auto"/>
        <w:bottom w:val="none" w:sz="0" w:space="0" w:color="auto"/>
        <w:right w:val="none" w:sz="0" w:space="0" w:color="auto"/>
      </w:divBdr>
    </w:div>
    <w:div w:id="1432240010">
      <w:bodyDiv w:val="1"/>
      <w:marLeft w:val="0"/>
      <w:marRight w:val="0"/>
      <w:marTop w:val="0"/>
      <w:marBottom w:val="0"/>
      <w:divBdr>
        <w:top w:val="none" w:sz="0" w:space="0" w:color="auto"/>
        <w:left w:val="none" w:sz="0" w:space="0" w:color="auto"/>
        <w:bottom w:val="none" w:sz="0" w:space="0" w:color="auto"/>
        <w:right w:val="none" w:sz="0" w:space="0" w:color="auto"/>
      </w:divBdr>
    </w:div>
    <w:div w:id="1448310774">
      <w:bodyDiv w:val="1"/>
      <w:marLeft w:val="0"/>
      <w:marRight w:val="0"/>
      <w:marTop w:val="0"/>
      <w:marBottom w:val="0"/>
      <w:divBdr>
        <w:top w:val="none" w:sz="0" w:space="0" w:color="auto"/>
        <w:left w:val="none" w:sz="0" w:space="0" w:color="auto"/>
        <w:bottom w:val="none" w:sz="0" w:space="0" w:color="auto"/>
        <w:right w:val="none" w:sz="0" w:space="0" w:color="auto"/>
      </w:divBdr>
    </w:div>
    <w:div w:id="1458833926">
      <w:bodyDiv w:val="1"/>
      <w:marLeft w:val="0"/>
      <w:marRight w:val="0"/>
      <w:marTop w:val="0"/>
      <w:marBottom w:val="0"/>
      <w:divBdr>
        <w:top w:val="none" w:sz="0" w:space="0" w:color="auto"/>
        <w:left w:val="none" w:sz="0" w:space="0" w:color="auto"/>
        <w:bottom w:val="none" w:sz="0" w:space="0" w:color="auto"/>
        <w:right w:val="none" w:sz="0" w:space="0" w:color="auto"/>
      </w:divBdr>
    </w:div>
    <w:div w:id="1468355215">
      <w:bodyDiv w:val="1"/>
      <w:marLeft w:val="0"/>
      <w:marRight w:val="0"/>
      <w:marTop w:val="0"/>
      <w:marBottom w:val="0"/>
      <w:divBdr>
        <w:top w:val="none" w:sz="0" w:space="0" w:color="auto"/>
        <w:left w:val="none" w:sz="0" w:space="0" w:color="auto"/>
        <w:bottom w:val="none" w:sz="0" w:space="0" w:color="auto"/>
        <w:right w:val="none" w:sz="0" w:space="0" w:color="auto"/>
      </w:divBdr>
    </w:div>
    <w:div w:id="1468817359">
      <w:bodyDiv w:val="1"/>
      <w:marLeft w:val="0"/>
      <w:marRight w:val="0"/>
      <w:marTop w:val="0"/>
      <w:marBottom w:val="0"/>
      <w:divBdr>
        <w:top w:val="none" w:sz="0" w:space="0" w:color="auto"/>
        <w:left w:val="none" w:sz="0" w:space="0" w:color="auto"/>
        <w:bottom w:val="none" w:sz="0" w:space="0" w:color="auto"/>
        <w:right w:val="none" w:sz="0" w:space="0" w:color="auto"/>
      </w:divBdr>
    </w:div>
    <w:div w:id="1477911016">
      <w:bodyDiv w:val="1"/>
      <w:marLeft w:val="0"/>
      <w:marRight w:val="0"/>
      <w:marTop w:val="0"/>
      <w:marBottom w:val="0"/>
      <w:divBdr>
        <w:top w:val="none" w:sz="0" w:space="0" w:color="auto"/>
        <w:left w:val="none" w:sz="0" w:space="0" w:color="auto"/>
        <w:bottom w:val="none" w:sz="0" w:space="0" w:color="auto"/>
        <w:right w:val="none" w:sz="0" w:space="0" w:color="auto"/>
      </w:divBdr>
    </w:div>
    <w:div w:id="1490436932">
      <w:bodyDiv w:val="1"/>
      <w:marLeft w:val="0"/>
      <w:marRight w:val="0"/>
      <w:marTop w:val="0"/>
      <w:marBottom w:val="0"/>
      <w:divBdr>
        <w:top w:val="none" w:sz="0" w:space="0" w:color="auto"/>
        <w:left w:val="none" w:sz="0" w:space="0" w:color="auto"/>
        <w:bottom w:val="none" w:sz="0" w:space="0" w:color="auto"/>
        <w:right w:val="none" w:sz="0" w:space="0" w:color="auto"/>
      </w:divBdr>
    </w:div>
    <w:div w:id="1491091262">
      <w:bodyDiv w:val="1"/>
      <w:marLeft w:val="0"/>
      <w:marRight w:val="0"/>
      <w:marTop w:val="0"/>
      <w:marBottom w:val="0"/>
      <w:divBdr>
        <w:top w:val="none" w:sz="0" w:space="0" w:color="auto"/>
        <w:left w:val="none" w:sz="0" w:space="0" w:color="auto"/>
        <w:bottom w:val="none" w:sz="0" w:space="0" w:color="auto"/>
        <w:right w:val="none" w:sz="0" w:space="0" w:color="auto"/>
      </w:divBdr>
    </w:div>
    <w:div w:id="1491360198">
      <w:bodyDiv w:val="1"/>
      <w:marLeft w:val="0"/>
      <w:marRight w:val="0"/>
      <w:marTop w:val="0"/>
      <w:marBottom w:val="0"/>
      <w:divBdr>
        <w:top w:val="none" w:sz="0" w:space="0" w:color="auto"/>
        <w:left w:val="none" w:sz="0" w:space="0" w:color="auto"/>
        <w:bottom w:val="none" w:sz="0" w:space="0" w:color="auto"/>
        <w:right w:val="none" w:sz="0" w:space="0" w:color="auto"/>
      </w:divBdr>
    </w:div>
    <w:div w:id="1509249456">
      <w:bodyDiv w:val="1"/>
      <w:marLeft w:val="0"/>
      <w:marRight w:val="0"/>
      <w:marTop w:val="0"/>
      <w:marBottom w:val="0"/>
      <w:divBdr>
        <w:top w:val="none" w:sz="0" w:space="0" w:color="auto"/>
        <w:left w:val="none" w:sz="0" w:space="0" w:color="auto"/>
        <w:bottom w:val="none" w:sz="0" w:space="0" w:color="auto"/>
        <w:right w:val="none" w:sz="0" w:space="0" w:color="auto"/>
      </w:divBdr>
    </w:div>
    <w:div w:id="1513953177">
      <w:bodyDiv w:val="1"/>
      <w:marLeft w:val="0"/>
      <w:marRight w:val="0"/>
      <w:marTop w:val="0"/>
      <w:marBottom w:val="0"/>
      <w:divBdr>
        <w:top w:val="none" w:sz="0" w:space="0" w:color="auto"/>
        <w:left w:val="none" w:sz="0" w:space="0" w:color="auto"/>
        <w:bottom w:val="none" w:sz="0" w:space="0" w:color="auto"/>
        <w:right w:val="none" w:sz="0" w:space="0" w:color="auto"/>
      </w:divBdr>
    </w:div>
    <w:div w:id="1515221749">
      <w:bodyDiv w:val="1"/>
      <w:marLeft w:val="0"/>
      <w:marRight w:val="0"/>
      <w:marTop w:val="0"/>
      <w:marBottom w:val="0"/>
      <w:divBdr>
        <w:top w:val="none" w:sz="0" w:space="0" w:color="auto"/>
        <w:left w:val="none" w:sz="0" w:space="0" w:color="auto"/>
        <w:bottom w:val="none" w:sz="0" w:space="0" w:color="auto"/>
        <w:right w:val="none" w:sz="0" w:space="0" w:color="auto"/>
      </w:divBdr>
    </w:div>
    <w:div w:id="1519732547">
      <w:bodyDiv w:val="1"/>
      <w:marLeft w:val="0"/>
      <w:marRight w:val="0"/>
      <w:marTop w:val="0"/>
      <w:marBottom w:val="0"/>
      <w:divBdr>
        <w:top w:val="none" w:sz="0" w:space="0" w:color="auto"/>
        <w:left w:val="none" w:sz="0" w:space="0" w:color="auto"/>
        <w:bottom w:val="none" w:sz="0" w:space="0" w:color="auto"/>
        <w:right w:val="none" w:sz="0" w:space="0" w:color="auto"/>
      </w:divBdr>
    </w:div>
    <w:div w:id="1524399278">
      <w:bodyDiv w:val="1"/>
      <w:marLeft w:val="0"/>
      <w:marRight w:val="0"/>
      <w:marTop w:val="0"/>
      <w:marBottom w:val="0"/>
      <w:divBdr>
        <w:top w:val="none" w:sz="0" w:space="0" w:color="auto"/>
        <w:left w:val="none" w:sz="0" w:space="0" w:color="auto"/>
        <w:bottom w:val="none" w:sz="0" w:space="0" w:color="auto"/>
        <w:right w:val="none" w:sz="0" w:space="0" w:color="auto"/>
      </w:divBdr>
    </w:div>
    <w:div w:id="1532377875">
      <w:bodyDiv w:val="1"/>
      <w:marLeft w:val="0"/>
      <w:marRight w:val="0"/>
      <w:marTop w:val="0"/>
      <w:marBottom w:val="0"/>
      <w:divBdr>
        <w:top w:val="none" w:sz="0" w:space="0" w:color="auto"/>
        <w:left w:val="none" w:sz="0" w:space="0" w:color="auto"/>
        <w:bottom w:val="none" w:sz="0" w:space="0" w:color="auto"/>
        <w:right w:val="none" w:sz="0" w:space="0" w:color="auto"/>
      </w:divBdr>
    </w:div>
    <w:div w:id="1535460136">
      <w:bodyDiv w:val="1"/>
      <w:marLeft w:val="0"/>
      <w:marRight w:val="0"/>
      <w:marTop w:val="0"/>
      <w:marBottom w:val="0"/>
      <w:divBdr>
        <w:top w:val="none" w:sz="0" w:space="0" w:color="auto"/>
        <w:left w:val="none" w:sz="0" w:space="0" w:color="auto"/>
        <w:bottom w:val="none" w:sz="0" w:space="0" w:color="auto"/>
        <w:right w:val="none" w:sz="0" w:space="0" w:color="auto"/>
      </w:divBdr>
    </w:div>
    <w:div w:id="1564175854">
      <w:bodyDiv w:val="1"/>
      <w:marLeft w:val="0"/>
      <w:marRight w:val="0"/>
      <w:marTop w:val="0"/>
      <w:marBottom w:val="0"/>
      <w:divBdr>
        <w:top w:val="none" w:sz="0" w:space="0" w:color="auto"/>
        <w:left w:val="none" w:sz="0" w:space="0" w:color="auto"/>
        <w:bottom w:val="none" w:sz="0" w:space="0" w:color="auto"/>
        <w:right w:val="none" w:sz="0" w:space="0" w:color="auto"/>
      </w:divBdr>
    </w:div>
    <w:div w:id="1570725982">
      <w:bodyDiv w:val="1"/>
      <w:marLeft w:val="0"/>
      <w:marRight w:val="0"/>
      <w:marTop w:val="0"/>
      <w:marBottom w:val="0"/>
      <w:divBdr>
        <w:top w:val="none" w:sz="0" w:space="0" w:color="auto"/>
        <w:left w:val="none" w:sz="0" w:space="0" w:color="auto"/>
        <w:bottom w:val="none" w:sz="0" w:space="0" w:color="auto"/>
        <w:right w:val="none" w:sz="0" w:space="0" w:color="auto"/>
      </w:divBdr>
    </w:div>
    <w:div w:id="1572428481">
      <w:bodyDiv w:val="1"/>
      <w:marLeft w:val="0"/>
      <w:marRight w:val="0"/>
      <w:marTop w:val="0"/>
      <w:marBottom w:val="0"/>
      <w:divBdr>
        <w:top w:val="none" w:sz="0" w:space="0" w:color="auto"/>
        <w:left w:val="none" w:sz="0" w:space="0" w:color="auto"/>
        <w:bottom w:val="none" w:sz="0" w:space="0" w:color="auto"/>
        <w:right w:val="none" w:sz="0" w:space="0" w:color="auto"/>
      </w:divBdr>
    </w:div>
    <w:div w:id="1574588084">
      <w:bodyDiv w:val="1"/>
      <w:marLeft w:val="0"/>
      <w:marRight w:val="0"/>
      <w:marTop w:val="0"/>
      <w:marBottom w:val="0"/>
      <w:divBdr>
        <w:top w:val="none" w:sz="0" w:space="0" w:color="auto"/>
        <w:left w:val="none" w:sz="0" w:space="0" w:color="auto"/>
        <w:bottom w:val="none" w:sz="0" w:space="0" w:color="auto"/>
        <w:right w:val="none" w:sz="0" w:space="0" w:color="auto"/>
      </w:divBdr>
    </w:div>
    <w:div w:id="1629042316">
      <w:bodyDiv w:val="1"/>
      <w:marLeft w:val="0"/>
      <w:marRight w:val="0"/>
      <w:marTop w:val="0"/>
      <w:marBottom w:val="0"/>
      <w:divBdr>
        <w:top w:val="none" w:sz="0" w:space="0" w:color="auto"/>
        <w:left w:val="none" w:sz="0" w:space="0" w:color="auto"/>
        <w:bottom w:val="none" w:sz="0" w:space="0" w:color="auto"/>
        <w:right w:val="none" w:sz="0" w:space="0" w:color="auto"/>
      </w:divBdr>
    </w:div>
    <w:div w:id="1633707953">
      <w:bodyDiv w:val="1"/>
      <w:marLeft w:val="0"/>
      <w:marRight w:val="0"/>
      <w:marTop w:val="0"/>
      <w:marBottom w:val="0"/>
      <w:divBdr>
        <w:top w:val="none" w:sz="0" w:space="0" w:color="auto"/>
        <w:left w:val="none" w:sz="0" w:space="0" w:color="auto"/>
        <w:bottom w:val="none" w:sz="0" w:space="0" w:color="auto"/>
        <w:right w:val="none" w:sz="0" w:space="0" w:color="auto"/>
      </w:divBdr>
    </w:div>
    <w:div w:id="1640720842">
      <w:bodyDiv w:val="1"/>
      <w:marLeft w:val="0"/>
      <w:marRight w:val="0"/>
      <w:marTop w:val="0"/>
      <w:marBottom w:val="0"/>
      <w:divBdr>
        <w:top w:val="none" w:sz="0" w:space="0" w:color="auto"/>
        <w:left w:val="none" w:sz="0" w:space="0" w:color="auto"/>
        <w:bottom w:val="none" w:sz="0" w:space="0" w:color="auto"/>
        <w:right w:val="none" w:sz="0" w:space="0" w:color="auto"/>
      </w:divBdr>
    </w:div>
    <w:div w:id="1650476038">
      <w:bodyDiv w:val="1"/>
      <w:marLeft w:val="0"/>
      <w:marRight w:val="0"/>
      <w:marTop w:val="0"/>
      <w:marBottom w:val="0"/>
      <w:divBdr>
        <w:top w:val="none" w:sz="0" w:space="0" w:color="auto"/>
        <w:left w:val="none" w:sz="0" w:space="0" w:color="auto"/>
        <w:bottom w:val="none" w:sz="0" w:space="0" w:color="auto"/>
        <w:right w:val="none" w:sz="0" w:space="0" w:color="auto"/>
      </w:divBdr>
    </w:div>
    <w:div w:id="1652444196">
      <w:bodyDiv w:val="1"/>
      <w:marLeft w:val="0"/>
      <w:marRight w:val="0"/>
      <w:marTop w:val="0"/>
      <w:marBottom w:val="0"/>
      <w:divBdr>
        <w:top w:val="none" w:sz="0" w:space="0" w:color="auto"/>
        <w:left w:val="none" w:sz="0" w:space="0" w:color="auto"/>
        <w:bottom w:val="none" w:sz="0" w:space="0" w:color="auto"/>
        <w:right w:val="none" w:sz="0" w:space="0" w:color="auto"/>
      </w:divBdr>
    </w:div>
    <w:div w:id="1653681395">
      <w:bodyDiv w:val="1"/>
      <w:marLeft w:val="0"/>
      <w:marRight w:val="0"/>
      <w:marTop w:val="0"/>
      <w:marBottom w:val="0"/>
      <w:divBdr>
        <w:top w:val="none" w:sz="0" w:space="0" w:color="auto"/>
        <w:left w:val="none" w:sz="0" w:space="0" w:color="auto"/>
        <w:bottom w:val="none" w:sz="0" w:space="0" w:color="auto"/>
        <w:right w:val="none" w:sz="0" w:space="0" w:color="auto"/>
      </w:divBdr>
    </w:div>
    <w:div w:id="1658613460">
      <w:bodyDiv w:val="1"/>
      <w:marLeft w:val="0"/>
      <w:marRight w:val="0"/>
      <w:marTop w:val="0"/>
      <w:marBottom w:val="0"/>
      <w:divBdr>
        <w:top w:val="none" w:sz="0" w:space="0" w:color="auto"/>
        <w:left w:val="none" w:sz="0" w:space="0" w:color="auto"/>
        <w:bottom w:val="none" w:sz="0" w:space="0" w:color="auto"/>
        <w:right w:val="none" w:sz="0" w:space="0" w:color="auto"/>
      </w:divBdr>
    </w:div>
    <w:div w:id="1659452906">
      <w:bodyDiv w:val="1"/>
      <w:marLeft w:val="0"/>
      <w:marRight w:val="0"/>
      <w:marTop w:val="0"/>
      <w:marBottom w:val="0"/>
      <w:divBdr>
        <w:top w:val="none" w:sz="0" w:space="0" w:color="auto"/>
        <w:left w:val="none" w:sz="0" w:space="0" w:color="auto"/>
        <w:bottom w:val="none" w:sz="0" w:space="0" w:color="auto"/>
        <w:right w:val="none" w:sz="0" w:space="0" w:color="auto"/>
      </w:divBdr>
    </w:div>
    <w:div w:id="1663508223">
      <w:bodyDiv w:val="1"/>
      <w:marLeft w:val="0"/>
      <w:marRight w:val="0"/>
      <w:marTop w:val="0"/>
      <w:marBottom w:val="0"/>
      <w:divBdr>
        <w:top w:val="none" w:sz="0" w:space="0" w:color="auto"/>
        <w:left w:val="none" w:sz="0" w:space="0" w:color="auto"/>
        <w:bottom w:val="none" w:sz="0" w:space="0" w:color="auto"/>
        <w:right w:val="none" w:sz="0" w:space="0" w:color="auto"/>
      </w:divBdr>
    </w:div>
    <w:div w:id="1669748286">
      <w:bodyDiv w:val="1"/>
      <w:marLeft w:val="0"/>
      <w:marRight w:val="0"/>
      <w:marTop w:val="0"/>
      <w:marBottom w:val="0"/>
      <w:divBdr>
        <w:top w:val="none" w:sz="0" w:space="0" w:color="auto"/>
        <w:left w:val="none" w:sz="0" w:space="0" w:color="auto"/>
        <w:bottom w:val="none" w:sz="0" w:space="0" w:color="auto"/>
        <w:right w:val="none" w:sz="0" w:space="0" w:color="auto"/>
      </w:divBdr>
    </w:div>
    <w:div w:id="1702702567">
      <w:bodyDiv w:val="1"/>
      <w:marLeft w:val="0"/>
      <w:marRight w:val="0"/>
      <w:marTop w:val="0"/>
      <w:marBottom w:val="0"/>
      <w:divBdr>
        <w:top w:val="none" w:sz="0" w:space="0" w:color="auto"/>
        <w:left w:val="none" w:sz="0" w:space="0" w:color="auto"/>
        <w:bottom w:val="none" w:sz="0" w:space="0" w:color="auto"/>
        <w:right w:val="none" w:sz="0" w:space="0" w:color="auto"/>
      </w:divBdr>
    </w:div>
    <w:div w:id="1708949180">
      <w:bodyDiv w:val="1"/>
      <w:marLeft w:val="0"/>
      <w:marRight w:val="0"/>
      <w:marTop w:val="0"/>
      <w:marBottom w:val="0"/>
      <w:divBdr>
        <w:top w:val="none" w:sz="0" w:space="0" w:color="auto"/>
        <w:left w:val="none" w:sz="0" w:space="0" w:color="auto"/>
        <w:bottom w:val="none" w:sz="0" w:space="0" w:color="auto"/>
        <w:right w:val="none" w:sz="0" w:space="0" w:color="auto"/>
      </w:divBdr>
    </w:div>
    <w:div w:id="1716351092">
      <w:bodyDiv w:val="1"/>
      <w:marLeft w:val="0"/>
      <w:marRight w:val="0"/>
      <w:marTop w:val="0"/>
      <w:marBottom w:val="0"/>
      <w:divBdr>
        <w:top w:val="none" w:sz="0" w:space="0" w:color="auto"/>
        <w:left w:val="none" w:sz="0" w:space="0" w:color="auto"/>
        <w:bottom w:val="none" w:sz="0" w:space="0" w:color="auto"/>
        <w:right w:val="none" w:sz="0" w:space="0" w:color="auto"/>
      </w:divBdr>
    </w:div>
    <w:div w:id="1729106343">
      <w:bodyDiv w:val="1"/>
      <w:marLeft w:val="0"/>
      <w:marRight w:val="0"/>
      <w:marTop w:val="0"/>
      <w:marBottom w:val="0"/>
      <w:divBdr>
        <w:top w:val="none" w:sz="0" w:space="0" w:color="auto"/>
        <w:left w:val="none" w:sz="0" w:space="0" w:color="auto"/>
        <w:bottom w:val="none" w:sz="0" w:space="0" w:color="auto"/>
        <w:right w:val="none" w:sz="0" w:space="0" w:color="auto"/>
      </w:divBdr>
    </w:div>
    <w:div w:id="1736002009">
      <w:bodyDiv w:val="1"/>
      <w:marLeft w:val="0"/>
      <w:marRight w:val="0"/>
      <w:marTop w:val="0"/>
      <w:marBottom w:val="0"/>
      <w:divBdr>
        <w:top w:val="none" w:sz="0" w:space="0" w:color="auto"/>
        <w:left w:val="none" w:sz="0" w:space="0" w:color="auto"/>
        <w:bottom w:val="none" w:sz="0" w:space="0" w:color="auto"/>
        <w:right w:val="none" w:sz="0" w:space="0" w:color="auto"/>
      </w:divBdr>
    </w:div>
    <w:div w:id="1750688224">
      <w:bodyDiv w:val="1"/>
      <w:marLeft w:val="0"/>
      <w:marRight w:val="0"/>
      <w:marTop w:val="0"/>
      <w:marBottom w:val="0"/>
      <w:divBdr>
        <w:top w:val="none" w:sz="0" w:space="0" w:color="auto"/>
        <w:left w:val="none" w:sz="0" w:space="0" w:color="auto"/>
        <w:bottom w:val="none" w:sz="0" w:space="0" w:color="auto"/>
        <w:right w:val="none" w:sz="0" w:space="0" w:color="auto"/>
      </w:divBdr>
    </w:div>
    <w:div w:id="1752383875">
      <w:bodyDiv w:val="1"/>
      <w:marLeft w:val="0"/>
      <w:marRight w:val="0"/>
      <w:marTop w:val="0"/>
      <w:marBottom w:val="0"/>
      <w:divBdr>
        <w:top w:val="none" w:sz="0" w:space="0" w:color="auto"/>
        <w:left w:val="none" w:sz="0" w:space="0" w:color="auto"/>
        <w:bottom w:val="none" w:sz="0" w:space="0" w:color="auto"/>
        <w:right w:val="none" w:sz="0" w:space="0" w:color="auto"/>
      </w:divBdr>
    </w:div>
    <w:div w:id="1757702810">
      <w:bodyDiv w:val="1"/>
      <w:marLeft w:val="0"/>
      <w:marRight w:val="0"/>
      <w:marTop w:val="0"/>
      <w:marBottom w:val="0"/>
      <w:divBdr>
        <w:top w:val="none" w:sz="0" w:space="0" w:color="auto"/>
        <w:left w:val="none" w:sz="0" w:space="0" w:color="auto"/>
        <w:bottom w:val="none" w:sz="0" w:space="0" w:color="auto"/>
        <w:right w:val="none" w:sz="0" w:space="0" w:color="auto"/>
      </w:divBdr>
    </w:div>
    <w:div w:id="1766270701">
      <w:bodyDiv w:val="1"/>
      <w:marLeft w:val="0"/>
      <w:marRight w:val="0"/>
      <w:marTop w:val="0"/>
      <w:marBottom w:val="0"/>
      <w:divBdr>
        <w:top w:val="none" w:sz="0" w:space="0" w:color="auto"/>
        <w:left w:val="none" w:sz="0" w:space="0" w:color="auto"/>
        <w:bottom w:val="none" w:sz="0" w:space="0" w:color="auto"/>
        <w:right w:val="none" w:sz="0" w:space="0" w:color="auto"/>
      </w:divBdr>
    </w:div>
    <w:div w:id="1789274178">
      <w:bodyDiv w:val="1"/>
      <w:marLeft w:val="0"/>
      <w:marRight w:val="0"/>
      <w:marTop w:val="0"/>
      <w:marBottom w:val="0"/>
      <w:divBdr>
        <w:top w:val="none" w:sz="0" w:space="0" w:color="auto"/>
        <w:left w:val="none" w:sz="0" w:space="0" w:color="auto"/>
        <w:bottom w:val="none" w:sz="0" w:space="0" w:color="auto"/>
        <w:right w:val="none" w:sz="0" w:space="0" w:color="auto"/>
      </w:divBdr>
    </w:div>
    <w:div w:id="1806313082">
      <w:bodyDiv w:val="1"/>
      <w:marLeft w:val="0"/>
      <w:marRight w:val="0"/>
      <w:marTop w:val="0"/>
      <w:marBottom w:val="0"/>
      <w:divBdr>
        <w:top w:val="none" w:sz="0" w:space="0" w:color="auto"/>
        <w:left w:val="none" w:sz="0" w:space="0" w:color="auto"/>
        <w:bottom w:val="none" w:sz="0" w:space="0" w:color="auto"/>
        <w:right w:val="none" w:sz="0" w:space="0" w:color="auto"/>
      </w:divBdr>
    </w:div>
    <w:div w:id="1815750945">
      <w:bodyDiv w:val="1"/>
      <w:marLeft w:val="0"/>
      <w:marRight w:val="0"/>
      <w:marTop w:val="0"/>
      <w:marBottom w:val="0"/>
      <w:divBdr>
        <w:top w:val="none" w:sz="0" w:space="0" w:color="auto"/>
        <w:left w:val="none" w:sz="0" w:space="0" w:color="auto"/>
        <w:bottom w:val="none" w:sz="0" w:space="0" w:color="auto"/>
        <w:right w:val="none" w:sz="0" w:space="0" w:color="auto"/>
      </w:divBdr>
    </w:div>
    <w:div w:id="1828663295">
      <w:bodyDiv w:val="1"/>
      <w:marLeft w:val="0"/>
      <w:marRight w:val="0"/>
      <w:marTop w:val="0"/>
      <w:marBottom w:val="0"/>
      <w:divBdr>
        <w:top w:val="none" w:sz="0" w:space="0" w:color="auto"/>
        <w:left w:val="none" w:sz="0" w:space="0" w:color="auto"/>
        <w:bottom w:val="none" w:sz="0" w:space="0" w:color="auto"/>
        <w:right w:val="none" w:sz="0" w:space="0" w:color="auto"/>
      </w:divBdr>
    </w:div>
    <w:div w:id="1838109710">
      <w:bodyDiv w:val="1"/>
      <w:marLeft w:val="0"/>
      <w:marRight w:val="0"/>
      <w:marTop w:val="0"/>
      <w:marBottom w:val="0"/>
      <w:divBdr>
        <w:top w:val="none" w:sz="0" w:space="0" w:color="auto"/>
        <w:left w:val="none" w:sz="0" w:space="0" w:color="auto"/>
        <w:bottom w:val="none" w:sz="0" w:space="0" w:color="auto"/>
        <w:right w:val="none" w:sz="0" w:space="0" w:color="auto"/>
      </w:divBdr>
    </w:div>
    <w:div w:id="1859392570">
      <w:bodyDiv w:val="1"/>
      <w:marLeft w:val="0"/>
      <w:marRight w:val="0"/>
      <w:marTop w:val="0"/>
      <w:marBottom w:val="0"/>
      <w:divBdr>
        <w:top w:val="none" w:sz="0" w:space="0" w:color="auto"/>
        <w:left w:val="none" w:sz="0" w:space="0" w:color="auto"/>
        <w:bottom w:val="none" w:sz="0" w:space="0" w:color="auto"/>
        <w:right w:val="none" w:sz="0" w:space="0" w:color="auto"/>
      </w:divBdr>
    </w:div>
    <w:div w:id="1863933685">
      <w:bodyDiv w:val="1"/>
      <w:marLeft w:val="0"/>
      <w:marRight w:val="0"/>
      <w:marTop w:val="0"/>
      <w:marBottom w:val="0"/>
      <w:divBdr>
        <w:top w:val="none" w:sz="0" w:space="0" w:color="auto"/>
        <w:left w:val="none" w:sz="0" w:space="0" w:color="auto"/>
        <w:bottom w:val="none" w:sz="0" w:space="0" w:color="auto"/>
        <w:right w:val="none" w:sz="0" w:space="0" w:color="auto"/>
      </w:divBdr>
    </w:div>
    <w:div w:id="1877884793">
      <w:bodyDiv w:val="1"/>
      <w:marLeft w:val="0"/>
      <w:marRight w:val="0"/>
      <w:marTop w:val="0"/>
      <w:marBottom w:val="0"/>
      <w:divBdr>
        <w:top w:val="none" w:sz="0" w:space="0" w:color="auto"/>
        <w:left w:val="none" w:sz="0" w:space="0" w:color="auto"/>
        <w:bottom w:val="none" w:sz="0" w:space="0" w:color="auto"/>
        <w:right w:val="none" w:sz="0" w:space="0" w:color="auto"/>
      </w:divBdr>
    </w:div>
    <w:div w:id="1892686815">
      <w:bodyDiv w:val="1"/>
      <w:marLeft w:val="0"/>
      <w:marRight w:val="0"/>
      <w:marTop w:val="0"/>
      <w:marBottom w:val="0"/>
      <w:divBdr>
        <w:top w:val="none" w:sz="0" w:space="0" w:color="auto"/>
        <w:left w:val="none" w:sz="0" w:space="0" w:color="auto"/>
        <w:bottom w:val="none" w:sz="0" w:space="0" w:color="auto"/>
        <w:right w:val="none" w:sz="0" w:space="0" w:color="auto"/>
      </w:divBdr>
    </w:div>
    <w:div w:id="1912690543">
      <w:bodyDiv w:val="1"/>
      <w:marLeft w:val="0"/>
      <w:marRight w:val="0"/>
      <w:marTop w:val="0"/>
      <w:marBottom w:val="0"/>
      <w:divBdr>
        <w:top w:val="none" w:sz="0" w:space="0" w:color="auto"/>
        <w:left w:val="none" w:sz="0" w:space="0" w:color="auto"/>
        <w:bottom w:val="none" w:sz="0" w:space="0" w:color="auto"/>
        <w:right w:val="none" w:sz="0" w:space="0" w:color="auto"/>
      </w:divBdr>
    </w:div>
    <w:div w:id="1919710612">
      <w:bodyDiv w:val="1"/>
      <w:marLeft w:val="0"/>
      <w:marRight w:val="0"/>
      <w:marTop w:val="0"/>
      <w:marBottom w:val="0"/>
      <w:divBdr>
        <w:top w:val="none" w:sz="0" w:space="0" w:color="auto"/>
        <w:left w:val="none" w:sz="0" w:space="0" w:color="auto"/>
        <w:bottom w:val="none" w:sz="0" w:space="0" w:color="auto"/>
        <w:right w:val="none" w:sz="0" w:space="0" w:color="auto"/>
      </w:divBdr>
    </w:div>
    <w:div w:id="1920670720">
      <w:bodyDiv w:val="1"/>
      <w:marLeft w:val="0"/>
      <w:marRight w:val="0"/>
      <w:marTop w:val="0"/>
      <w:marBottom w:val="0"/>
      <w:divBdr>
        <w:top w:val="none" w:sz="0" w:space="0" w:color="auto"/>
        <w:left w:val="none" w:sz="0" w:space="0" w:color="auto"/>
        <w:bottom w:val="none" w:sz="0" w:space="0" w:color="auto"/>
        <w:right w:val="none" w:sz="0" w:space="0" w:color="auto"/>
      </w:divBdr>
    </w:div>
    <w:div w:id="1926184652">
      <w:bodyDiv w:val="1"/>
      <w:marLeft w:val="0"/>
      <w:marRight w:val="0"/>
      <w:marTop w:val="0"/>
      <w:marBottom w:val="0"/>
      <w:divBdr>
        <w:top w:val="none" w:sz="0" w:space="0" w:color="auto"/>
        <w:left w:val="none" w:sz="0" w:space="0" w:color="auto"/>
        <w:bottom w:val="none" w:sz="0" w:space="0" w:color="auto"/>
        <w:right w:val="none" w:sz="0" w:space="0" w:color="auto"/>
      </w:divBdr>
    </w:div>
    <w:div w:id="1928416845">
      <w:bodyDiv w:val="1"/>
      <w:marLeft w:val="0"/>
      <w:marRight w:val="0"/>
      <w:marTop w:val="0"/>
      <w:marBottom w:val="0"/>
      <w:divBdr>
        <w:top w:val="none" w:sz="0" w:space="0" w:color="auto"/>
        <w:left w:val="none" w:sz="0" w:space="0" w:color="auto"/>
        <w:bottom w:val="none" w:sz="0" w:space="0" w:color="auto"/>
        <w:right w:val="none" w:sz="0" w:space="0" w:color="auto"/>
      </w:divBdr>
    </w:div>
    <w:div w:id="1936665492">
      <w:bodyDiv w:val="1"/>
      <w:marLeft w:val="0"/>
      <w:marRight w:val="0"/>
      <w:marTop w:val="0"/>
      <w:marBottom w:val="0"/>
      <w:divBdr>
        <w:top w:val="none" w:sz="0" w:space="0" w:color="auto"/>
        <w:left w:val="none" w:sz="0" w:space="0" w:color="auto"/>
        <w:bottom w:val="none" w:sz="0" w:space="0" w:color="auto"/>
        <w:right w:val="none" w:sz="0" w:space="0" w:color="auto"/>
      </w:divBdr>
    </w:div>
    <w:div w:id="1943025137">
      <w:bodyDiv w:val="1"/>
      <w:marLeft w:val="0"/>
      <w:marRight w:val="0"/>
      <w:marTop w:val="0"/>
      <w:marBottom w:val="0"/>
      <w:divBdr>
        <w:top w:val="none" w:sz="0" w:space="0" w:color="auto"/>
        <w:left w:val="none" w:sz="0" w:space="0" w:color="auto"/>
        <w:bottom w:val="none" w:sz="0" w:space="0" w:color="auto"/>
        <w:right w:val="none" w:sz="0" w:space="0" w:color="auto"/>
      </w:divBdr>
    </w:div>
    <w:div w:id="1950888136">
      <w:bodyDiv w:val="1"/>
      <w:marLeft w:val="0"/>
      <w:marRight w:val="0"/>
      <w:marTop w:val="0"/>
      <w:marBottom w:val="0"/>
      <w:divBdr>
        <w:top w:val="none" w:sz="0" w:space="0" w:color="auto"/>
        <w:left w:val="none" w:sz="0" w:space="0" w:color="auto"/>
        <w:bottom w:val="none" w:sz="0" w:space="0" w:color="auto"/>
        <w:right w:val="none" w:sz="0" w:space="0" w:color="auto"/>
      </w:divBdr>
    </w:div>
    <w:div w:id="1955936812">
      <w:bodyDiv w:val="1"/>
      <w:marLeft w:val="0"/>
      <w:marRight w:val="0"/>
      <w:marTop w:val="0"/>
      <w:marBottom w:val="0"/>
      <w:divBdr>
        <w:top w:val="none" w:sz="0" w:space="0" w:color="auto"/>
        <w:left w:val="none" w:sz="0" w:space="0" w:color="auto"/>
        <w:bottom w:val="none" w:sz="0" w:space="0" w:color="auto"/>
        <w:right w:val="none" w:sz="0" w:space="0" w:color="auto"/>
      </w:divBdr>
    </w:div>
    <w:div w:id="1959755224">
      <w:bodyDiv w:val="1"/>
      <w:marLeft w:val="0"/>
      <w:marRight w:val="0"/>
      <w:marTop w:val="0"/>
      <w:marBottom w:val="0"/>
      <w:divBdr>
        <w:top w:val="none" w:sz="0" w:space="0" w:color="auto"/>
        <w:left w:val="none" w:sz="0" w:space="0" w:color="auto"/>
        <w:bottom w:val="none" w:sz="0" w:space="0" w:color="auto"/>
        <w:right w:val="none" w:sz="0" w:space="0" w:color="auto"/>
      </w:divBdr>
    </w:div>
    <w:div w:id="1963605759">
      <w:bodyDiv w:val="1"/>
      <w:marLeft w:val="0"/>
      <w:marRight w:val="0"/>
      <w:marTop w:val="0"/>
      <w:marBottom w:val="0"/>
      <w:divBdr>
        <w:top w:val="none" w:sz="0" w:space="0" w:color="auto"/>
        <w:left w:val="none" w:sz="0" w:space="0" w:color="auto"/>
        <w:bottom w:val="none" w:sz="0" w:space="0" w:color="auto"/>
        <w:right w:val="none" w:sz="0" w:space="0" w:color="auto"/>
      </w:divBdr>
    </w:div>
    <w:div w:id="1963608278">
      <w:bodyDiv w:val="1"/>
      <w:marLeft w:val="0"/>
      <w:marRight w:val="0"/>
      <w:marTop w:val="0"/>
      <w:marBottom w:val="0"/>
      <w:divBdr>
        <w:top w:val="none" w:sz="0" w:space="0" w:color="auto"/>
        <w:left w:val="none" w:sz="0" w:space="0" w:color="auto"/>
        <w:bottom w:val="none" w:sz="0" w:space="0" w:color="auto"/>
        <w:right w:val="none" w:sz="0" w:space="0" w:color="auto"/>
      </w:divBdr>
    </w:div>
    <w:div w:id="1972860650">
      <w:bodyDiv w:val="1"/>
      <w:marLeft w:val="0"/>
      <w:marRight w:val="0"/>
      <w:marTop w:val="0"/>
      <w:marBottom w:val="0"/>
      <w:divBdr>
        <w:top w:val="none" w:sz="0" w:space="0" w:color="auto"/>
        <w:left w:val="none" w:sz="0" w:space="0" w:color="auto"/>
        <w:bottom w:val="none" w:sz="0" w:space="0" w:color="auto"/>
        <w:right w:val="none" w:sz="0" w:space="0" w:color="auto"/>
      </w:divBdr>
    </w:div>
    <w:div w:id="1979608469">
      <w:bodyDiv w:val="1"/>
      <w:marLeft w:val="0"/>
      <w:marRight w:val="0"/>
      <w:marTop w:val="0"/>
      <w:marBottom w:val="0"/>
      <w:divBdr>
        <w:top w:val="none" w:sz="0" w:space="0" w:color="auto"/>
        <w:left w:val="none" w:sz="0" w:space="0" w:color="auto"/>
        <w:bottom w:val="none" w:sz="0" w:space="0" w:color="auto"/>
        <w:right w:val="none" w:sz="0" w:space="0" w:color="auto"/>
      </w:divBdr>
    </w:div>
    <w:div w:id="1979992131">
      <w:bodyDiv w:val="1"/>
      <w:marLeft w:val="0"/>
      <w:marRight w:val="0"/>
      <w:marTop w:val="0"/>
      <w:marBottom w:val="0"/>
      <w:divBdr>
        <w:top w:val="none" w:sz="0" w:space="0" w:color="auto"/>
        <w:left w:val="none" w:sz="0" w:space="0" w:color="auto"/>
        <w:bottom w:val="none" w:sz="0" w:space="0" w:color="auto"/>
        <w:right w:val="none" w:sz="0" w:space="0" w:color="auto"/>
      </w:divBdr>
    </w:div>
    <w:div w:id="1980257218">
      <w:bodyDiv w:val="1"/>
      <w:marLeft w:val="0"/>
      <w:marRight w:val="0"/>
      <w:marTop w:val="0"/>
      <w:marBottom w:val="0"/>
      <w:divBdr>
        <w:top w:val="none" w:sz="0" w:space="0" w:color="auto"/>
        <w:left w:val="none" w:sz="0" w:space="0" w:color="auto"/>
        <w:bottom w:val="none" w:sz="0" w:space="0" w:color="auto"/>
        <w:right w:val="none" w:sz="0" w:space="0" w:color="auto"/>
      </w:divBdr>
    </w:div>
    <w:div w:id="1989631618">
      <w:bodyDiv w:val="1"/>
      <w:marLeft w:val="0"/>
      <w:marRight w:val="0"/>
      <w:marTop w:val="0"/>
      <w:marBottom w:val="0"/>
      <w:divBdr>
        <w:top w:val="none" w:sz="0" w:space="0" w:color="auto"/>
        <w:left w:val="none" w:sz="0" w:space="0" w:color="auto"/>
        <w:bottom w:val="none" w:sz="0" w:space="0" w:color="auto"/>
        <w:right w:val="none" w:sz="0" w:space="0" w:color="auto"/>
      </w:divBdr>
    </w:div>
    <w:div w:id="1990162899">
      <w:bodyDiv w:val="1"/>
      <w:marLeft w:val="0"/>
      <w:marRight w:val="0"/>
      <w:marTop w:val="0"/>
      <w:marBottom w:val="0"/>
      <w:divBdr>
        <w:top w:val="none" w:sz="0" w:space="0" w:color="auto"/>
        <w:left w:val="none" w:sz="0" w:space="0" w:color="auto"/>
        <w:bottom w:val="none" w:sz="0" w:space="0" w:color="auto"/>
        <w:right w:val="none" w:sz="0" w:space="0" w:color="auto"/>
      </w:divBdr>
    </w:div>
    <w:div w:id="1993021365">
      <w:bodyDiv w:val="1"/>
      <w:marLeft w:val="0"/>
      <w:marRight w:val="0"/>
      <w:marTop w:val="0"/>
      <w:marBottom w:val="0"/>
      <w:divBdr>
        <w:top w:val="none" w:sz="0" w:space="0" w:color="auto"/>
        <w:left w:val="none" w:sz="0" w:space="0" w:color="auto"/>
        <w:bottom w:val="none" w:sz="0" w:space="0" w:color="auto"/>
        <w:right w:val="none" w:sz="0" w:space="0" w:color="auto"/>
      </w:divBdr>
    </w:div>
    <w:div w:id="1996060866">
      <w:bodyDiv w:val="1"/>
      <w:marLeft w:val="0"/>
      <w:marRight w:val="0"/>
      <w:marTop w:val="0"/>
      <w:marBottom w:val="0"/>
      <w:divBdr>
        <w:top w:val="none" w:sz="0" w:space="0" w:color="auto"/>
        <w:left w:val="none" w:sz="0" w:space="0" w:color="auto"/>
        <w:bottom w:val="none" w:sz="0" w:space="0" w:color="auto"/>
        <w:right w:val="none" w:sz="0" w:space="0" w:color="auto"/>
      </w:divBdr>
    </w:div>
    <w:div w:id="1998996576">
      <w:bodyDiv w:val="1"/>
      <w:marLeft w:val="0"/>
      <w:marRight w:val="0"/>
      <w:marTop w:val="0"/>
      <w:marBottom w:val="0"/>
      <w:divBdr>
        <w:top w:val="none" w:sz="0" w:space="0" w:color="auto"/>
        <w:left w:val="none" w:sz="0" w:space="0" w:color="auto"/>
        <w:bottom w:val="none" w:sz="0" w:space="0" w:color="auto"/>
        <w:right w:val="none" w:sz="0" w:space="0" w:color="auto"/>
      </w:divBdr>
    </w:div>
    <w:div w:id="2001881758">
      <w:bodyDiv w:val="1"/>
      <w:marLeft w:val="0"/>
      <w:marRight w:val="0"/>
      <w:marTop w:val="0"/>
      <w:marBottom w:val="0"/>
      <w:divBdr>
        <w:top w:val="none" w:sz="0" w:space="0" w:color="auto"/>
        <w:left w:val="none" w:sz="0" w:space="0" w:color="auto"/>
        <w:bottom w:val="none" w:sz="0" w:space="0" w:color="auto"/>
        <w:right w:val="none" w:sz="0" w:space="0" w:color="auto"/>
      </w:divBdr>
    </w:div>
    <w:div w:id="2007896670">
      <w:bodyDiv w:val="1"/>
      <w:marLeft w:val="0"/>
      <w:marRight w:val="0"/>
      <w:marTop w:val="0"/>
      <w:marBottom w:val="0"/>
      <w:divBdr>
        <w:top w:val="none" w:sz="0" w:space="0" w:color="auto"/>
        <w:left w:val="none" w:sz="0" w:space="0" w:color="auto"/>
        <w:bottom w:val="none" w:sz="0" w:space="0" w:color="auto"/>
        <w:right w:val="none" w:sz="0" w:space="0" w:color="auto"/>
      </w:divBdr>
    </w:div>
    <w:div w:id="2015449408">
      <w:bodyDiv w:val="1"/>
      <w:marLeft w:val="0"/>
      <w:marRight w:val="0"/>
      <w:marTop w:val="0"/>
      <w:marBottom w:val="0"/>
      <w:divBdr>
        <w:top w:val="none" w:sz="0" w:space="0" w:color="auto"/>
        <w:left w:val="none" w:sz="0" w:space="0" w:color="auto"/>
        <w:bottom w:val="none" w:sz="0" w:space="0" w:color="auto"/>
        <w:right w:val="none" w:sz="0" w:space="0" w:color="auto"/>
      </w:divBdr>
    </w:div>
    <w:div w:id="2035301984">
      <w:bodyDiv w:val="1"/>
      <w:marLeft w:val="0"/>
      <w:marRight w:val="0"/>
      <w:marTop w:val="0"/>
      <w:marBottom w:val="0"/>
      <w:divBdr>
        <w:top w:val="none" w:sz="0" w:space="0" w:color="auto"/>
        <w:left w:val="none" w:sz="0" w:space="0" w:color="auto"/>
        <w:bottom w:val="none" w:sz="0" w:space="0" w:color="auto"/>
        <w:right w:val="none" w:sz="0" w:space="0" w:color="auto"/>
      </w:divBdr>
    </w:div>
    <w:div w:id="2037266433">
      <w:bodyDiv w:val="1"/>
      <w:marLeft w:val="0"/>
      <w:marRight w:val="0"/>
      <w:marTop w:val="0"/>
      <w:marBottom w:val="0"/>
      <w:divBdr>
        <w:top w:val="none" w:sz="0" w:space="0" w:color="auto"/>
        <w:left w:val="none" w:sz="0" w:space="0" w:color="auto"/>
        <w:bottom w:val="none" w:sz="0" w:space="0" w:color="auto"/>
        <w:right w:val="none" w:sz="0" w:space="0" w:color="auto"/>
      </w:divBdr>
    </w:div>
    <w:div w:id="2039308821">
      <w:bodyDiv w:val="1"/>
      <w:marLeft w:val="0"/>
      <w:marRight w:val="0"/>
      <w:marTop w:val="0"/>
      <w:marBottom w:val="0"/>
      <w:divBdr>
        <w:top w:val="none" w:sz="0" w:space="0" w:color="auto"/>
        <w:left w:val="none" w:sz="0" w:space="0" w:color="auto"/>
        <w:bottom w:val="none" w:sz="0" w:space="0" w:color="auto"/>
        <w:right w:val="none" w:sz="0" w:space="0" w:color="auto"/>
      </w:divBdr>
    </w:div>
    <w:div w:id="2039503192">
      <w:bodyDiv w:val="1"/>
      <w:marLeft w:val="0"/>
      <w:marRight w:val="0"/>
      <w:marTop w:val="0"/>
      <w:marBottom w:val="0"/>
      <w:divBdr>
        <w:top w:val="none" w:sz="0" w:space="0" w:color="auto"/>
        <w:left w:val="none" w:sz="0" w:space="0" w:color="auto"/>
        <w:bottom w:val="none" w:sz="0" w:space="0" w:color="auto"/>
        <w:right w:val="none" w:sz="0" w:space="0" w:color="auto"/>
      </w:divBdr>
    </w:div>
    <w:div w:id="2043090934">
      <w:bodyDiv w:val="1"/>
      <w:marLeft w:val="0"/>
      <w:marRight w:val="0"/>
      <w:marTop w:val="0"/>
      <w:marBottom w:val="0"/>
      <w:divBdr>
        <w:top w:val="none" w:sz="0" w:space="0" w:color="auto"/>
        <w:left w:val="none" w:sz="0" w:space="0" w:color="auto"/>
        <w:bottom w:val="none" w:sz="0" w:space="0" w:color="auto"/>
        <w:right w:val="none" w:sz="0" w:space="0" w:color="auto"/>
      </w:divBdr>
    </w:div>
    <w:div w:id="2048751685">
      <w:bodyDiv w:val="1"/>
      <w:marLeft w:val="0"/>
      <w:marRight w:val="0"/>
      <w:marTop w:val="0"/>
      <w:marBottom w:val="0"/>
      <w:divBdr>
        <w:top w:val="none" w:sz="0" w:space="0" w:color="auto"/>
        <w:left w:val="none" w:sz="0" w:space="0" w:color="auto"/>
        <w:bottom w:val="none" w:sz="0" w:space="0" w:color="auto"/>
        <w:right w:val="none" w:sz="0" w:space="0" w:color="auto"/>
      </w:divBdr>
    </w:div>
    <w:div w:id="2052529482">
      <w:bodyDiv w:val="1"/>
      <w:marLeft w:val="0"/>
      <w:marRight w:val="0"/>
      <w:marTop w:val="0"/>
      <w:marBottom w:val="0"/>
      <w:divBdr>
        <w:top w:val="none" w:sz="0" w:space="0" w:color="auto"/>
        <w:left w:val="none" w:sz="0" w:space="0" w:color="auto"/>
        <w:bottom w:val="none" w:sz="0" w:space="0" w:color="auto"/>
        <w:right w:val="none" w:sz="0" w:space="0" w:color="auto"/>
      </w:divBdr>
    </w:div>
    <w:div w:id="2071998732">
      <w:bodyDiv w:val="1"/>
      <w:marLeft w:val="0"/>
      <w:marRight w:val="0"/>
      <w:marTop w:val="0"/>
      <w:marBottom w:val="0"/>
      <w:divBdr>
        <w:top w:val="none" w:sz="0" w:space="0" w:color="auto"/>
        <w:left w:val="none" w:sz="0" w:space="0" w:color="auto"/>
        <w:bottom w:val="none" w:sz="0" w:space="0" w:color="auto"/>
        <w:right w:val="none" w:sz="0" w:space="0" w:color="auto"/>
      </w:divBdr>
    </w:div>
    <w:div w:id="2083483378">
      <w:bodyDiv w:val="1"/>
      <w:marLeft w:val="0"/>
      <w:marRight w:val="0"/>
      <w:marTop w:val="0"/>
      <w:marBottom w:val="0"/>
      <w:divBdr>
        <w:top w:val="none" w:sz="0" w:space="0" w:color="auto"/>
        <w:left w:val="none" w:sz="0" w:space="0" w:color="auto"/>
        <w:bottom w:val="none" w:sz="0" w:space="0" w:color="auto"/>
        <w:right w:val="none" w:sz="0" w:space="0" w:color="auto"/>
      </w:divBdr>
    </w:div>
    <w:div w:id="2088571930">
      <w:bodyDiv w:val="1"/>
      <w:marLeft w:val="0"/>
      <w:marRight w:val="0"/>
      <w:marTop w:val="0"/>
      <w:marBottom w:val="0"/>
      <w:divBdr>
        <w:top w:val="none" w:sz="0" w:space="0" w:color="auto"/>
        <w:left w:val="none" w:sz="0" w:space="0" w:color="auto"/>
        <w:bottom w:val="none" w:sz="0" w:space="0" w:color="auto"/>
        <w:right w:val="none" w:sz="0" w:space="0" w:color="auto"/>
      </w:divBdr>
    </w:div>
    <w:div w:id="2093623086">
      <w:bodyDiv w:val="1"/>
      <w:marLeft w:val="0"/>
      <w:marRight w:val="0"/>
      <w:marTop w:val="0"/>
      <w:marBottom w:val="0"/>
      <w:divBdr>
        <w:top w:val="none" w:sz="0" w:space="0" w:color="auto"/>
        <w:left w:val="none" w:sz="0" w:space="0" w:color="auto"/>
        <w:bottom w:val="none" w:sz="0" w:space="0" w:color="auto"/>
        <w:right w:val="none" w:sz="0" w:space="0" w:color="auto"/>
      </w:divBdr>
    </w:div>
    <w:div w:id="2094813285">
      <w:bodyDiv w:val="1"/>
      <w:marLeft w:val="0"/>
      <w:marRight w:val="0"/>
      <w:marTop w:val="0"/>
      <w:marBottom w:val="0"/>
      <w:divBdr>
        <w:top w:val="none" w:sz="0" w:space="0" w:color="auto"/>
        <w:left w:val="none" w:sz="0" w:space="0" w:color="auto"/>
        <w:bottom w:val="none" w:sz="0" w:space="0" w:color="auto"/>
        <w:right w:val="none" w:sz="0" w:space="0" w:color="auto"/>
      </w:divBdr>
    </w:div>
    <w:div w:id="2095933382">
      <w:bodyDiv w:val="1"/>
      <w:marLeft w:val="0"/>
      <w:marRight w:val="0"/>
      <w:marTop w:val="0"/>
      <w:marBottom w:val="0"/>
      <w:divBdr>
        <w:top w:val="none" w:sz="0" w:space="0" w:color="auto"/>
        <w:left w:val="none" w:sz="0" w:space="0" w:color="auto"/>
        <w:bottom w:val="none" w:sz="0" w:space="0" w:color="auto"/>
        <w:right w:val="none" w:sz="0" w:space="0" w:color="auto"/>
      </w:divBdr>
    </w:div>
    <w:div w:id="2115587554">
      <w:bodyDiv w:val="1"/>
      <w:marLeft w:val="0"/>
      <w:marRight w:val="0"/>
      <w:marTop w:val="0"/>
      <w:marBottom w:val="0"/>
      <w:divBdr>
        <w:top w:val="none" w:sz="0" w:space="0" w:color="auto"/>
        <w:left w:val="none" w:sz="0" w:space="0" w:color="auto"/>
        <w:bottom w:val="none" w:sz="0" w:space="0" w:color="auto"/>
        <w:right w:val="none" w:sz="0" w:space="0" w:color="auto"/>
      </w:divBdr>
    </w:div>
    <w:div w:id="2123573419">
      <w:bodyDiv w:val="1"/>
      <w:marLeft w:val="0"/>
      <w:marRight w:val="0"/>
      <w:marTop w:val="0"/>
      <w:marBottom w:val="0"/>
      <w:divBdr>
        <w:top w:val="none" w:sz="0" w:space="0" w:color="auto"/>
        <w:left w:val="none" w:sz="0" w:space="0" w:color="auto"/>
        <w:bottom w:val="none" w:sz="0" w:space="0" w:color="auto"/>
        <w:right w:val="none" w:sz="0" w:space="0" w:color="auto"/>
      </w:divBdr>
    </w:div>
    <w:div w:id="2132089271">
      <w:bodyDiv w:val="1"/>
      <w:marLeft w:val="0"/>
      <w:marRight w:val="0"/>
      <w:marTop w:val="0"/>
      <w:marBottom w:val="0"/>
      <w:divBdr>
        <w:top w:val="none" w:sz="0" w:space="0" w:color="auto"/>
        <w:left w:val="none" w:sz="0" w:space="0" w:color="auto"/>
        <w:bottom w:val="none" w:sz="0" w:space="0" w:color="auto"/>
        <w:right w:val="none" w:sz="0" w:space="0" w:color="auto"/>
      </w:divBdr>
    </w:div>
    <w:div w:id="2139715324">
      <w:bodyDiv w:val="1"/>
      <w:marLeft w:val="0"/>
      <w:marRight w:val="0"/>
      <w:marTop w:val="0"/>
      <w:marBottom w:val="0"/>
      <w:divBdr>
        <w:top w:val="none" w:sz="0" w:space="0" w:color="auto"/>
        <w:left w:val="none" w:sz="0" w:space="0" w:color="auto"/>
        <w:bottom w:val="none" w:sz="0" w:space="0" w:color="auto"/>
        <w:right w:val="none" w:sz="0" w:space="0" w:color="auto"/>
      </w:divBdr>
    </w:div>
    <w:div w:id="21426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852A5455B4E32F4CA92D2ED447C6645D" ma:contentTypeVersion="3" ma:contentTypeDescription="" ma:contentTypeScope="" ma:versionID="6068254aded9e60b3c76d2352185707a">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Wor93</b:Tag>
    <b:SourceType>Report</b:SourceType>
    <b:Guid>{FD0D53B4-AEC6-4529-B46F-4C6DF9A9B902}</b:Guid>
    <b:Title>World Development Report 1993 : Investing in Health</b:Title>
    <b:Year>1993</b:Year>
    <b:Author>
      <b:Author>
        <b:Corporate>World Bank</b:Corporate>
      </b:Author>
    </b:Author>
    <b:Publisher>Oxford University Press</b:Publisher>
    <b:City>New York</b:City>
    <b:RefOrder>1</b:RefOrder>
  </b:Source>
  <b:Source>
    <b:Tag>Mat16</b:Tag>
    <b:SourceType>InternetSite</b:SourceType>
    <b:Guid>{FC79A0D9-A106-4645-A91F-426D2801FC23}</b:Guid>
    <b:Author>
      <b:Author>
        <b:NameList>
          <b:Person>
            <b:Last>Jowett</b:Last>
            <b:First>Matthew</b:First>
          </b:Person>
          <b:Person>
            <b:Last>Brunal</b:Last>
            <b:First>Maria</b:First>
            <b:Middle>Petro</b:Middle>
          </b:Person>
          <b:Person>
            <b:Last>Flores</b:Last>
            <b:First>Gabriela</b:First>
          </b:Person>
          <b:Person>
            <b:Last>Cylus</b:Last>
            <b:First>Jonathan</b:First>
          </b:Person>
        </b:NameList>
      </b:Author>
    </b:Author>
    <b:Title>Spending Targets for Health: No Magic Number</b:Title>
    <b:InternetSiteTitle>World Health Organisation</b:InternetSiteTitle>
    <b:Year>2016</b:Year>
    <b:URL>http://www.who.int/health_financing/documents/no-magic-number/en/</b:URL>
    <b:RefOrder>8</b:RefOrder>
  </b:Source>
  <b:Source>
    <b:Tag>Ola10</b:Tag>
    <b:SourceType>Report</b:SourceType>
    <b:Guid>{D3A8CD6A-C700-4374-844E-88724D29513C}</b:Guid>
    <b:Title>Health Expenditure and Health Status in Northern and Southern Nigeria: A Comparative Analysis Using NHA Framework</b:Title>
    <b:Year>2010</b:Year>
    <b:Author>
      <b:Author>
        <b:NameList>
          <b:Person>
            <b:Last>Olaniyan</b:Last>
            <b:First>Olanrewaju</b:First>
          </b:Person>
          <b:Person>
            <b:Last>Lawanson</b:Last>
            <b:First>A.</b:First>
            <b:Middle>Olayinka</b:Middle>
          </b:Person>
        </b:NameList>
      </b:Author>
    </b:Author>
    <b:RefOrder>10</b:RefOrder>
  </b:Source>
  <b:Source>
    <b:Tag>The16</b:Tag>
    <b:SourceType>InternetSite</b:SourceType>
    <b:Guid>{563D270A-80BD-4EDA-8332-4CB794529E9A}</b:Guid>
    <b:Author>
      <b:Author>
        <b:Corporate>The World Bank</b:Corporate>
      </b:Author>
    </b:Author>
    <b:Title>The World Bank</b:Title>
    <b:Year>2016</b:Year>
    <b:City>Washington DC</b:City>
    <b:InternetSiteTitle>World Development Indicators</b:InternetSiteTitle>
    <b:URL>http://data.worldbank.org/data-catalog/world-development-indicators</b:URL>
    <b:RefOrder>4</b:RefOrder>
  </b:Source>
  <b:Source>
    <b:Tag>Nat17</b:Tag>
    <b:SourceType>DocumentFromInternetSite</b:SourceType>
    <b:Guid>{B74BA093-FA57-4110-8925-C2108F98B949}</b:Guid>
    <b:Title>2017 Budget Fiscal Report</b:Title>
    <b:Year>2017</b:Year>
    <b:Author>
      <b:Author>
        <b:NameList>
          <b:Person>
            <b:Last>NEFC</b:Last>
            <b:First>National</b:First>
            <b:Middle>Economic and Fiscal Commission</b:Middle>
          </b:Person>
        </b:NameList>
      </b:Author>
    </b:Author>
    <b:InternetSiteTitle>NEFC</b:InternetSiteTitle>
    <b:URL>http://www.nefc.gov.pg/documents/publications/fiscalReports/2017Fiscal_Report.pdf</b:URL>
    <b:RefOrder>21</b:RefOrder>
  </b:Source>
  <b:Source>
    <b:Tag>Ste14</b:Tag>
    <b:SourceType>DocumentFromInternetSite</b:SourceType>
    <b:Guid>{437CE384-CD34-4888-A251-A08A249CD20B}</b:Guid>
    <b:Author>
      <b:Author>
        <b:NameList>
          <b:Person>
            <b:Last>Howes</b:Last>
            <b:First>Stephen</b:First>
          </b:Person>
          <b:Person>
            <b:Last>Mako</b:Last>
            <b:First>Andrew</b:First>
            <b:Middle>Anton</b:Middle>
          </b:Person>
          <b:Person>
            <b:Last>Swan</b:Last>
            <b:First>Anthony</b:First>
          </b:Person>
          <b:Person>
            <b:Last>Walton</b:Last>
            <b:First>Grant</b:First>
          </b:Person>
          <b:Person>
            <b:Last>Webster</b:Last>
            <b:First>Thomas</b:First>
          </b:Person>
          <b:Person>
            <b:Last>Wiltshire</b:Last>
            <b:First>Colin</b:First>
          </b:Person>
        </b:NameList>
      </b:Author>
    </b:Author>
    <b:Title>The PNG Promoting Effective Public Expenditure Project: A lost decade? Service delivery and reforms in Papua New Guinea 2002-2012</b:Title>
    <b:InternetSiteTitle>Australian National University</b:InternetSiteTitle>
    <b:Year>2014</b:Year>
    <b:Month>October</b:Month>
    <b:URL>https://devpolicy.crawford.anu.edu.au/png-budget-project</b:URL>
    <b:RefOrder>16</b:RefOrder>
  </b:Source>
  <b:Source>
    <b:Tag>NEF141</b:Tag>
    <b:SourceType>Report</b:SourceType>
    <b:Guid>{32DDDAE7-1DAB-4801-AA71-8B427E126887}</b:Guid>
    <b:Author>
      <b:Author>
        <b:NameList>
          <b:Person>
            <b:Last>NEFC</b:Last>
            <b:First>National</b:First>
            <b:Middle>Economic and Fiscal Commission</b:Middle>
          </b:Person>
        </b:NameList>
      </b:Author>
    </b:Author>
    <b:Title>Go Long Ples: Reducing inequality in education funding </b:Title>
    <b:Year>2014</b:Year>
    <b:RefOrder>22</b:RefOrder>
  </b:Source>
  <b:Source>
    <b:Tag>Any09</b:Tag>
    <b:SourceType>Report</b:SourceType>
    <b:Guid>{DF773157-308B-4218-A8ED-976596B1A059}</b:Guid>
    <b:Author>
      <b:Author>
        <b:NameList>
          <b:Person>
            <b:Last>Anyanwu</b:Last>
            <b:First>John</b:First>
            <b:Middle>C.</b:Middle>
          </b:Person>
          <b:Person>
            <b:Last>Erhijakpor</b:Last>
            <b:First>Andrew</b:First>
            <b:Middle>E.O.</b:Middle>
          </b:Person>
        </b:NameList>
      </b:Author>
    </b:Author>
    <b:Title>Health Expenditures and Health Outcomes in Africa</b:Title>
    <b:Year>2009</b:Year>
    <b:URL>http://onlinelibrary.wiley.com/doi/10.1111/j.1467-8268.2009.00215.x/abstract</b:URL>
    <b:RefOrder>20</b:RefOrder>
  </b:Source>
  <b:Source>
    <b:Tag>San01</b:Tag>
    <b:SourceType>Report</b:SourceType>
    <b:Guid>{349F6810-1246-4F74-BE69-860AD6A710F2}</b:Guid>
    <b:Title>Public Spending on Health Care and the Poor</b:Title>
    <b:Year>2001</b:Year>
    <b:Author>
      <b:Author>
        <b:NameList>
          <b:Person>
            <b:Last>Gupta</b:Last>
            <b:First>Sanjeev</b:First>
          </b:Person>
          <b:Person>
            <b:Last>Verhoeven</b:Last>
            <b:First>Marijn</b:First>
          </b:Person>
          <b:Person>
            <b:Last>Tiongson</b:Last>
            <b:First>Erwin</b:First>
          </b:Person>
        </b:NameList>
      </b:Author>
    </b:Author>
    <b:URL>https://www.imf.org/external/pubs/ft/wp/2001/wp01127.pdf</b:URL>
    <b:RefOrder>9</b:RefOrder>
  </b:Source>
  <b:Source>
    <b:Tag>Abd15</b:Tag>
    <b:SourceType>JournalArticle</b:SourceType>
    <b:Guid>{EB3145F0-7727-4C2C-9024-7AE9D130531E}</b:Guid>
    <b:Title>Subnational benchmarking of health systems performance in Africa using health outcome and coverage indicators</b:Title>
    <b:Year>2015</b:Year>
    <b:Author>
      <b:Author>
        <b:NameList>
          <b:Person>
            <b:Last>Noor</b:Last>
            <b:First>Abdisalan</b:First>
            <b:Middle>Mohamed</b:Middle>
          </b:Person>
        </b:NameList>
      </b:Author>
    </b:Author>
    <b:JournalName>BMC Medicine</b:JournalName>
    <b:Pages>13:299</b:Pages>
    <b:URL>http://bmcmedicine.biomedcentral.com/articles/10.1186/s12916-015-0541-y</b:URL>
    <b:RefOrder>2</b:RefOrder>
  </b:Source>
  <b:Source>
    <b:Tag>Dav99</b:Tag>
    <b:SourceType>Report</b:SourceType>
    <b:Guid>{F0702517-1B97-477E-8719-1BB45D8670FC}</b:Guid>
    <b:Author>
      <b:Author>
        <b:NameList>
          <b:Person>
            <b:Last>Peters</b:Last>
            <b:First>David</b:First>
            <b:Middle>H.</b:Middle>
          </b:Person>
          <b:Person>
            <b:Last>Kandola</b:Last>
            <b:First>Kami</b:First>
          </b:Person>
          <b:Person>
            <b:Last>Elmendorf</b:Last>
            <b:First>A.</b:First>
            <b:Middle>Edward</b:Middle>
          </b:Person>
          <b:Person>
            <b:Last>Chellaraj</b:Last>
            <b:First>Gnanaraj</b:First>
          </b:Person>
        </b:NameList>
      </b:Author>
    </b:Author>
    <b:Title>Health expenditures, services, and outcomes in Africa: Basic data and cross-national comparisons, 1990-1996</b:Title>
    <b:Year>1999</b:Year>
    <b:Publisher>World Bank Publications Department</b:Publisher>
    <b:RefOrder>18</b:RefOrder>
  </b:Source>
  <b:Source>
    <b:Tag>Org95</b:Tag>
    <b:SourceType>Book</b:SourceType>
    <b:Guid>{87C49816-7B9A-419B-A359-D7A6B9388E85}</b:Guid>
    <b:Title>Organic Law on Provincial Governments and Local-Level Governments</b:Title>
    <b:Year>1995</b:Year>
    <b:City>Port Moresby </b:City>
    <b:RefOrder>5</b:RefOrder>
  </b:Source>
  <b:Source>
    <b:Tag>Nat14</b:Tag>
    <b:SourceType>Report</b:SourceType>
    <b:Guid>{50E2CAD9-01AA-425F-9BE2-0D18294CE9E7}</b:Guid>
    <b:Title>The Thin Blue Line: The Methodology and Results of the Cost of Sub-national Services Study (O&amp;M).</b:Title>
    <b:Year>2014</b:Year>
    <b:City>Port Moresby, PNG </b:City>
    <b:Author>
      <b:Author>
        <b:NameList>
          <b:Person>
            <b:Last>Commission</b:Last>
            <b:First>National</b:First>
            <b:Middle>Economic and Fiscal</b:Middle>
          </b:Person>
        </b:NameList>
      </b:Author>
    </b:Author>
    <b:RefOrder>11</b:RefOrder>
  </b:Source>
  <b:Source>
    <b:Tag>NEF15</b:Tag>
    <b:SourceType>Report</b:SourceType>
    <b:Guid>{DB6D7EBF-79CE-44EF-99AC-A31912948FCB}</b:Guid>
    <b:Author>
      <b:Author>
        <b:Corporate>NEFC </b:Corporate>
      </b:Author>
    </b:Author>
    <b:Title>Go Long Ples: Reducing inequality in education funding.</b:Title>
    <b:Year>2014</b:Year>
    <b:Publisher>National Economic and Fiscal Commission</b:Publisher>
    <b:City>Port Moresby, PNG</b:City>
    <b:RefOrder>12</b:RefOrder>
  </b:Source>
  <b:Source>
    <b:Tag>Wor15</b:Tag>
    <b:SourceType>Report</b:SourceType>
    <b:Guid>{92E179D1-8375-40FE-8EBA-740511F7248E}</b:Guid>
    <b:Author>
      <b:Author>
        <b:Corporate>World Bank and World Health Organization </b:Corporate>
      </b:Author>
    </b:Author>
    <b:Title>Tracking Universal Health Coverage, First Global Monitoring Report </b:Title>
    <b:Year>2015</b:Year>
    <b:Publisher>World Health Organization</b:Publisher>
    <b:RefOrder>13</b:RefOrder>
  </b:Source>
  <b:Source>
    <b:Tag>WPR12</b:Tag>
    <b:SourceType>InternetSite</b:SourceType>
    <b:Guid>{7805DB96-C278-4000-95FE-FAAC7E392C6F}</b:Guid>
    <b:Title>Health Service Delivery Profile Papua New Guinea 2012</b:Title>
    <b:Year>2012</b:Year>
    <b:Author>
      <b:Author>
        <b:Corporate>WHO</b:Corporate>
      </b:Author>
    </b:Author>
    <b:InternetSiteTitle>World Health Organization Western Pacific Region</b:InternetSiteTitle>
    <b:URL>http://www.wpro.who.int/health_services/service_delivery_profile_papua_new_guinea.pdf</b:URL>
    <b:RefOrder>3</b:RefOrder>
  </b:Source>
  <b:Source>
    <b:Tag>Placeholder1</b:Tag>
    <b:SourceType>JournalArticle</b:SourceType>
    <b:Guid>{9B64DF89-FAB5-44ED-BEFF-35B1CA1B765B}</b:Guid>
    <b:Author>
      <b:Author>
        <b:NameList>
          <b:Person>
            <b:Last>Ensor</b:Last>
            <b:First>T</b:First>
          </b:Person>
          <b:Person>
            <b:Last>So </b:Last>
            <b:First>S. </b:First>
          </b:Person>
          <b:Person>
            <b:Last>Witter</b:Last>
            <b:First>Sophie</b:First>
          </b:Person>
        </b:NameList>
      </b:Author>
    </b:Author>
    <b:Title>Exploring the influence of context and policy on health district productivity in Cambodia.</b:Title>
    <b:Year>2016</b:Year>
    <b:Publisher>Cost effectiveness and resource allocation, 14:1.http://www.resource-allocation.com/content/14/1/1</b:Publisher>
    <b:JournalName>Cost effectiveness and resource allocation,</b:JournalName>
    <b:Pages>14:1.http://www.resource-allocation.com/content/14/1/1</b:Pages>
    <b:RefOrder>6</b:RefOrder>
  </b:Source>
  <b:Source>
    <b:Tag>WHO10</b:Tag>
    <b:SourceType>Report</b:SourceType>
    <b:Guid>{0B8B7889-175D-41EC-A34C-19C8A904D923}</b:Guid>
    <b:Author>
      <b:Author>
        <b:NameList>
          <b:Person>
            <b:Last>WHO</b:Last>
          </b:Person>
        </b:NameList>
      </b:Author>
    </b:Author>
    <b:Title>Health systems financing: the path to universal coverage</b:Title>
    <b:Year>2010</b:Year>
    <b:RefOrder>7</b:RefOrder>
  </b:Source>
  <b:Source>
    <b:Tag>NEF142</b:Tag>
    <b:SourceType>Report</b:SourceType>
    <b:Guid>{DFC8D751-413F-4A84-91E1-9ECA8CCAF918}</b:Guid>
    <b:Author>
      <b:Author>
        <b:NameList>
          <b:Person>
            <b:Last>NEFC</b:Last>
          </b:Person>
        </b:NameList>
      </b:Author>
    </b:Author>
    <b:Title>Go Long Ples: Reducing inequality in education funding</b:Title>
    <b:Year>2014</b:Year>
    <b:URL>http://www.nefc.gov.pg/documents/publications/other/GoLongPles.pdf</b:URL>
    <b:Publisher>National Economics and Fiscal Commission</b:Publisher>
    <b:City>Port Moresby </b:City>
    <b:RefOrder>15</b:RefOrder>
  </b:Source>
  <b:Source>
    <b:Tag>NEF14</b:Tag>
    <b:SourceType>Report</b:SourceType>
    <b:Guid>{B4985742-8193-4B7A-859C-05D09EFB682D}</b:Guid>
    <b:Author>
      <b:Author>
        <b:Corporate>NEFC</b:Corporate>
      </b:Author>
    </b:Author>
    <b:Title>The Thin Blue Line: The Methodology and Results of the Cost of Sub-national Services Study (O&amp;M)</b:Title>
    <b:InternetSiteTitle>National Economic &amp; Fiscal Commission </b:InternetSiteTitle>
    <b:Year>2014</b:Year>
    <b:URL>http://www.nefc.gov.pg/documents/publications/COSS/2011_CoSS_Report_ThinBlueLine.pdf</b:URL>
    <b:City>Port Moresby</b:City>
    <b:RefOrder>14</b:RefOrder>
  </b:Source>
  <b:Source>
    <b:Tag>Gov</b:Tag>
    <b:SourceType>Report</b:SourceType>
    <b:Guid>{C7C37B3B-0E83-48C8-8BA2-E2C1F84752EF}</b:Guid>
    <b:Author>
      <b:Author>
        <b:Corporate>Government of Papua New Guinea</b:Corporate>
      </b:Author>
    </b:Author>
    <b:Title>District Development Authority Act</b:Title>
    <b:Year>2014</b:Year>
    <b:Publisher>National Parliment of Papua New Guinea</b:Publisher>
    <b:City>Port Moresby, PNG, </b:City>
    <b:RefOrder>17</b:RefOrder>
  </b:Source>
  <b:Source>
    <b:Tag>Muf14</b:Tag>
    <b:SourceType>JournalArticle</b:SourceType>
    <b:Guid>{FEAC2918-100F-4ED3-8D1A-26ADE793FD29}</b:Guid>
    <b:Author>
      <b:Author>
        <b:NameList>
          <b:Person>
            <b:Last>Muftaudeen</b:Last>
            <b:First>O. </b:First>
          </b:Person>
          <b:Person>
            <b:Last>Bello</b:Last>
            <b:First>A.</b:First>
          </b:Person>
        </b:NameList>
      </b:Author>
    </b:Author>
    <b:Title>Public Healthcare Expenditure and Health Sector Performance In Nigeria: Implications for Sustainable Economic Development</b:Title>
    <b:Year>2014</b:Year>
    <b:Publisher>Journal of Economics and Finance  Volume 4(3), May-June 2014, pp 39-55.</b:Publisher>
    <b:JournalName>Journal of Economics and Finance (IOSR-JEF), Volume 4(3), May-June 2014, pp 39-55.</b:JournalName>
    <b:RefOrder>19</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000279310:Xiaohui Hou:xhou@worldbank.org;</DocAuthors>
    <Authors xmlns="b99a068c-3844-4a16-badd-77233eea0529">
      <UserInfo>
        <DisplayName>i:0#.w|wb\wb279310</DisplayName>
        <AccountId>4592</AccountId>
        <AccountType/>
      </UserInfo>
      <UserInfo>
        <DisplayName/>
        <AccountId xsi:nil="true"/>
        <AccountType/>
      </UserInfo>
    </Authors>
    <Cordis_x0020_ID xmlns="b99a068c-3844-4a16-badd-77233eea0529" xsi:nil="true"/>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2018-05-31T04:00:00+00:00</DocumentDate>
    <WBDocType xmlns="b99a068c-3844-4a16-badd-77233eea0529">Report</WBDocType>
    <SecurityClassification xmlns="b99a068c-3844-4a16-badd-77233eea0529">Public</SecurityClassification>
    <DeliverableID xmlns="b99a068c-3844-4a16-badd-77233eea0529">DLV0238916</DeliverableID>
    <ProjectID xmlns="b99a068c-3844-4a16-badd-77233eea0529">P154901</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7901BC4D-F870-485A-9039-7407753CE99E}"/>
</file>

<file path=customXml/itemProps2.xml><?xml version="1.0" encoding="utf-8"?>
<ds:datastoreItem xmlns:ds="http://schemas.openxmlformats.org/officeDocument/2006/customXml" ds:itemID="{18171876-6D49-47AF-8939-E1E441495CC4}"/>
</file>

<file path=customXml/itemProps3.xml><?xml version="1.0" encoding="utf-8"?>
<ds:datastoreItem xmlns:ds="http://schemas.openxmlformats.org/officeDocument/2006/customXml" ds:itemID="{A4AA52F5-8044-4B6B-91E1-CB73B307B0A1}"/>
</file>

<file path=customXml/itemProps4.xml><?xml version="1.0" encoding="utf-8"?>
<ds:datastoreItem xmlns:ds="http://schemas.openxmlformats.org/officeDocument/2006/customXml" ds:itemID="{B9E4BCA5-1DA0-424B-96FC-7B66EF1CC42E}"/>
</file>

<file path=customXml/itemProps5.xml><?xml version="1.0" encoding="utf-8"?>
<ds:datastoreItem xmlns:ds="http://schemas.openxmlformats.org/officeDocument/2006/customXml" ds:itemID="{925A5563-A213-4FF8-B6CC-27C3821AA70A}"/>
</file>

<file path=docProps/app.xml><?xml version="1.0" encoding="utf-8"?>
<Properties xmlns="http://schemas.openxmlformats.org/officeDocument/2006/extended-properties" xmlns:vt="http://schemas.openxmlformats.org/officeDocument/2006/docPropsVTypes">
  <Template>Normal.dotm</Template>
  <TotalTime>1</TotalTime>
  <Pages>21</Pages>
  <Words>9918</Words>
  <Characters>56538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66324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20180515_PNG linking expenditures and performance-without TC</dc:title>
  <dc:creator>Sophie Witter</dc:creator>
  <cp:lastModifiedBy>Xiaohui Hou</cp:lastModifiedBy>
  <cp:revision>3</cp:revision>
  <dcterms:created xsi:type="dcterms:W3CDTF">2018-05-15T13:46:00Z</dcterms:created>
  <dcterms:modified xsi:type="dcterms:W3CDTF">2018-05-15T13:50:00Z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0x01010054E0FEF4951F9D49A6F48A35419983C700852A5455B4E32F4CA92D2ED447C6645D</vt:lpwstr>
  </property>
  <property fmtid="{D5CDD505-2E9C-101B-9397-08002B2CF9AE}" pid="5" name="RatedBy">
    <vt:lpwstr/>
  </property>
  <property fmtid="{D5CDD505-2E9C-101B-9397-08002B2CF9AE}" pid="7" name="LikedBy">
    <vt:lpwstr/>
  </property>
</Properties>
</file>