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E2" w:rsidRPr="00A05F9E" w:rsidRDefault="000813E2" w:rsidP="000813E2">
      <w:pPr>
        <w:spacing w:after="0" w:line="240" w:lineRule="auto"/>
        <w:rPr>
          <w:rFonts w:ascii="Cambria" w:hAnsi="Cambria" w:cs="Times New Roman"/>
          <w:b/>
          <w:szCs w:val="24"/>
        </w:rPr>
      </w:pPr>
      <w:r w:rsidRPr="00A05F9E">
        <w:rPr>
          <w:rFonts w:ascii="Cambria" w:hAnsi="Cambria" w:cs="Times New Roman"/>
          <w:b/>
          <w:szCs w:val="24"/>
        </w:rPr>
        <w:t xml:space="preserve">Report No. </w:t>
      </w:r>
      <w:r w:rsidRPr="00191CD4">
        <w:rPr>
          <w:rFonts w:ascii="Cambria" w:eastAsiaTheme="minorHAnsi" w:hAnsi="Cambria" w:cs="Times New Roman"/>
          <w:b/>
          <w:sz w:val="22"/>
          <w:szCs w:val="24"/>
        </w:rPr>
        <w:t>96863</w:t>
      </w:r>
    </w:p>
    <w:p w:rsidR="00F7108B" w:rsidRDefault="00F7108B" w:rsidP="00F7108B">
      <w:pPr>
        <w:spacing w:after="0" w:line="240" w:lineRule="auto"/>
        <w:jc w:val="left"/>
        <w:rPr>
          <w:rFonts w:ascii="Cambria" w:eastAsiaTheme="minorHAnsi" w:hAnsi="Cambria" w:cs="Times New Roman"/>
          <w:b/>
          <w:sz w:val="22"/>
        </w:rPr>
      </w:pPr>
    </w:p>
    <w:p w:rsidR="00F12EB1" w:rsidRDefault="00F12EB1" w:rsidP="00F56908">
      <w:pPr>
        <w:pBdr>
          <w:bottom w:val="double" w:sz="12" w:space="1" w:color="E36C0A" w:themeColor="accent6" w:themeShade="BF"/>
        </w:pBdr>
        <w:spacing w:after="0" w:line="240" w:lineRule="auto"/>
        <w:jc w:val="left"/>
        <w:rPr>
          <w:rFonts w:ascii="Cambria" w:eastAsiaTheme="minorHAnsi" w:hAnsi="Cambria" w:cs="Times New Roman"/>
          <w:b/>
          <w:sz w:val="22"/>
        </w:rPr>
      </w:pPr>
    </w:p>
    <w:p w:rsidR="00847C1C" w:rsidRPr="000E2592" w:rsidRDefault="00847C1C" w:rsidP="00F56908">
      <w:pPr>
        <w:pBdr>
          <w:bottom w:val="double" w:sz="12" w:space="1" w:color="E36C0A" w:themeColor="accent6" w:themeShade="BF"/>
        </w:pBdr>
        <w:spacing w:after="0" w:line="240" w:lineRule="auto"/>
        <w:jc w:val="left"/>
        <w:rPr>
          <w:rFonts w:ascii="Cambria" w:eastAsiaTheme="minorHAnsi" w:hAnsi="Cambria" w:cs="Times New Roman"/>
          <w:b/>
          <w:sz w:val="22"/>
        </w:rPr>
      </w:pPr>
    </w:p>
    <w:p w:rsidR="00F7108B" w:rsidRPr="000E2592" w:rsidRDefault="00F7108B" w:rsidP="00F7108B">
      <w:pPr>
        <w:spacing w:after="0" w:line="240" w:lineRule="auto"/>
        <w:jc w:val="left"/>
        <w:rPr>
          <w:rFonts w:ascii="Cambria" w:eastAsiaTheme="minorHAnsi" w:hAnsi="Cambria" w:cs="Times New Roman"/>
          <w:b/>
          <w:sz w:val="22"/>
        </w:rPr>
      </w:pPr>
    </w:p>
    <w:p w:rsidR="00DE162A" w:rsidRPr="00DE0BA6" w:rsidRDefault="00DE162A" w:rsidP="00DE0BA6">
      <w:pPr>
        <w:spacing w:after="0" w:line="240" w:lineRule="auto"/>
        <w:jc w:val="left"/>
        <w:rPr>
          <w:rFonts w:ascii="Cambria" w:eastAsiaTheme="minorHAnsi" w:hAnsi="Cambria"/>
          <w:b/>
          <w:color w:val="0070C0"/>
          <w:sz w:val="40"/>
          <w:szCs w:val="40"/>
          <w:lang w:val="en-GB"/>
        </w:rPr>
      </w:pPr>
      <w:r w:rsidRPr="00DE0BA6">
        <w:rPr>
          <w:rFonts w:ascii="Cambria" w:eastAsiaTheme="minorHAnsi" w:hAnsi="Cambria"/>
          <w:b/>
          <w:color w:val="0070C0"/>
          <w:sz w:val="40"/>
          <w:szCs w:val="40"/>
          <w:lang w:val="en-GB"/>
        </w:rPr>
        <w:t>Kazakhstan Trade Report</w:t>
      </w:r>
    </w:p>
    <w:p w:rsidR="00DE162A" w:rsidRPr="00CE6F8C" w:rsidRDefault="00DE162A" w:rsidP="00F7108B">
      <w:pPr>
        <w:spacing w:after="0" w:line="240" w:lineRule="auto"/>
        <w:jc w:val="left"/>
        <w:rPr>
          <w:rFonts w:eastAsiaTheme="minorHAnsi" w:cs="Times New Roman"/>
          <w:b/>
          <w:color w:val="0070C0"/>
          <w:sz w:val="22"/>
          <w:lang w:val="en-GB"/>
        </w:rPr>
      </w:pPr>
    </w:p>
    <w:p w:rsidR="00DE162A" w:rsidRPr="00DE0BA6" w:rsidRDefault="00CC0407" w:rsidP="00DE0BA6">
      <w:pPr>
        <w:spacing w:after="0" w:line="240" w:lineRule="auto"/>
        <w:jc w:val="left"/>
        <w:rPr>
          <w:rFonts w:ascii="Cambria" w:eastAsiaTheme="minorHAnsi" w:hAnsi="Cambria"/>
          <w:b/>
          <w:sz w:val="36"/>
          <w:szCs w:val="36"/>
          <w:lang w:val="en-GB"/>
        </w:rPr>
      </w:pPr>
      <w:r w:rsidRPr="00DE0BA6">
        <w:rPr>
          <w:rFonts w:ascii="Cambria" w:eastAsiaTheme="minorHAnsi" w:hAnsi="Cambria"/>
          <w:b/>
          <w:sz w:val="36"/>
          <w:szCs w:val="36"/>
          <w:lang w:val="en-GB"/>
        </w:rPr>
        <w:t xml:space="preserve">Improving the </w:t>
      </w:r>
      <w:r w:rsidR="00DE162A" w:rsidRPr="00DE0BA6">
        <w:rPr>
          <w:rFonts w:ascii="Cambria" w:eastAsiaTheme="minorHAnsi" w:hAnsi="Cambria"/>
          <w:b/>
          <w:sz w:val="36"/>
          <w:szCs w:val="36"/>
          <w:lang w:val="en-GB"/>
        </w:rPr>
        <w:t xml:space="preserve">Trade Policy Framework </w:t>
      </w:r>
    </w:p>
    <w:p w:rsidR="00F7108B" w:rsidRPr="00CE6F8C" w:rsidRDefault="00786508" w:rsidP="00F7108B">
      <w:pPr>
        <w:spacing w:after="0" w:line="240" w:lineRule="auto"/>
        <w:jc w:val="left"/>
        <w:rPr>
          <w:rFonts w:ascii="Cambria" w:eastAsiaTheme="minorHAnsi" w:hAnsi="Cambria"/>
          <w:b/>
          <w:color w:val="0070C0"/>
          <w:sz w:val="22"/>
          <w:lang w:val="en-GB"/>
        </w:rPr>
      </w:pPr>
      <w:r>
        <w:rPr>
          <w:rFonts w:ascii="Cambria" w:eastAsiaTheme="minorHAnsi" w:hAnsi="Cambria"/>
          <w:b/>
          <w:color w:val="0070C0"/>
          <w:sz w:val="22"/>
          <w:lang w:val="en-GB"/>
        </w:rPr>
        <w:t xml:space="preserve"> </w:t>
      </w:r>
    </w:p>
    <w:p w:rsidR="00F7108B" w:rsidRPr="00A05F9E" w:rsidRDefault="00F7108B" w:rsidP="00F7108B">
      <w:pPr>
        <w:spacing w:after="0" w:line="240" w:lineRule="auto"/>
        <w:jc w:val="left"/>
        <w:rPr>
          <w:rFonts w:ascii="Cambria" w:eastAsiaTheme="minorHAnsi" w:hAnsi="Cambria" w:cs="Times New Roman"/>
          <w:szCs w:val="24"/>
        </w:rPr>
      </w:pPr>
    </w:p>
    <w:p w:rsidR="00F12EB1" w:rsidRPr="00DE0BA6" w:rsidRDefault="00F12EB1" w:rsidP="00F12EB1">
      <w:pPr>
        <w:spacing w:after="0" w:line="240" w:lineRule="auto"/>
        <w:jc w:val="left"/>
        <w:rPr>
          <w:rFonts w:ascii="Cambria" w:eastAsiaTheme="minorHAnsi" w:hAnsi="Cambria" w:cs="Times New Roman"/>
          <w:b/>
          <w:sz w:val="32"/>
          <w:szCs w:val="32"/>
        </w:rPr>
      </w:pPr>
      <w:r w:rsidRPr="00DE0BA6">
        <w:rPr>
          <w:rFonts w:ascii="Cambria" w:eastAsiaTheme="minorHAnsi" w:hAnsi="Cambria" w:cs="Times New Roman"/>
          <w:b/>
          <w:sz w:val="32"/>
          <w:szCs w:val="32"/>
        </w:rPr>
        <w:t xml:space="preserve">Trade Policy Note </w:t>
      </w:r>
      <w:r w:rsidR="00CC0407" w:rsidRPr="00DE0BA6">
        <w:rPr>
          <w:rFonts w:ascii="Cambria" w:eastAsiaTheme="minorHAnsi" w:hAnsi="Cambria" w:cs="Times New Roman"/>
          <w:b/>
          <w:sz w:val="32"/>
          <w:szCs w:val="32"/>
        </w:rPr>
        <w:t>1</w:t>
      </w:r>
    </w:p>
    <w:p w:rsidR="00F12EB1" w:rsidRPr="00A05F9E" w:rsidRDefault="00F12EB1" w:rsidP="00F7108B">
      <w:pPr>
        <w:spacing w:after="0" w:line="240" w:lineRule="auto"/>
        <w:jc w:val="left"/>
        <w:rPr>
          <w:rFonts w:ascii="Cambria" w:eastAsiaTheme="minorHAnsi" w:hAnsi="Cambria" w:cs="Times New Roman"/>
          <w:szCs w:val="24"/>
        </w:rPr>
      </w:pPr>
    </w:p>
    <w:p w:rsidR="00F7108B" w:rsidRPr="00A05F9E" w:rsidRDefault="00F7108B" w:rsidP="00F7108B">
      <w:pPr>
        <w:spacing w:after="0" w:line="240" w:lineRule="auto"/>
        <w:jc w:val="left"/>
        <w:rPr>
          <w:rFonts w:ascii="Cambria" w:eastAsiaTheme="minorHAnsi" w:hAnsi="Cambria" w:cs="Times New Roman"/>
          <w:szCs w:val="24"/>
        </w:rPr>
      </w:pPr>
    </w:p>
    <w:p w:rsidR="00F12EB1" w:rsidRPr="00A05F9E" w:rsidRDefault="00F12EB1" w:rsidP="00F7108B">
      <w:pPr>
        <w:spacing w:after="0" w:line="240" w:lineRule="auto"/>
        <w:jc w:val="left"/>
        <w:rPr>
          <w:rFonts w:ascii="Cambria" w:eastAsiaTheme="minorHAnsi" w:hAnsi="Cambria" w:cs="Times New Roman"/>
          <w:b/>
          <w:szCs w:val="24"/>
        </w:rPr>
      </w:pPr>
    </w:p>
    <w:p w:rsidR="00F7108B" w:rsidRPr="00A05F9E" w:rsidRDefault="000813E2" w:rsidP="00F7108B">
      <w:pPr>
        <w:spacing w:after="0" w:line="240" w:lineRule="auto"/>
        <w:jc w:val="left"/>
        <w:rPr>
          <w:rFonts w:ascii="Cambria" w:eastAsiaTheme="minorHAnsi" w:hAnsi="Cambria" w:cs="Times New Roman"/>
          <w:b/>
          <w:szCs w:val="24"/>
        </w:rPr>
      </w:pPr>
      <w:r>
        <w:rPr>
          <w:rFonts w:ascii="Cambria" w:eastAsiaTheme="minorHAnsi" w:hAnsi="Cambria" w:cs="Times New Roman"/>
          <w:b/>
          <w:szCs w:val="24"/>
        </w:rPr>
        <w:t xml:space="preserve">January </w:t>
      </w:r>
      <w:bookmarkStart w:id="0" w:name="_GoBack"/>
      <w:bookmarkEnd w:id="0"/>
      <w:r w:rsidR="0060071A">
        <w:rPr>
          <w:rFonts w:ascii="Cambria" w:eastAsiaTheme="minorHAnsi" w:hAnsi="Cambria" w:cs="Times New Roman"/>
          <w:b/>
          <w:szCs w:val="24"/>
        </w:rPr>
        <w:t>201</w:t>
      </w:r>
      <w:r>
        <w:rPr>
          <w:rFonts w:ascii="Cambria" w:eastAsiaTheme="minorHAnsi" w:hAnsi="Cambria" w:cs="Times New Roman"/>
          <w:b/>
          <w:szCs w:val="24"/>
        </w:rPr>
        <w:t>4</w:t>
      </w:r>
    </w:p>
    <w:p w:rsidR="00F7108B" w:rsidRPr="00A05F9E" w:rsidRDefault="00F7108B" w:rsidP="00F7108B">
      <w:pPr>
        <w:spacing w:after="0" w:line="240" w:lineRule="auto"/>
        <w:jc w:val="left"/>
        <w:rPr>
          <w:rFonts w:ascii="Cambria" w:eastAsiaTheme="minorHAnsi" w:hAnsi="Cambria" w:cs="Times New Roman"/>
          <w:szCs w:val="24"/>
        </w:rPr>
      </w:pPr>
    </w:p>
    <w:p w:rsidR="00F7108B" w:rsidRPr="00A05F9E" w:rsidRDefault="00F7108B" w:rsidP="00F7108B">
      <w:pPr>
        <w:spacing w:after="0" w:line="240" w:lineRule="auto"/>
        <w:jc w:val="left"/>
        <w:rPr>
          <w:rFonts w:ascii="Cambria" w:eastAsiaTheme="minorHAnsi" w:hAnsi="Cambria" w:cs="Times New Roman"/>
          <w:szCs w:val="24"/>
        </w:rPr>
      </w:pPr>
    </w:p>
    <w:p w:rsidR="00F7108B" w:rsidRPr="00A05F9E" w:rsidRDefault="00F7108B" w:rsidP="00F7108B">
      <w:pPr>
        <w:spacing w:after="0" w:line="240" w:lineRule="auto"/>
        <w:jc w:val="left"/>
        <w:rPr>
          <w:rFonts w:ascii="Cambria" w:eastAsiaTheme="minorHAnsi" w:hAnsi="Cambria" w:cs="Times New Roman"/>
          <w:szCs w:val="24"/>
        </w:rPr>
      </w:pPr>
    </w:p>
    <w:p w:rsidR="00F7108B" w:rsidRPr="00A05F9E" w:rsidRDefault="00F7108B" w:rsidP="00F7108B">
      <w:pPr>
        <w:spacing w:after="0" w:line="240" w:lineRule="auto"/>
        <w:jc w:val="left"/>
        <w:rPr>
          <w:rFonts w:ascii="Cambria" w:eastAsiaTheme="minorHAnsi" w:hAnsi="Cambria" w:cs="Times New Roman"/>
          <w:szCs w:val="24"/>
        </w:rPr>
      </w:pPr>
      <w:r w:rsidRPr="00A05F9E">
        <w:rPr>
          <w:rFonts w:ascii="Cambria" w:eastAsiaTheme="minorHAnsi" w:hAnsi="Cambria" w:cs="Times New Roman"/>
          <w:szCs w:val="24"/>
        </w:rPr>
        <w:t>Poverty Reduction and Economic Management Unit</w:t>
      </w:r>
    </w:p>
    <w:p w:rsidR="00F7108B" w:rsidRPr="00A05F9E" w:rsidRDefault="00F7108B" w:rsidP="00F7108B">
      <w:pPr>
        <w:spacing w:after="0" w:line="240" w:lineRule="auto"/>
        <w:jc w:val="left"/>
        <w:rPr>
          <w:rFonts w:ascii="Cambria" w:eastAsiaTheme="minorHAnsi" w:hAnsi="Cambria" w:cs="Times New Roman"/>
          <w:szCs w:val="24"/>
        </w:rPr>
      </w:pPr>
      <w:r w:rsidRPr="00A05F9E">
        <w:rPr>
          <w:rFonts w:ascii="Cambria" w:eastAsiaTheme="minorHAnsi" w:hAnsi="Cambria" w:cs="Times New Roman"/>
          <w:szCs w:val="24"/>
        </w:rPr>
        <w:t>Europe and Central Asia Region</w:t>
      </w:r>
    </w:p>
    <w:p w:rsidR="00F7108B" w:rsidRPr="00A05F9E" w:rsidRDefault="00F7108B" w:rsidP="00F7108B">
      <w:pPr>
        <w:spacing w:after="0" w:line="240" w:lineRule="auto"/>
        <w:jc w:val="left"/>
        <w:rPr>
          <w:rFonts w:ascii="Cambria" w:eastAsiaTheme="minorHAnsi" w:hAnsi="Cambria" w:cs="Times New Roman"/>
          <w:szCs w:val="24"/>
        </w:rPr>
      </w:pPr>
    </w:p>
    <w:p w:rsidR="00F7108B" w:rsidRPr="000E2592" w:rsidRDefault="00F7108B" w:rsidP="00F7108B">
      <w:pPr>
        <w:spacing w:after="0" w:line="240" w:lineRule="auto"/>
        <w:jc w:val="left"/>
        <w:rPr>
          <w:rFonts w:ascii="Cambria" w:eastAsiaTheme="minorHAnsi" w:hAnsi="Cambria" w:cs="Times New Roman"/>
          <w:sz w:val="22"/>
        </w:rPr>
      </w:pPr>
    </w:p>
    <w:p w:rsidR="00F7108B" w:rsidRPr="000E2592" w:rsidRDefault="00F7108B" w:rsidP="00F7108B">
      <w:pPr>
        <w:spacing w:after="0" w:line="240" w:lineRule="auto"/>
        <w:jc w:val="left"/>
        <w:rPr>
          <w:rFonts w:ascii="Cambria" w:eastAsiaTheme="minorHAnsi" w:hAnsi="Cambria" w:cs="Times New Roman"/>
          <w:sz w:val="22"/>
        </w:rPr>
      </w:pPr>
    </w:p>
    <w:p w:rsidR="00F7108B" w:rsidRPr="000E2592" w:rsidRDefault="00F7108B" w:rsidP="00F7108B">
      <w:pPr>
        <w:spacing w:after="0" w:line="240" w:lineRule="auto"/>
        <w:jc w:val="left"/>
        <w:rPr>
          <w:rFonts w:ascii="Cambria" w:eastAsiaTheme="minorHAnsi" w:hAnsi="Cambria" w:cs="Times New Roman"/>
          <w:sz w:val="22"/>
        </w:rPr>
      </w:pPr>
    </w:p>
    <w:p w:rsidR="00F7108B" w:rsidRPr="000E2592" w:rsidRDefault="00F7108B" w:rsidP="00F7108B">
      <w:pPr>
        <w:spacing w:after="0" w:line="240" w:lineRule="auto"/>
        <w:jc w:val="left"/>
        <w:rPr>
          <w:rFonts w:ascii="Cambria" w:eastAsiaTheme="minorHAnsi" w:hAnsi="Cambria" w:cs="Times New Roman"/>
          <w:sz w:val="22"/>
        </w:rPr>
      </w:pPr>
    </w:p>
    <w:p w:rsidR="00F7108B" w:rsidRPr="000E2592" w:rsidRDefault="00F7108B" w:rsidP="00F7108B">
      <w:pPr>
        <w:spacing w:after="0" w:line="240" w:lineRule="auto"/>
        <w:jc w:val="left"/>
        <w:rPr>
          <w:rFonts w:ascii="Cambria" w:eastAsiaTheme="minorHAnsi" w:hAnsi="Cambria" w:cs="Times New Roman"/>
          <w:sz w:val="22"/>
        </w:rPr>
      </w:pPr>
    </w:p>
    <w:p w:rsidR="00F7108B" w:rsidRPr="000E2592" w:rsidRDefault="00F7108B" w:rsidP="00F7108B">
      <w:pPr>
        <w:spacing w:after="0" w:line="240" w:lineRule="auto"/>
        <w:jc w:val="left"/>
        <w:rPr>
          <w:rFonts w:eastAsiaTheme="minorHAnsi" w:cs="Times New Roman"/>
          <w:sz w:val="22"/>
        </w:rPr>
      </w:pPr>
    </w:p>
    <w:p w:rsidR="00F7108B" w:rsidRPr="000E2592" w:rsidRDefault="00F7108B" w:rsidP="00F7108B">
      <w:pPr>
        <w:spacing w:after="0" w:line="240" w:lineRule="auto"/>
        <w:jc w:val="left"/>
        <w:rPr>
          <w:rFonts w:eastAsiaTheme="minorHAnsi" w:cs="Times New Roman"/>
          <w:sz w:val="22"/>
        </w:rPr>
      </w:pPr>
    </w:p>
    <w:p w:rsidR="00F7108B" w:rsidRDefault="00F7108B" w:rsidP="00F7108B">
      <w:pPr>
        <w:spacing w:after="0" w:line="240" w:lineRule="auto"/>
        <w:jc w:val="left"/>
        <w:rPr>
          <w:rFonts w:eastAsiaTheme="minorHAnsi" w:cs="Times New Roman"/>
          <w:sz w:val="22"/>
        </w:rPr>
      </w:pPr>
    </w:p>
    <w:p w:rsidR="00114264" w:rsidRDefault="00114264" w:rsidP="00F7108B">
      <w:pPr>
        <w:spacing w:after="0" w:line="240" w:lineRule="auto"/>
        <w:jc w:val="left"/>
        <w:rPr>
          <w:rFonts w:eastAsiaTheme="minorHAnsi" w:cs="Times New Roman"/>
          <w:sz w:val="22"/>
        </w:rPr>
      </w:pPr>
    </w:p>
    <w:p w:rsidR="00114264" w:rsidRDefault="00114264" w:rsidP="00F7108B">
      <w:pPr>
        <w:spacing w:after="0" w:line="240" w:lineRule="auto"/>
        <w:jc w:val="left"/>
        <w:rPr>
          <w:rFonts w:eastAsiaTheme="minorHAnsi" w:cs="Times New Roman"/>
          <w:sz w:val="22"/>
        </w:rPr>
      </w:pPr>
    </w:p>
    <w:p w:rsidR="00114264" w:rsidRDefault="00114264" w:rsidP="00F7108B">
      <w:pPr>
        <w:spacing w:after="0" w:line="240" w:lineRule="auto"/>
        <w:jc w:val="left"/>
        <w:rPr>
          <w:rFonts w:eastAsiaTheme="minorHAnsi" w:cs="Times New Roman"/>
          <w:sz w:val="22"/>
        </w:rPr>
      </w:pPr>
    </w:p>
    <w:p w:rsidR="00114264" w:rsidRPr="000E2592" w:rsidRDefault="00114264" w:rsidP="00F7108B">
      <w:pPr>
        <w:spacing w:after="0" w:line="240" w:lineRule="auto"/>
        <w:jc w:val="left"/>
        <w:rPr>
          <w:rFonts w:eastAsiaTheme="minorHAnsi" w:cs="Times New Roman"/>
          <w:sz w:val="22"/>
        </w:rPr>
      </w:pPr>
    </w:p>
    <w:p w:rsidR="00F7108B" w:rsidRDefault="00F7108B" w:rsidP="00F7108B">
      <w:pPr>
        <w:spacing w:after="0" w:line="240" w:lineRule="auto"/>
        <w:jc w:val="left"/>
        <w:rPr>
          <w:rFonts w:eastAsiaTheme="minorHAnsi" w:cs="Times New Roman"/>
          <w:sz w:val="22"/>
        </w:rPr>
      </w:pPr>
    </w:p>
    <w:p w:rsidR="00DE0BA6" w:rsidRDefault="00DE0BA6" w:rsidP="00F7108B">
      <w:pPr>
        <w:spacing w:after="0" w:line="240" w:lineRule="auto"/>
        <w:jc w:val="left"/>
        <w:rPr>
          <w:rFonts w:eastAsiaTheme="minorHAnsi" w:cs="Times New Roman"/>
          <w:sz w:val="22"/>
        </w:rPr>
      </w:pPr>
    </w:p>
    <w:p w:rsidR="00DE0BA6" w:rsidRPr="000E2592" w:rsidRDefault="00DE0BA6" w:rsidP="00F7108B">
      <w:pPr>
        <w:spacing w:after="0" w:line="240" w:lineRule="auto"/>
        <w:jc w:val="left"/>
        <w:rPr>
          <w:rFonts w:eastAsiaTheme="minorHAnsi" w:cs="Times New Roman"/>
          <w:sz w:val="22"/>
        </w:rPr>
      </w:pPr>
    </w:p>
    <w:p w:rsidR="00F12EB1" w:rsidRPr="000E2592" w:rsidRDefault="00F12EB1" w:rsidP="00F7108B">
      <w:pPr>
        <w:spacing w:after="0" w:line="240" w:lineRule="auto"/>
        <w:jc w:val="left"/>
        <w:rPr>
          <w:rFonts w:eastAsiaTheme="minorHAnsi" w:cs="Times New Roman"/>
          <w:sz w:val="22"/>
        </w:rPr>
      </w:pPr>
    </w:p>
    <w:p w:rsidR="00F12EB1" w:rsidRPr="000E2592" w:rsidRDefault="00F12EB1" w:rsidP="00F7108B">
      <w:pPr>
        <w:spacing w:after="0" w:line="240" w:lineRule="auto"/>
        <w:jc w:val="left"/>
        <w:rPr>
          <w:rFonts w:eastAsiaTheme="minorHAnsi" w:cs="Times New Roman"/>
          <w:sz w:val="22"/>
        </w:rPr>
      </w:pPr>
    </w:p>
    <w:p w:rsidR="00F7108B" w:rsidRPr="000E2592" w:rsidRDefault="00F7108B" w:rsidP="00F7108B">
      <w:pPr>
        <w:spacing w:after="0" w:line="240" w:lineRule="auto"/>
        <w:jc w:val="left"/>
        <w:rPr>
          <w:rFonts w:eastAsiaTheme="minorHAnsi" w:cs="Times New Roman"/>
          <w:sz w:val="22"/>
        </w:rPr>
      </w:pPr>
    </w:p>
    <w:p w:rsidR="00F7108B" w:rsidRPr="000E2592" w:rsidRDefault="00F7108B" w:rsidP="00F7108B">
      <w:pPr>
        <w:spacing w:after="0" w:line="240" w:lineRule="auto"/>
        <w:jc w:val="left"/>
        <w:rPr>
          <w:rFonts w:eastAsiaTheme="minorHAnsi" w:cs="Times New Roman"/>
          <w:sz w:val="22"/>
        </w:rPr>
      </w:pPr>
      <w:r w:rsidRPr="000E2592">
        <w:rPr>
          <w:rFonts w:eastAsiaTheme="minorHAnsi" w:cs="Times New Roman"/>
          <w:noProof/>
          <w:sz w:val="22"/>
        </w:rPr>
        <w:drawing>
          <wp:inline distT="0" distB="0" distL="0" distR="0" wp14:anchorId="6FF7D431" wp14:editId="119459AF">
            <wp:extent cx="636270" cy="501015"/>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636270" cy="501015"/>
                    </a:xfrm>
                    <a:prstGeom prst="rect">
                      <a:avLst/>
                    </a:prstGeom>
                    <a:noFill/>
                    <a:ln w="9525">
                      <a:noFill/>
                      <a:miter lim="800000"/>
                      <a:headEnd/>
                      <a:tailEnd/>
                    </a:ln>
                  </pic:spPr>
                </pic:pic>
              </a:graphicData>
            </a:graphic>
          </wp:inline>
        </w:drawing>
      </w:r>
    </w:p>
    <w:p w:rsidR="00F7108B" w:rsidRPr="000E2592" w:rsidRDefault="00F7108B" w:rsidP="00DE0BA6">
      <w:pPr>
        <w:pBdr>
          <w:bottom w:val="double" w:sz="12" w:space="1" w:color="E36C0A" w:themeColor="accent6" w:themeShade="BF"/>
        </w:pBdr>
        <w:spacing w:after="0" w:line="240" w:lineRule="auto"/>
        <w:jc w:val="left"/>
        <w:rPr>
          <w:rFonts w:eastAsiaTheme="minorHAnsi" w:cs="Times New Roman"/>
          <w:b/>
          <w:sz w:val="22"/>
        </w:rPr>
      </w:pPr>
      <w:r w:rsidRPr="000E2592">
        <w:rPr>
          <w:rFonts w:eastAsiaTheme="minorHAnsi" w:cs="Times New Roman"/>
          <w:b/>
          <w:sz w:val="22"/>
        </w:rPr>
        <w:t>Document of the World Bank</w:t>
      </w:r>
    </w:p>
    <w:p w:rsidR="00F7108B" w:rsidRPr="000E2592" w:rsidRDefault="00F7108B" w:rsidP="00DE0BA6">
      <w:pPr>
        <w:pBdr>
          <w:bottom w:val="double" w:sz="12" w:space="1" w:color="E36C0A" w:themeColor="accent6" w:themeShade="BF"/>
        </w:pBdr>
        <w:spacing w:after="0" w:line="240" w:lineRule="auto"/>
        <w:ind w:left="1080"/>
        <w:jc w:val="left"/>
        <w:rPr>
          <w:rFonts w:eastAsiaTheme="minorHAnsi" w:cs="Times New Roman"/>
          <w:sz w:val="22"/>
        </w:rPr>
        <w:sectPr w:rsidR="00F7108B" w:rsidRPr="000E2592" w:rsidSect="00F7108B">
          <w:footerReference w:type="default" r:id="rId9"/>
          <w:pgSz w:w="12240" w:h="15840" w:code="1"/>
          <w:pgMar w:top="1440" w:right="1440" w:bottom="1440" w:left="1440" w:header="708" w:footer="708" w:gutter="0"/>
          <w:cols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tblGrid>
      <w:tr w:rsidR="003805E7" w:rsidTr="00DE0BA6">
        <w:trPr>
          <w:jc w:val="center"/>
        </w:trPr>
        <w:tc>
          <w:tcPr>
            <w:tcW w:w="9018" w:type="dxa"/>
          </w:tcPr>
          <w:p w:rsidR="003805E7" w:rsidRPr="000A7A15" w:rsidRDefault="00C758BD" w:rsidP="00CE6F8C">
            <w:pPr>
              <w:spacing w:line="240" w:lineRule="auto"/>
              <w:jc w:val="center"/>
              <w:rPr>
                <w:sz w:val="22"/>
              </w:rPr>
            </w:pPr>
            <w:r>
              <w:lastRenderedPageBreak/>
              <w:br w:type="page"/>
            </w:r>
            <w:r w:rsidR="003805E7" w:rsidRPr="000A7A15">
              <w:rPr>
                <w:smallCaps/>
                <w:sz w:val="22"/>
              </w:rPr>
              <w:t>KAZAKHSTAN - GOVERNMENT FISCAL YEAR</w:t>
            </w:r>
          </w:p>
        </w:tc>
      </w:tr>
      <w:tr w:rsidR="003805E7" w:rsidTr="00DE0BA6">
        <w:trPr>
          <w:jc w:val="center"/>
        </w:trPr>
        <w:tc>
          <w:tcPr>
            <w:tcW w:w="9018" w:type="dxa"/>
          </w:tcPr>
          <w:p w:rsidR="003805E7" w:rsidRPr="000A7A15" w:rsidRDefault="003805E7" w:rsidP="00CE6F8C">
            <w:pPr>
              <w:spacing w:after="200" w:line="240" w:lineRule="auto"/>
              <w:jc w:val="center"/>
              <w:rPr>
                <w:sz w:val="22"/>
              </w:rPr>
            </w:pPr>
            <w:r w:rsidRPr="000A7A15">
              <w:rPr>
                <w:sz w:val="22"/>
              </w:rPr>
              <w:t>January 1 – December 31</w:t>
            </w:r>
          </w:p>
        </w:tc>
      </w:tr>
      <w:tr w:rsidR="003805E7" w:rsidTr="00DE0BA6">
        <w:trPr>
          <w:jc w:val="center"/>
        </w:trPr>
        <w:tc>
          <w:tcPr>
            <w:tcW w:w="9018" w:type="dxa"/>
          </w:tcPr>
          <w:p w:rsidR="003805E7" w:rsidRPr="000A7A15" w:rsidRDefault="003805E7" w:rsidP="00CE6F8C">
            <w:pPr>
              <w:spacing w:line="240" w:lineRule="auto"/>
              <w:jc w:val="center"/>
              <w:rPr>
                <w:caps/>
                <w:sz w:val="22"/>
              </w:rPr>
            </w:pPr>
            <w:r w:rsidRPr="000A7A15">
              <w:rPr>
                <w:caps/>
                <w:sz w:val="22"/>
              </w:rPr>
              <w:t>Currency Equivalents</w:t>
            </w:r>
          </w:p>
          <w:p w:rsidR="003805E7" w:rsidRPr="000A7A15" w:rsidRDefault="003805E7" w:rsidP="0060071A">
            <w:pPr>
              <w:spacing w:after="200" w:line="240" w:lineRule="auto"/>
              <w:jc w:val="center"/>
              <w:rPr>
                <w:caps/>
                <w:sz w:val="22"/>
              </w:rPr>
            </w:pPr>
            <w:r w:rsidRPr="000A7A15">
              <w:rPr>
                <w:sz w:val="22"/>
              </w:rPr>
              <w:t xml:space="preserve">(Exchange Rate Effective as of </w:t>
            </w:r>
            <w:r w:rsidR="0060071A">
              <w:rPr>
                <w:sz w:val="22"/>
              </w:rPr>
              <w:t>May 29,2015</w:t>
            </w:r>
            <w:r w:rsidRPr="00CA4713">
              <w:rPr>
                <w:sz w:val="22"/>
              </w:rPr>
              <w:t xml:space="preserve"> )</w:t>
            </w:r>
          </w:p>
        </w:tc>
      </w:tr>
      <w:tr w:rsidR="003805E7" w:rsidTr="00DE0BA6">
        <w:trPr>
          <w:jc w:val="center"/>
        </w:trPr>
        <w:tc>
          <w:tcPr>
            <w:tcW w:w="9018" w:type="dxa"/>
          </w:tcPr>
          <w:p w:rsidR="003805E7" w:rsidRPr="000A7A15" w:rsidRDefault="003805E7" w:rsidP="00CE6F8C">
            <w:pPr>
              <w:spacing w:line="240" w:lineRule="auto"/>
              <w:jc w:val="center"/>
              <w:rPr>
                <w:sz w:val="22"/>
              </w:rPr>
            </w:pPr>
            <w:r w:rsidRPr="000A7A15">
              <w:rPr>
                <w:sz w:val="22"/>
              </w:rPr>
              <w:t>Currency Unit Tenge</w:t>
            </w:r>
          </w:p>
        </w:tc>
      </w:tr>
      <w:tr w:rsidR="003805E7" w:rsidTr="00DE0BA6">
        <w:trPr>
          <w:jc w:val="center"/>
        </w:trPr>
        <w:tc>
          <w:tcPr>
            <w:tcW w:w="9018" w:type="dxa"/>
          </w:tcPr>
          <w:p w:rsidR="003805E7" w:rsidRPr="000A7A15" w:rsidRDefault="008F6B9A" w:rsidP="0060071A">
            <w:pPr>
              <w:spacing w:after="200" w:line="240" w:lineRule="auto"/>
              <w:jc w:val="center"/>
              <w:rPr>
                <w:sz w:val="22"/>
              </w:rPr>
            </w:pPr>
            <w:r>
              <w:rPr>
                <w:sz w:val="22"/>
              </w:rPr>
              <w:t>US$</w:t>
            </w:r>
            <w:r w:rsidR="003805E7" w:rsidRPr="000A7A15">
              <w:rPr>
                <w:sz w:val="22"/>
              </w:rPr>
              <w:t xml:space="preserve">1 = </w:t>
            </w:r>
            <w:r w:rsidR="0060071A">
              <w:rPr>
                <w:sz w:val="22"/>
              </w:rPr>
              <w:t>185.50</w:t>
            </w:r>
            <w:r w:rsidR="00324B75" w:rsidRPr="000A7A15">
              <w:rPr>
                <w:sz w:val="22"/>
              </w:rPr>
              <w:t xml:space="preserve"> </w:t>
            </w:r>
            <w:r w:rsidR="003805E7" w:rsidRPr="000A7A15">
              <w:rPr>
                <w:sz w:val="22"/>
              </w:rPr>
              <w:t>Tenge</w:t>
            </w:r>
          </w:p>
        </w:tc>
      </w:tr>
      <w:tr w:rsidR="003805E7" w:rsidTr="00DE0BA6">
        <w:trPr>
          <w:jc w:val="center"/>
        </w:trPr>
        <w:tc>
          <w:tcPr>
            <w:tcW w:w="9018" w:type="dxa"/>
          </w:tcPr>
          <w:p w:rsidR="003805E7" w:rsidRPr="000A7A15" w:rsidRDefault="003805E7" w:rsidP="00CE6F8C">
            <w:pPr>
              <w:spacing w:line="240" w:lineRule="auto"/>
              <w:jc w:val="center"/>
              <w:rPr>
                <w:sz w:val="22"/>
              </w:rPr>
            </w:pPr>
            <w:r w:rsidRPr="000A7A15">
              <w:rPr>
                <w:caps/>
                <w:sz w:val="22"/>
              </w:rPr>
              <w:t>Weights and Measures</w:t>
            </w:r>
            <w:r w:rsidRPr="000A7A15">
              <w:rPr>
                <w:sz w:val="22"/>
              </w:rPr>
              <w:t xml:space="preserve"> </w:t>
            </w:r>
          </w:p>
          <w:p w:rsidR="003805E7" w:rsidRPr="000A7A15" w:rsidRDefault="003805E7" w:rsidP="00CE6F8C">
            <w:pPr>
              <w:spacing w:line="240" w:lineRule="auto"/>
              <w:jc w:val="center"/>
              <w:rPr>
                <w:caps/>
                <w:sz w:val="22"/>
              </w:rPr>
            </w:pPr>
            <w:r w:rsidRPr="000A7A15">
              <w:rPr>
                <w:sz w:val="22"/>
              </w:rPr>
              <w:t>Metric System</w:t>
            </w:r>
          </w:p>
        </w:tc>
      </w:tr>
    </w:tbl>
    <w:p w:rsidR="00F7108B" w:rsidRPr="000E2592" w:rsidRDefault="00F7108B" w:rsidP="00CE6F8C">
      <w:pPr>
        <w:spacing w:after="120" w:line="240" w:lineRule="auto"/>
        <w:jc w:val="center"/>
        <w:rPr>
          <w:rFonts w:eastAsia="Times New Roman" w:cs="Times New Roman"/>
          <w:b/>
          <w:sz w:val="22"/>
        </w:rPr>
      </w:pPr>
    </w:p>
    <w:p w:rsidR="00F7108B" w:rsidRDefault="00F7108B" w:rsidP="001D60F9">
      <w:pPr>
        <w:spacing w:after="120" w:line="240" w:lineRule="auto"/>
        <w:jc w:val="center"/>
        <w:rPr>
          <w:rFonts w:eastAsia="Times New Roman" w:cs="Times New Roman"/>
          <w:b/>
          <w:sz w:val="22"/>
        </w:rPr>
      </w:pPr>
      <w:r w:rsidRPr="000E2592">
        <w:rPr>
          <w:rFonts w:eastAsia="Times New Roman" w:cs="Times New Roman"/>
          <w:b/>
          <w:sz w:val="22"/>
        </w:rPr>
        <w:t>ACRONYMS AND ABBREVIATIONS</w:t>
      </w:r>
    </w:p>
    <w:p w:rsidR="007845A2" w:rsidRDefault="007845A2" w:rsidP="00CE6F8C">
      <w:pPr>
        <w:spacing w:after="0" w:line="240" w:lineRule="auto"/>
        <w:jc w:val="center"/>
        <w:rPr>
          <w:rFonts w:eastAsia="Times New Roman" w:cs="Times New Roman"/>
          <w:b/>
          <w:sz w:val="22"/>
        </w:rPr>
      </w:pPr>
    </w:p>
    <w:tbl>
      <w:tblPr>
        <w:tblStyle w:val="TableGrid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7653"/>
      </w:tblGrid>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ADR</w:t>
            </w:r>
          </w:p>
        </w:tc>
        <w:tc>
          <w:tcPr>
            <w:tcW w:w="7653" w:type="dxa"/>
          </w:tcPr>
          <w:p w:rsidR="008F6B9A" w:rsidRPr="002F24B5" w:rsidRDefault="008F6B9A" w:rsidP="00CE6F8C">
            <w:pPr>
              <w:tabs>
                <w:tab w:val="left" w:pos="792"/>
              </w:tabs>
              <w:spacing w:line="240" w:lineRule="auto"/>
              <w:rPr>
                <w:rFonts w:eastAsia="Times New Roman" w:cs="Times New Roman"/>
                <w:sz w:val="20"/>
                <w:szCs w:val="20"/>
                <w:lang w:val="en"/>
              </w:rPr>
            </w:pPr>
            <w:r w:rsidRPr="002F24B5">
              <w:rPr>
                <w:rFonts w:eastAsia="Times New Roman" w:cs="Times New Roman"/>
                <w:sz w:val="20"/>
                <w:szCs w:val="20"/>
                <w:lang w:val="en"/>
              </w:rPr>
              <w:t>Alternative Dispute Resolution</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AFTA</w:t>
            </w:r>
            <w:r>
              <w:rPr>
                <w:rFonts w:eastAsia="Calibri" w:cs="Times New Roman"/>
                <w:sz w:val="20"/>
                <w:szCs w:val="20"/>
              </w:rPr>
              <w:t xml:space="preserve"> </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Association of South</w:t>
            </w:r>
            <w:r>
              <w:rPr>
                <w:rFonts w:eastAsia="Calibri" w:cs="Times New Roman"/>
                <w:sz w:val="20"/>
                <w:szCs w:val="20"/>
              </w:rPr>
              <w:t>east</w:t>
            </w:r>
            <w:r w:rsidRPr="002F24B5">
              <w:rPr>
                <w:rFonts w:eastAsia="Calibri" w:cs="Times New Roman"/>
                <w:sz w:val="20"/>
                <w:szCs w:val="20"/>
              </w:rPr>
              <w:t xml:space="preserve"> Asian Nations Free Trade </w:t>
            </w:r>
            <w:r>
              <w:rPr>
                <w:rFonts w:eastAsia="Calibri" w:cs="Times New Roman"/>
                <w:sz w:val="20"/>
                <w:szCs w:val="20"/>
              </w:rPr>
              <w:t xml:space="preserve">Area </w:t>
            </w:r>
          </w:p>
        </w:tc>
      </w:tr>
      <w:tr w:rsidR="008F6B9A" w:rsidRPr="009B07C2" w:rsidTr="008F6B9A">
        <w:trPr>
          <w:jc w:val="center"/>
        </w:trPr>
        <w:tc>
          <w:tcPr>
            <w:tcW w:w="1319" w:type="dxa"/>
          </w:tcPr>
          <w:p w:rsidR="008F6B9A" w:rsidRDefault="008F6B9A" w:rsidP="00CE6F8C">
            <w:pPr>
              <w:tabs>
                <w:tab w:val="left" w:pos="792"/>
              </w:tabs>
              <w:spacing w:line="240" w:lineRule="auto"/>
              <w:rPr>
                <w:rFonts w:eastAsia="Calibri" w:cs="Times New Roman"/>
                <w:sz w:val="20"/>
                <w:szCs w:val="20"/>
              </w:rPr>
            </w:pPr>
            <w:r>
              <w:rPr>
                <w:rFonts w:eastAsia="Calibri" w:cs="Times New Roman"/>
                <w:sz w:val="20"/>
                <w:szCs w:val="20"/>
              </w:rPr>
              <w:t>AFTA-CER</w:t>
            </w:r>
          </w:p>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AKTISA</w:t>
            </w:r>
          </w:p>
        </w:tc>
        <w:tc>
          <w:tcPr>
            <w:tcW w:w="7653" w:type="dxa"/>
          </w:tcPr>
          <w:p w:rsidR="008F6B9A" w:rsidRDefault="008F6B9A" w:rsidP="00CE6F8C">
            <w:pPr>
              <w:tabs>
                <w:tab w:val="left" w:pos="792"/>
              </w:tabs>
              <w:spacing w:line="240" w:lineRule="auto"/>
              <w:rPr>
                <w:rFonts w:eastAsia="Calibri" w:cs="Times New Roman"/>
                <w:sz w:val="20"/>
                <w:szCs w:val="20"/>
              </w:rPr>
            </w:pPr>
            <w:r>
              <w:rPr>
                <w:rFonts w:eastAsia="Calibri" w:cs="Times New Roman"/>
                <w:sz w:val="20"/>
                <w:szCs w:val="20"/>
              </w:rPr>
              <w:t>Association of Southeast</w:t>
            </w:r>
            <w:r w:rsidRPr="002F24B5">
              <w:rPr>
                <w:rFonts w:eastAsia="Calibri" w:cs="Times New Roman"/>
                <w:sz w:val="20"/>
                <w:szCs w:val="20"/>
              </w:rPr>
              <w:t xml:space="preserve"> Asian Nations Free Trade </w:t>
            </w:r>
            <w:r>
              <w:rPr>
                <w:rFonts w:eastAsia="Calibri" w:cs="Times New Roman"/>
                <w:sz w:val="20"/>
                <w:szCs w:val="20"/>
              </w:rPr>
              <w:t>Area</w:t>
            </w:r>
            <w:r w:rsidR="004E4926">
              <w:rPr>
                <w:rFonts w:eastAsia="Calibri" w:cs="Times New Roman"/>
                <w:sz w:val="20"/>
                <w:szCs w:val="20"/>
              </w:rPr>
              <w:t xml:space="preserve"> </w:t>
            </w:r>
            <w:r w:rsidRPr="002F24B5">
              <w:rPr>
                <w:rFonts w:eastAsia="Calibri" w:cs="Times New Roman"/>
                <w:sz w:val="20"/>
                <w:szCs w:val="20"/>
              </w:rPr>
              <w:t>- Closer Economic Relations</w:t>
            </w:r>
          </w:p>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Association of Southern Asian Nations - Korea Agreement on Trade in Services</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ASEAN</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 xml:space="preserve">Association of </w:t>
            </w:r>
            <w:r>
              <w:rPr>
                <w:rFonts w:eastAsia="Calibri" w:cs="Times New Roman"/>
                <w:sz w:val="20"/>
                <w:szCs w:val="20"/>
              </w:rPr>
              <w:t>Southeast</w:t>
            </w:r>
            <w:r w:rsidRPr="002F24B5">
              <w:rPr>
                <w:rFonts w:eastAsia="Calibri" w:cs="Times New Roman"/>
                <w:sz w:val="20"/>
                <w:szCs w:val="20"/>
              </w:rPr>
              <w:t xml:space="preserve"> Asian Nations</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BEC</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Broad Economic Classification</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BKR-CU</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Belarus-Kazakhstan-Russia</w:t>
            </w:r>
            <w:r w:rsidR="008E17AC">
              <w:rPr>
                <w:rFonts w:eastAsia="Calibri" w:cs="Times New Roman"/>
                <w:sz w:val="20"/>
                <w:szCs w:val="20"/>
              </w:rPr>
              <w:t xml:space="preserve"> </w:t>
            </w:r>
            <w:r w:rsidRPr="002F24B5">
              <w:rPr>
                <w:rFonts w:eastAsia="Calibri" w:cs="Times New Roman"/>
                <w:sz w:val="20"/>
                <w:szCs w:val="20"/>
              </w:rPr>
              <w:t>Customs Union</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CEM</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Country Economic Memorandum</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CER</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Closer Economic Relations (Trade Agreement Between Australia and New Zealand)</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CES</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Common Economic Space</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CET</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Common External Tariff</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 xml:space="preserve">CGE </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 xml:space="preserve">Computable General Equilibrium </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CIS</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Commonwealth of Independent States</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CTPD</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Center of Trade Policy Development</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CU</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Customs Union</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DFTR</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Department of Foreign Trade Regulations</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DIEI</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Department of International Economic Integration and Regulations</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EAC</w:t>
            </w:r>
          </w:p>
        </w:tc>
        <w:tc>
          <w:tcPr>
            <w:tcW w:w="7653" w:type="dxa"/>
          </w:tcPr>
          <w:p w:rsidR="008F6B9A" w:rsidRPr="002F24B5" w:rsidRDefault="008F6B9A" w:rsidP="00CE6F8C">
            <w:pPr>
              <w:tabs>
                <w:tab w:val="left" w:pos="792"/>
              </w:tabs>
              <w:spacing w:line="240" w:lineRule="auto"/>
              <w:rPr>
                <w:rFonts w:eastAsia="Times New Roman" w:cs="Times New Roman"/>
                <w:sz w:val="20"/>
                <w:szCs w:val="20"/>
                <w:lang w:val="en"/>
              </w:rPr>
            </w:pPr>
            <w:r w:rsidRPr="002F24B5">
              <w:rPr>
                <w:rFonts w:eastAsia="Times New Roman" w:cs="Times New Roman"/>
                <w:sz w:val="20"/>
                <w:szCs w:val="20"/>
                <w:lang w:val="en"/>
              </w:rPr>
              <w:t>East African Community</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ECA</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Europe and Central Asia</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9D5BCE">
              <w:rPr>
                <w:rFonts w:eastAsia="Calibri" w:cs="Times New Roman"/>
                <w:sz w:val="20"/>
                <w:szCs w:val="20"/>
              </w:rPr>
              <w:t>EEC</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Eurasia</w:t>
            </w:r>
            <w:r>
              <w:rPr>
                <w:rFonts w:eastAsia="Calibri" w:cs="Times New Roman"/>
                <w:sz w:val="20"/>
                <w:szCs w:val="20"/>
              </w:rPr>
              <w:t>n</w:t>
            </w:r>
            <w:r w:rsidRPr="002F24B5">
              <w:rPr>
                <w:rFonts w:eastAsia="Calibri" w:cs="Times New Roman"/>
                <w:sz w:val="20"/>
                <w:szCs w:val="20"/>
              </w:rPr>
              <w:t xml:space="preserve"> Economic Commission</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EU</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European Union</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EU27</w:t>
            </w:r>
          </w:p>
        </w:tc>
        <w:tc>
          <w:tcPr>
            <w:tcW w:w="7653" w:type="dxa"/>
          </w:tcPr>
          <w:p w:rsidR="008F6B9A" w:rsidRPr="002F24B5" w:rsidRDefault="0016606F" w:rsidP="0016606F">
            <w:pPr>
              <w:tabs>
                <w:tab w:val="left" w:pos="792"/>
              </w:tabs>
              <w:spacing w:line="240" w:lineRule="auto"/>
              <w:rPr>
                <w:rFonts w:eastAsia="Calibri" w:cs="Times New Roman"/>
                <w:sz w:val="20"/>
                <w:szCs w:val="20"/>
              </w:rPr>
            </w:pPr>
            <w:r>
              <w:rPr>
                <w:rFonts w:eastAsia="Calibri" w:cs="Times New Roman"/>
                <w:sz w:val="20"/>
                <w:szCs w:val="20"/>
              </w:rPr>
              <w:t xml:space="preserve">All EU member states except Croatia </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FTA</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Pr>
                <w:rFonts w:eastAsia="Calibri" w:cs="Times New Roman"/>
                <w:sz w:val="20"/>
                <w:szCs w:val="20"/>
              </w:rPr>
              <w:t xml:space="preserve">Free </w:t>
            </w:r>
            <w:r w:rsidRPr="002F24B5">
              <w:rPr>
                <w:rFonts w:eastAsia="Calibri" w:cs="Times New Roman"/>
                <w:sz w:val="20"/>
                <w:szCs w:val="20"/>
              </w:rPr>
              <w:t>Trade Agreement</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GDP</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Gross Domestic Product</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GMO</w:t>
            </w:r>
          </w:p>
        </w:tc>
        <w:tc>
          <w:tcPr>
            <w:tcW w:w="7653"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Genetically Modified Organism</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GOST</w:t>
            </w:r>
          </w:p>
        </w:tc>
        <w:tc>
          <w:tcPr>
            <w:tcW w:w="7653"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Calibri" w:cs="Times New Roman"/>
                <w:i/>
                <w:iCs/>
                <w:sz w:val="20"/>
                <w:szCs w:val="20"/>
              </w:rPr>
              <w:t xml:space="preserve">Gosudarstvennyy Standart </w:t>
            </w:r>
            <w:r w:rsidRPr="002F24B5">
              <w:rPr>
                <w:rFonts w:eastAsia="Calibri" w:cs="Times New Roman"/>
                <w:iCs/>
                <w:sz w:val="20"/>
                <w:szCs w:val="20"/>
              </w:rPr>
              <w:t>(State Standard)</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HS</w:t>
            </w:r>
          </w:p>
        </w:tc>
        <w:tc>
          <w:tcPr>
            <w:tcW w:w="7653"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Harmonized System</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ITC</w:t>
            </w:r>
          </w:p>
        </w:tc>
        <w:tc>
          <w:tcPr>
            <w:tcW w:w="7653"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International Trade Center</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MEBP</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Ministry of Economy and Budget</w:t>
            </w:r>
            <w:r>
              <w:rPr>
                <w:rFonts w:eastAsia="Calibri" w:cs="Times New Roman"/>
                <w:sz w:val="20"/>
                <w:szCs w:val="20"/>
              </w:rPr>
              <w:t xml:space="preserve"> Planning</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MES</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Ministry of Education and Science</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MFA</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Ministry of Foreign Affairs</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MINT</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Ministry of Industry and New Technologies</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MLT</w:t>
            </w:r>
          </w:p>
        </w:tc>
        <w:tc>
          <w:tcPr>
            <w:tcW w:w="7653"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Maximum Tolerance Limit</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NACEK</w:t>
            </w:r>
          </w:p>
        </w:tc>
        <w:tc>
          <w:tcPr>
            <w:tcW w:w="7653"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National Center of Certification and Expertise</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Non-CU CIS</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Non-Customs Union Commonwealth of Independent States</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NTM</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Non-Tariff Measure</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OECD</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Organi</w:t>
            </w:r>
            <w:r>
              <w:rPr>
                <w:rFonts w:eastAsia="Calibri" w:cs="Times New Roman"/>
                <w:sz w:val="20"/>
                <w:szCs w:val="20"/>
              </w:rPr>
              <w:t>s</w:t>
            </w:r>
            <w:r w:rsidRPr="002F24B5">
              <w:rPr>
                <w:rFonts w:eastAsia="Calibri" w:cs="Times New Roman"/>
                <w:sz w:val="20"/>
                <w:szCs w:val="20"/>
              </w:rPr>
              <w:t xml:space="preserve">ation for Economic Cooperation and Development </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PSI</w:t>
            </w:r>
          </w:p>
        </w:tc>
        <w:tc>
          <w:tcPr>
            <w:tcW w:w="7653"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Pre-Shipment Inspection</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PTA</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Preferential Trade Agreement</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QC</w:t>
            </w:r>
          </w:p>
        </w:tc>
        <w:tc>
          <w:tcPr>
            <w:tcW w:w="7653"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Quantity Control</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lastRenderedPageBreak/>
              <w:t>ROO</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Rules of Origin</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RTA</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Regional Trade Agreement</w:t>
            </w:r>
          </w:p>
        </w:tc>
      </w:tr>
      <w:tr w:rsidR="008F6B9A" w:rsidRPr="009B07C2" w:rsidTr="008F6B9A">
        <w:trPr>
          <w:jc w:val="center"/>
        </w:trPr>
        <w:tc>
          <w:tcPr>
            <w:tcW w:w="1319" w:type="dxa"/>
          </w:tcPr>
          <w:p w:rsidR="008F6B9A" w:rsidRPr="00B9024C" w:rsidRDefault="008F6B9A" w:rsidP="00CE6F8C">
            <w:pPr>
              <w:tabs>
                <w:tab w:val="left" w:pos="792"/>
              </w:tabs>
              <w:spacing w:line="240" w:lineRule="auto"/>
              <w:rPr>
                <w:rFonts w:eastAsia="Calibri" w:cs="Times New Roman"/>
                <w:sz w:val="20"/>
                <w:szCs w:val="20"/>
              </w:rPr>
            </w:pPr>
            <w:r w:rsidRPr="00B9024C">
              <w:rPr>
                <w:rFonts w:eastAsia="Calibri" w:cs="Times New Roman"/>
                <w:sz w:val="20"/>
                <w:szCs w:val="20"/>
              </w:rPr>
              <w:t>SEZ</w:t>
            </w:r>
          </w:p>
        </w:tc>
        <w:tc>
          <w:tcPr>
            <w:tcW w:w="7653" w:type="dxa"/>
          </w:tcPr>
          <w:p w:rsidR="008F6B9A" w:rsidRPr="00B9024C" w:rsidRDefault="008F6B9A" w:rsidP="00CE6F8C">
            <w:pPr>
              <w:tabs>
                <w:tab w:val="left" w:pos="792"/>
              </w:tabs>
              <w:spacing w:line="240" w:lineRule="auto"/>
              <w:rPr>
                <w:rFonts w:eastAsia="Calibri" w:cs="Times New Roman"/>
                <w:sz w:val="20"/>
                <w:szCs w:val="20"/>
              </w:rPr>
            </w:pPr>
            <w:r w:rsidRPr="00B9024C">
              <w:rPr>
                <w:rFonts w:eastAsia="Calibri" w:cs="Times New Roman"/>
                <w:sz w:val="20"/>
                <w:szCs w:val="20"/>
              </w:rPr>
              <w:t>Special Economic Zone</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SME</w:t>
            </w:r>
          </w:p>
        </w:tc>
        <w:tc>
          <w:tcPr>
            <w:tcW w:w="7653"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Small and Medium Enterprises</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 xml:space="preserve">SPS </w:t>
            </w:r>
          </w:p>
        </w:tc>
        <w:tc>
          <w:tcPr>
            <w:tcW w:w="7653"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Sanitary and Phyto-Sanitary</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TBT</w:t>
            </w:r>
          </w:p>
        </w:tc>
        <w:tc>
          <w:tcPr>
            <w:tcW w:w="7653" w:type="dxa"/>
          </w:tcPr>
          <w:p w:rsidR="008F6B9A" w:rsidRPr="002F24B5"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Technical Barriers to Trade</w:t>
            </w:r>
          </w:p>
        </w:tc>
      </w:tr>
      <w:tr w:rsidR="008F6B9A" w:rsidRPr="009B07C2" w:rsidTr="008F6B9A">
        <w:trPr>
          <w:jc w:val="center"/>
        </w:trPr>
        <w:tc>
          <w:tcPr>
            <w:tcW w:w="1319" w:type="dxa"/>
          </w:tcPr>
          <w:p w:rsidR="008F6B9A" w:rsidRDefault="008F6B9A" w:rsidP="00CE6F8C">
            <w:pPr>
              <w:tabs>
                <w:tab w:val="left" w:pos="792"/>
              </w:tabs>
              <w:spacing w:line="240" w:lineRule="auto"/>
              <w:rPr>
                <w:rFonts w:eastAsia="Times New Roman" w:cs="Times New Roman"/>
                <w:sz w:val="20"/>
                <w:szCs w:val="20"/>
              </w:rPr>
            </w:pPr>
            <w:r w:rsidRPr="002F24B5">
              <w:rPr>
                <w:rFonts w:eastAsia="Times New Roman" w:cs="Times New Roman"/>
                <w:sz w:val="20"/>
                <w:szCs w:val="20"/>
              </w:rPr>
              <w:t>UNCTAD</w:t>
            </w:r>
          </w:p>
          <w:p w:rsidR="008F6B9A" w:rsidRPr="002F24B5" w:rsidRDefault="008F6B9A" w:rsidP="00CE6F8C">
            <w:pPr>
              <w:tabs>
                <w:tab w:val="left" w:pos="792"/>
              </w:tabs>
              <w:spacing w:line="240" w:lineRule="auto"/>
              <w:rPr>
                <w:rFonts w:eastAsia="Times New Roman" w:cs="Times New Roman"/>
                <w:sz w:val="20"/>
                <w:szCs w:val="20"/>
              </w:rPr>
            </w:pPr>
            <w:r>
              <w:rPr>
                <w:rFonts w:eastAsia="Times New Roman" w:cs="Times New Roman"/>
                <w:sz w:val="20"/>
                <w:szCs w:val="20"/>
              </w:rPr>
              <w:t>USTR</w:t>
            </w:r>
          </w:p>
        </w:tc>
        <w:tc>
          <w:tcPr>
            <w:tcW w:w="7653" w:type="dxa"/>
          </w:tcPr>
          <w:p w:rsidR="008F6B9A" w:rsidRDefault="008F6B9A" w:rsidP="00CE6F8C">
            <w:pPr>
              <w:tabs>
                <w:tab w:val="left" w:pos="792"/>
              </w:tabs>
              <w:spacing w:line="240" w:lineRule="auto"/>
              <w:rPr>
                <w:rFonts w:eastAsia="Times New Roman" w:cs="Times New Roman"/>
                <w:sz w:val="20"/>
                <w:szCs w:val="20"/>
                <w:lang w:val="en"/>
              </w:rPr>
            </w:pPr>
            <w:r w:rsidRPr="002F24B5">
              <w:rPr>
                <w:rFonts w:eastAsia="Times New Roman" w:cs="Times New Roman"/>
                <w:sz w:val="20"/>
                <w:szCs w:val="20"/>
                <w:lang w:val="en"/>
              </w:rPr>
              <w:t>United Nations Conference on Trade and Development</w:t>
            </w:r>
          </w:p>
          <w:p w:rsidR="008F6B9A" w:rsidRPr="002F24B5" w:rsidRDefault="008F6B9A" w:rsidP="00CE6F8C">
            <w:pPr>
              <w:tabs>
                <w:tab w:val="left" w:pos="792"/>
              </w:tabs>
              <w:spacing w:line="240" w:lineRule="auto"/>
              <w:rPr>
                <w:rFonts w:eastAsia="Times New Roman" w:cs="Times New Roman"/>
                <w:sz w:val="20"/>
                <w:szCs w:val="20"/>
              </w:rPr>
            </w:pPr>
            <w:r>
              <w:rPr>
                <w:rFonts w:eastAsia="Times New Roman" w:cs="Times New Roman"/>
                <w:sz w:val="20"/>
                <w:szCs w:val="20"/>
                <w:lang w:val="en"/>
              </w:rPr>
              <w:t xml:space="preserve">Office of the United States Trade Representative </w:t>
            </w:r>
          </w:p>
        </w:tc>
      </w:tr>
      <w:tr w:rsidR="008F6B9A" w:rsidRPr="009B07C2" w:rsidTr="008F6B9A">
        <w:trPr>
          <w:jc w:val="center"/>
        </w:trPr>
        <w:tc>
          <w:tcPr>
            <w:tcW w:w="1319"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WTO</w:t>
            </w:r>
          </w:p>
        </w:tc>
        <w:tc>
          <w:tcPr>
            <w:tcW w:w="7653" w:type="dxa"/>
          </w:tcPr>
          <w:p w:rsidR="008F6B9A" w:rsidRPr="002F24B5" w:rsidRDefault="008F6B9A" w:rsidP="00CE6F8C">
            <w:pPr>
              <w:tabs>
                <w:tab w:val="left" w:pos="792"/>
              </w:tabs>
              <w:spacing w:line="240" w:lineRule="auto"/>
              <w:rPr>
                <w:rFonts w:eastAsia="Calibri" w:cs="Times New Roman"/>
                <w:sz w:val="20"/>
                <w:szCs w:val="20"/>
              </w:rPr>
            </w:pPr>
            <w:r w:rsidRPr="002F24B5">
              <w:rPr>
                <w:rFonts w:eastAsia="Calibri" w:cs="Times New Roman"/>
                <w:sz w:val="20"/>
                <w:szCs w:val="20"/>
              </w:rPr>
              <w:t>World Trade Organization</w:t>
            </w:r>
          </w:p>
        </w:tc>
      </w:tr>
    </w:tbl>
    <w:p w:rsidR="00F7108B" w:rsidRPr="000E2592" w:rsidRDefault="00F7108B" w:rsidP="00F7108B">
      <w:pPr>
        <w:spacing w:after="60" w:line="276" w:lineRule="auto"/>
        <w:jc w:val="left"/>
        <w:rPr>
          <w:rFonts w:eastAsiaTheme="minorHAnsi" w:cs="Times New Roman"/>
          <w:color w:val="000000"/>
          <w:sz w:val="22"/>
        </w:rPr>
      </w:pPr>
    </w:p>
    <w:p w:rsidR="00F7108B" w:rsidRPr="000E2592" w:rsidRDefault="00F7108B" w:rsidP="00F7108B">
      <w:pPr>
        <w:spacing w:after="60" w:line="276" w:lineRule="auto"/>
        <w:jc w:val="left"/>
        <w:rPr>
          <w:rFonts w:eastAsiaTheme="minorHAnsi" w:cs="Times New Roman"/>
          <w:color w:val="000000"/>
          <w:sz w:val="22"/>
        </w:rPr>
      </w:pPr>
    </w:p>
    <w:p w:rsidR="00470E70" w:rsidRDefault="00470E70"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294379" w:rsidRDefault="00294379"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8E2424" w:rsidRDefault="008E2424" w:rsidP="00F7108B">
      <w:pPr>
        <w:spacing w:after="0" w:line="240" w:lineRule="auto"/>
        <w:jc w:val="left"/>
        <w:rPr>
          <w:rFonts w:eastAsiaTheme="majorEastAsia" w:cs="Times New Roman"/>
          <w:b/>
          <w:bCs/>
          <w:sz w:val="22"/>
        </w:rPr>
      </w:pPr>
    </w:p>
    <w:p w:rsidR="00E94B0D" w:rsidRDefault="00E94B0D" w:rsidP="00F7108B">
      <w:pPr>
        <w:spacing w:after="0" w:line="240" w:lineRule="auto"/>
        <w:jc w:val="left"/>
        <w:rPr>
          <w:rFonts w:eastAsiaTheme="majorEastAsia" w:cs="Times New Roman"/>
          <w:b/>
          <w:bCs/>
          <w:sz w:val="22"/>
        </w:rPr>
      </w:pPr>
    </w:p>
    <w:tbl>
      <w:tblPr>
        <w:tblW w:w="709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20"/>
        <w:gridCol w:w="360"/>
        <w:gridCol w:w="3319"/>
      </w:tblGrid>
      <w:tr w:rsidR="00F12EB1" w:rsidRPr="00F12EB1" w:rsidTr="003805E7">
        <w:trPr>
          <w:jc w:val="center"/>
        </w:trPr>
        <w:tc>
          <w:tcPr>
            <w:tcW w:w="3420" w:type="dxa"/>
            <w:tcBorders>
              <w:top w:val="single" w:sz="4" w:space="0" w:color="auto"/>
              <w:left w:val="single" w:sz="4" w:space="0" w:color="auto"/>
              <w:bottom w:val="nil"/>
              <w:right w:val="nil"/>
            </w:tcBorders>
            <w:hideMark/>
          </w:tcPr>
          <w:p w:rsidR="00F12EB1" w:rsidRPr="00F12EB1" w:rsidRDefault="00F12EB1" w:rsidP="00F12EB1">
            <w:pPr>
              <w:spacing w:after="0" w:line="240" w:lineRule="auto"/>
              <w:jc w:val="right"/>
              <w:rPr>
                <w:rFonts w:eastAsia="Times New Roman" w:cs="Times New Roman"/>
                <w:sz w:val="22"/>
                <w:lang w:val="en-GB"/>
              </w:rPr>
            </w:pPr>
            <w:r w:rsidRPr="00F12EB1">
              <w:rPr>
                <w:rFonts w:eastAsia="Times New Roman" w:cs="Times New Roman"/>
                <w:sz w:val="22"/>
                <w:lang w:val="en-GB"/>
              </w:rPr>
              <w:t>Vice President:</w:t>
            </w:r>
          </w:p>
        </w:tc>
        <w:tc>
          <w:tcPr>
            <w:tcW w:w="360" w:type="dxa"/>
            <w:tcBorders>
              <w:top w:val="single" w:sz="4" w:space="0" w:color="auto"/>
              <w:left w:val="nil"/>
              <w:bottom w:val="nil"/>
              <w:right w:val="nil"/>
            </w:tcBorders>
          </w:tcPr>
          <w:p w:rsidR="00F12EB1" w:rsidRPr="00F12EB1" w:rsidRDefault="00F12EB1" w:rsidP="00F12EB1">
            <w:pPr>
              <w:spacing w:after="0" w:line="240" w:lineRule="auto"/>
              <w:jc w:val="center"/>
              <w:rPr>
                <w:rFonts w:eastAsia="Times New Roman" w:cs="Times New Roman"/>
                <w:sz w:val="22"/>
                <w:lang w:val="en-GB"/>
              </w:rPr>
            </w:pPr>
          </w:p>
        </w:tc>
        <w:tc>
          <w:tcPr>
            <w:tcW w:w="3319" w:type="dxa"/>
            <w:tcBorders>
              <w:top w:val="single" w:sz="4" w:space="0" w:color="auto"/>
              <w:left w:val="nil"/>
              <w:bottom w:val="nil"/>
              <w:right w:val="single" w:sz="4" w:space="0" w:color="auto"/>
            </w:tcBorders>
            <w:hideMark/>
          </w:tcPr>
          <w:p w:rsidR="00F12EB1" w:rsidRPr="00F12EB1" w:rsidRDefault="000813E2" w:rsidP="00CE79D0">
            <w:pPr>
              <w:spacing w:after="0" w:line="240" w:lineRule="auto"/>
              <w:jc w:val="left"/>
              <w:rPr>
                <w:rFonts w:eastAsia="Times New Roman" w:cs="Times New Roman"/>
                <w:sz w:val="22"/>
                <w:lang w:val="en-GB"/>
              </w:rPr>
            </w:pPr>
            <w:hyperlink r:id="rId10" w:history="1">
              <w:r w:rsidR="00CE79D0">
                <w:rPr>
                  <w:rFonts w:eastAsia="Times New Roman" w:cs="Times New Roman"/>
                  <w:color w:val="000000" w:themeColor="text1"/>
                  <w:sz w:val="22"/>
                  <w:lang w:val="en-GB"/>
                </w:rPr>
                <w:t>Laura</w:t>
              </w:r>
            </w:hyperlink>
            <w:r w:rsidR="00CE79D0">
              <w:rPr>
                <w:rFonts w:eastAsia="Times New Roman" w:cs="Times New Roman"/>
                <w:color w:val="000000" w:themeColor="text1"/>
                <w:sz w:val="22"/>
                <w:lang w:val="en-GB"/>
              </w:rPr>
              <w:t xml:space="preserve"> Tuck</w:t>
            </w:r>
          </w:p>
        </w:tc>
      </w:tr>
      <w:tr w:rsidR="00F12EB1" w:rsidRPr="00F12EB1" w:rsidTr="003805E7">
        <w:trPr>
          <w:jc w:val="center"/>
        </w:trPr>
        <w:tc>
          <w:tcPr>
            <w:tcW w:w="3420" w:type="dxa"/>
            <w:tcBorders>
              <w:top w:val="nil"/>
              <w:left w:val="single" w:sz="4" w:space="0" w:color="auto"/>
              <w:bottom w:val="nil"/>
              <w:right w:val="nil"/>
            </w:tcBorders>
            <w:hideMark/>
          </w:tcPr>
          <w:p w:rsidR="00F12EB1" w:rsidRPr="00F12EB1" w:rsidRDefault="00F12EB1" w:rsidP="00F12EB1">
            <w:pPr>
              <w:spacing w:after="0" w:line="240" w:lineRule="auto"/>
              <w:jc w:val="right"/>
              <w:rPr>
                <w:rFonts w:eastAsia="Times New Roman" w:cs="Times New Roman"/>
                <w:sz w:val="22"/>
                <w:lang w:val="en-GB"/>
              </w:rPr>
            </w:pPr>
            <w:r w:rsidRPr="00F12EB1">
              <w:rPr>
                <w:rFonts w:eastAsia="Times New Roman" w:cs="Times New Roman"/>
                <w:sz w:val="22"/>
                <w:lang w:val="en-GB"/>
              </w:rPr>
              <w:t>Country Director:</w:t>
            </w:r>
          </w:p>
        </w:tc>
        <w:tc>
          <w:tcPr>
            <w:tcW w:w="360" w:type="dxa"/>
            <w:tcBorders>
              <w:top w:val="nil"/>
              <w:left w:val="nil"/>
              <w:bottom w:val="nil"/>
              <w:right w:val="nil"/>
            </w:tcBorders>
          </w:tcPr>
          <w:p w:rsidR="00F12EB1" w:rsidRPr="00F12EB1" w:rsidRDefault="00F12EB1" w:rsidP="00F12EB1">
            <w:pPr>
              <w:spacing w:after="0" w:line="240" w:lineRule="auto"/>
              <w:jc w:val="center"/>
              <w:rPr>
                <w:rFonts w:eastAsia="Times New Roman" w:cs="Times New Roman"/>
                <w:sz w:val="22"/>
                <w:lang w:val="en-GB"/>
              </w:rPr>
            </w:pPr>
          </w:p>
        </w:tc>
        <w:tc>
          <w:tcPr>
            <w:tcW w:w="3319" w:type="dxa"/>
            <w:tcBorders>
              <w:top w:val="nil"/>
              <w:left w:val="nil"/>
              <w:bottom w:val="nil"/>
              <w:right w:val="single" w:sz="4" w:space="0" w:color="auto"/>
            </w:tcBorders>
            <w:hideMark/>
          </w:tcPr>
          <w:p w:rsidR="00F12EB1" w:rsidRPr="00F12EB1" w:rsidRDefault="00F12EB1" w:rsidP="00F12EB1">
            <w:pPr>
              <w:spacing w:after="0" w:line="240" w:lineRule="auto"/>
              <w:jc w:val="left"/>
              <w:rPr>
                <w:rFonts w:eastAsia="Times New Roman" w:cs="Times New Roman"/>
                <w:sz w:val="22"/>
                <w:lang w:val="en-GB"/>
              </w:rPr>
            </w:pPr>
            <w:r w:rsidRPr="00F12EB1">
              <w:rPr>
                <w:rFonts w:eastAsia="Times New Roman" w:cs="Times New Roman"/>
                <w:color w:val="000000"/>
                <w:sz w:val="22"/>
              </w:rPr>
              <w:t>Saroj Kumar Jha</w:t>
            </w:r>
          </w:p>
        </w:tc>
      </w:tr>
      <w:tr w:rsidR="00F12EB1" w:rsidRPr="00F12EB1" w:rsidTr="003805E7">
        <w:trPr>
          <w:jc w:val="center"/>
        </w:trPr>
        <w:tc>
          <w:tcPr>
            <w:tcW w:w="3420" w:type="dxa"/>
            <w:tcBorders>
              <w:top w:val="nil"/>
              <w:left w:val="single" w:sz="4" w:space="0" w:color="auto"/>
              <w:bottom w:val="nil"/>
              <w:right w:val="nil"/>
            </w:tcBorders>
            <w:hideMark/>
          </w:tcPr>
          <w:p w:rsidR="00F12EB1" w:rsidRPr="00F12EB1" w:rsidRDefault="001D60F9" w:rsidP="00F12EB1">
            <w:pPr>
              <w:spacing w:after="0" w:line="240" w:lineRule="auto"/>
              <w:jc w:val="right"/>
              <w:rPr>
                <w:rFonts w:eastAsia="Times New Roman" w:cs="Times New Roman"/>
                <w:sz w:val="22"/>
                <w:lang w:val="en-GB"/>
              </w:rPr>
            </w:pPr>
            <w:r>
              <w:rPr>
                <w:rFonts w:eastAsia="Times New Roman" w:cs="Times New Roman"/>
                <w:sz w:val="22"/>
                <w:lang w:val="en-GB"/>
              </w:rPr>
              <w:t xml:space="preserve">Acting </w:t>
            </w:r>
            <w:r w:rsidR="00F12EB1" w:rsidRPr="00F12EB1">
              <w:rPr>
                <w:rFonts w:eastAsia="Times New Roman" w:cs="Times New Roman"/>
                <w:sz w:val="22"/>
                <w:lang w:val="en-GB"/>
              </w:rPr>
              <w:t>Sector Director:</w:t>
            </w:r>
          </w:p>
        </w:tc>
        <w:tc>
          <w:tcPr>
            <w:tcW w:w="360" w:type="dxa"/>
            <w:tcBorders>
              <w:top w:val="nil"/>
              <w:left w:val="nil"/>
              <w:bottom w:val="nil"/>
              <w:right w:val="nil"/>
            </w:tcBorders>
          </w:tcPr>
          <w:p w:rsidR="00F12EB1" w:rsidRPr="00F12EB1" w:rsidRDefault="00F12EB1" w:rsidP="00F12EB1">
            <w:pPr>
              <w:spacing w:after="0" w:line="240" w:lineRule="auto"/>
              <w:jc w:val="center"/>
              <w:rPr>
                <w:rFonts w:eastAsia="Times New Roman" w:cs="Times New Roman"/>
                <w:sz w:val="22"/>
                <w:lang w:val="en-GB"/>
              </w:rPr>
            </w:pPr>
          </w:p>
        </w:tc>
        <w:tc>
          <w:tcPr>
            <w:tcW w:w="3319" w:type="dxa"/>
            <w:tcBorders>
              <w:top w:val="nil"/>
              <w:left w:val="nil"/>
              <w:bottom w:val="nil"/>
              <w:right w:val="single" w:sz="4" w:space="0" w:color="auto"/>
            </w:tcBorders>
            <w:hideMark/>
          </w:tcPr>
          <w:p w:rsidR="00F12EB1" w:rsidRPr="00F12EB1" w:rsidRDefault="00D3445E" w:rsidP="00F12EB1">
            <w:pPr>
              <w:spacing w:after="0" w:line="240" w:lineRule="auto"/>
              <w:jc w:val="left"/>
              <w:rPr>
                <w:rFonts w:eastAsia="Times New Roman" w:cs="Times New Roman"/>
                <w:sz w:val="22"/>
                <w:lang w:val="en-GB"/>
              </w:rPr>
            </w:pPr>
            <w:r>
              <w:rPr>
                <w:rFonts w:eastAsia="Times New Roman" w:cs="Times New Roman"/>
                <w:sz w:val="22"/>
                <w:lang w:val="en-GB"/>
              </w:rPr>
              <w:t>Roumeen Islam</w:t>
            </w:r>
          </w:p>
        </w:tc>
      </w:tr>
      <w:tr w:rsidR="00F12EB1" w:rsidRPr="00F12EB1" w:rsidTr="003805E7">
        <w:trPr>
          <w:jc w:val="center"/>
        </w:trPr>
        <w:tc>
          <w:tcPr>
            <w:tcW w:w="3420" w:type="dxa"/>
            <w:tcBorders>
              <w:top w:val="nil"/>
              <w:left w:val="single" w:sz="4" w:space="0" w:color="auto"/>
              <w:bottom w:val="nil"/>
              <w:right w:val="nil"/>
            </w:tcBorders>
            <w:hideMark/>
          </w:tcPr>
          <w:p w:rsidR="00F12EB1" w:rsidRPr="00F12EB1" w:rsidRDefault="00F12EB1" w:rsidP="00F12EB1">
            <w:pPr>
              <w:spacing w:after="0" w:line="240" w:lineRule="auto"/>
              <w:jc w:val="right"/>
              <w:rPr>
                <w:rFonts w:eastAsia="Times New Roman" w:cs="Times New Roman"/>
                <w:sz w:val="22"/>
                <w:lang w:val="en-GB"/>
              </w:rPr>
            </w:pPr>
            <w:r w:rsidRPr="00F12EB1">
              <w:rPr>
                <w:rFonts w:eastAsia="Times New Roman" w:cs="Times New Roman"/>
                <w:sz w:val="22"/>
                <w:lang w:val="en-GB"/>
              </w:rPr>
              <w:t>Sector Manager:</w:t>
            </w:r>
          </w:p>
          <w:p w:rsidR="00F12EB1" w:rsidRPr="00F12EB1" w:rsidRDefault="00F12EB1" w:rsidP="00F12EB1">
            <w:pPr>
              <w:spacing w:after="0" w:line="240" w:lineRule="auto"/>
              <w:jc w:val="right"/>
              <w:rPr>
                <w:rFonts w:eastAsia="Times New Roman" w:cs="Times New Roman"/>
                <w:sz w:val="22"/>
                <w:lang w:val="en-GB"/>
              </w:rPr>
            </w:pPr>
            <w:r w:rsidRPr="00F12EB1">
              <w:rPr>
                <w:rFonts w:eastAsia="Times New Roman" w:cs="Times New Roman"/>
                <w:sz w:val="22"/>
                <w:lang w:val="en-GB"/>
              </w:rPr>
              <w:t>Country Manager:</w:t>
            </w:r>
          </w:p>
        </w:tc>
        <w:tc>
          <w:tcPr>
            <w:tcW w:w="360" w:type="dxa"/>
            <w:tcBorders>
              <w:top w:val="nil"/>
              <w:left w:val="nil"/>
              <w:bottom w:val="nil"/>
              <w:right w:val="nil"/>
            </w:tcBorders>
          </w:tcPr>
          <w:p w:rsidR="00F12EB1" w:rsidRPr="00F12EB1" w:rsidRDefault="00F12EB1" w:rsidP="00F12EB1">
            <w:pPr>
              <w:spacing w:after="0" w:line="240" w:lineRule="auto"/>
              <w:jc w:val="center"/>
              <w:rPr>
                <w:rFonts w:eastAsia="Times New Roman" w:cs="Times New Roman"/>
                <w:sz w:val="22"/>
                <w:lang w:val="en-GB"/>
              </w:rPr>
            </w:pPr>
          </w:p>
        </w:tc>
        <w:tc>
          <w:tcPr>
            <w:tcW w:w="3319" w:type="dxa"/>
            <w:tcBorders>
              <w:top w:val="nil"/>
              <w:left w:val="nil"/>
              <w:bottom w:val="nil"/>
              <w:right w:val="single" w:sz="4" w:space="0" w:color="auto"/>
            </w:tcBorders>
            <w:hideMark/>
          </w:tcPr>
          <w:p w:rsidR="00F12EB1" w:rsidRPr="000E2592" w:rsidRDefault="00F12EB1" w:rsidP="00F12EB1">
            <w:pPr>
              <w:spacing w:after="0" w:line="240" w:lineRule="auto"/>
              <w:jc w:val="left"/>
              <w:rPr>
                <w:rFonts w:eastAsia="Times New Roman" w:cs="Times New Roman"/>
                <w:sz w:val="22"/>
                <w:lang w:val="en-GB"/>
              </w:rPr>
            </w:pPr>
            <w:r w:rsidRPr="00F12EB1">
              <w:rPr>
                <w:rFonts w:eastAsia="Times New Roman" w:cs="Times New Roman"/>
                <w:sz w:val="22"/>
                <w:lang w:val="en-GB"/>
              </w:rPr>
              <w:t>Ivailo Izvorski</w:t>
            </w:r>
          </w:p>
          <w:p w:rsidR="00F12EB1" w:rsidRPr="00F12EB1" w:rsidRDefault="00F12EB1" w:rsidP="00F12EB1">
            <w:pPr>
              <w:spacing w:after="0" w:line="240" w:lineRule="auto"/>
              <w:jc w:val="left"/>
              <w:rPr>
                <w:rFonts w:eastAsia="Times New Roman" w:cs="Times New Roman"/>
                <w:sz w:val="22"/>
                <w:lang w:val="en-GB"/>
              </w:rPr>
            </w:pPr>
            <w:r w:rsidRPr="00F12EB1">
              <w:rPr>
                <w:rFonts w:eastAsia="Times New Roman" w:cs="Times New Roman"/>
                <w:sz w:val="22"/>
                <w:lang w:val="en-GB"/>
              </w:rPr>
              <w:t>Sebnem Akkaya</w:t>
            </w:r>
          </w:p>
        </w:tc>
      </w:tr>
      <w:tr w:rsidR="00F12EB1" w:rsidRPr="00F12EB1" w:rsidTr="003805E7">
        <w:trPr>
          <w:jc w:val="center"/>
        </w:trPr>
        <w:tc>
          <w:tcPr>
            <w:tcW w:w="3420" w:type="dxa"/>
            <w:tcBorders>
              <w:top w:val="nil"/>
              <w:left w:val="single" w:sz="4" w:space="0" w:color="auto"/>
              <w:bottom w:val="single" w:sz="4" w:space="0" w:color="auto"/>
              <w:right w:val="nil"/>
            </w:tcBorders>
            <w:hideMark/>
          </w:tcPr>
          <w:p w:rsidR="00F12EB1" w:rsidRPr="00F12EB1" w:rsidRDefault="00F12EB1" w:rsidP="00F12EB1">
            <w:pPr>
              <w:spacing w:after="0" w:line="240" w:lineRule="auto"/>
              <w:jc w:val="right"/>
              <w:rPr>
                <w:rFonts w:eastAsia="Times New Roman" w:cs="Times New Roman"/>
                <w:sz w:val="22"/>
                <w:lang w:val="en-GB"/>
              </w:rPr>
            </w:pPr>
            <w:r w:rsidRPr="00F12EB1">
              <w:rPr>
                <w:rFonts w:eastAsia="Times New Roman" w:cs="Times New Roman"/>
                <w:sz w:val="22"/>
                <w:lang w:val="en-GB"/>
              </w:rPr>
              <w:t>Task Team Leader:</w:t>
            </w:r>
          </w:p>
        </w:tc>
        <w:tc>
          <w:tcPr>
            <w:tcW w:w="360" w:type="dxa"/>
            <w:tcBorders>
              <w:top w:val="nil"/>
              <w:left w:val="nil"/>
              <w:bottom w:val="single" w:sz="4" w:space="0" w:color="auto"/>
              <w:right w:val="nil"/>
            </w:tcBorders>
          </w:tcPr>
          <w:p w:rsidR="00F12EB1" w:rsidRPr="00F12EB1" w:rsidRDefault="00F12EB1" w:rsidP="00F12EB1">
            <w:pPr>
              <w:spacing w:after="0" w:line="240" w:lineRule="auto"/>
              <w:jc w:val="center"/>
              <w:rPr>
                <w:rFonts w:eastAsia="Times New Roman" w:cs="Times New Roman"/>
                <w:sz w:val="22"/>
                <w:lang w:val="en-GB"/>
              </w:rPr>
            </w:pPr>
          </w:p>
        </w:tc>
        <w:tc>
          <w:tcPr>
            <w:tcW w:w="3319" w:type="dxa"/>
            <w:tcBorders>
              <w:top w:val="nil"/>
              <w:left w:val="nil"/>
              <w:bottom w:val="single" w:sz="4" w:space="0" w:color="auto"/>
              <w:right w:val="single" w:sz="4" w:space="0" w:color="auto"/>
            </w:tcBorders>
            <w:hideMark/>
          </w:tcPr>
          <w:p w:rsidR="00F12EB1" w:rsidRPr="00F12EB1" w:rsidRDefault="007845A2" w:rsidP="00F12EB1">
            <w:pPr>
              <w:spacing w:after="0" w:line="240" w:lineRule="auto"/>
              <w:jc w:val="left"/>
              <w:rPr>
                <w:rFonts w:eastAsia="Times New Roman" w:cs="Times New Roman"/>
                <w:sz w:val="22"/>
                <w:lang w:val="en-GB"/>
              </w:rPr>
            </w:pPr>
            <w:r>
              <w:rPr>
                <w:rFonts w:eastAsia="Times New Roman" w:cs="Times New Roman"/>
                <w:sz w:val="22"/>
                <w:lang w:val="en-GB"/>
              </w:rPr>
              <w:t>Dorsati Mad</w:t>
            </w:r>
            <w:r w:rsidR="00F12EB1" w:rsidRPr="000E2592">
              <w:rPr>
                <w:rFonts w:eastAsia="Times New Roman" w:cs="Times New Roman"/>
                <w:sz w:val="22"/>
                <w:lang w:val="en-GB"/>
              </w:rPr>
              <w:t>ani</w:t>
            </w:r>
          </w:p>
        </w:tc>
      </w:tr>
    </w:tbl>
    <w:p w:rsidR="001D60F9" w:rsidRDefault="001D60F9" w:rsidP="001D60F9">
      <w:pPr>
        <w:jc w:val="center"/>
        <w:rPr>
          <w:rFonts w:cs="Times New Roman"/>
          <w:b/>
          <w:szCs w:val="24"/>
        </w:rPr>
        <w:sectPr w:rsidR="001D60F9" w:rsidSect="000A43C7">
          <w:headerReference w:type="default" r:id="rId11"/>
          <w:footerReference w:type="default" r:id="rId12"/>
          <w:pgSz w:w="12240" w:h="15840"/>
          <w:pgMar w:top="1440" w:right="1440" w:bottom="1440" w:left="1170" w:header="720" w:footer="720" w:gutter="0"/>
          <w:cols w:space="720"/>
          <w:docGrid w:linePitch="360"/>
        </w:sectPr>
      </w:pPr>
    </w:p>
    <w:p w:rsidR="00470E70" w:rsidRPr="005E2BA3" w:rsidRDefault="00470E70" w:rsidP="00470E70">
      <w:pPr>
        <w:spacing w:line="276" w:lineRule="auto"/>
        <w:jc w:val="center"/>
        <w:rPr>
          <w:b/>
          <w:sz w:val="22"/>
        </w:rPr>
      </w:pPr>
      <w:bookmarkStart w:id="1" w:name="_Toc366241485"/>
      <w:r w:rsidRPr="005E2BA3">
        <w:rPr>
          <w:b/>
          <w:sz w:val="22"/>
        </w:rPr>
        <w:lastRenderedPageBreak/>
        <w:t>CONTENTS</w:t>
      </w:r>
    </w:p>
    <w:p w:rsidR="0056192E" w:rsidRDefault="005F2099">
      <w:pPr>
        <w:pStyle w:val="TOC2"/>
        <w:rPr>
          <w:rFonts w:asciiTheme="minorHAnsi" w:hAnsiTheme="minorHAnsi"/>
          <w:noProof/>
          <w:sz w:val="22"/>
        </w:rPr>
      </w:pPr>
      <w:r>
        <w:fldChar w:fldCharType="begin"/>
      </w:r>
      <w:r>
        <w:instrText xml:space="preserve"> TOC \o "1-2" \h \z \u </w:instrText>
      </w:r>
      <w:r>
        <w:fldChar w:fldCharType="separate"/>
      </w:r>
      <w:hyperlink w:anchor="_Toc378151198" w:history="1">
        <w:r w:rsidR="0056192E" w:rsidRPr="004B5CA1">
          <w:rPr>
            <w:rStyle w:val="Hyperlink"/>
            <w:noProof/>
          </w:rPr>
          <w:t>I.</w:t>
        </w:r>
        <w:r w:rsidR="0056192E">
          <w:rPr>
            <w:rFonts w:asciiTheme="minorHAnsi" w:hAnsiTheme="minorHAnsi"/>
            <w:noProof/>
            <w:sz w:val="22"/>
          </w:rPr>
          <w:tab/>
        </w:r>
        <w:r w:rsidR="0056192E" w:rsidRPr="004B5CA1">
          <w:rPr>
            <w:rStyle w:val="Hyperlink"/>
            <w:noProof/>
          </w:rPr>
          <w:t>Why Does The Trade Policy Framework Matter?</w:t>
        </w:r>
        <w:r w:rsidR="0056192E">
          <w:rPr>
            <w:noProof/>
            <w:webHidden/>
          </w:rPr>
          <w:tab/>
        </w:r>
        <w:r w:rsidR="0056192E">
          <w:rPr>
            <w:noProof/>
            <w:webHidden/>
          </w:rPr>
          <w:fldChar w:fldCharType="begin"/>
        </w:r>
        <w:r w:rsidR="0056192E">
          <w:rPr>
            <w:noProof/>
            <w:webHidden/>
          </w:rPr>
          <w:instrText xml:space="preserve"> PAGEREF _Toc378151198 \h </w:instrText>
        </w:r>
        <w:r w:rsidR="0056192E">
          <w:rPr>
            <w:noProof/>
            <w:webHidden/>
          </w:rPr>
        </w:r>
        <w:r w:rsidR="0056192E">
          <w:rPr>
            <w:noProof/>
            <w:webHidden/>
          </w:rPr>
          <w:fldChar w:fldCharType="separate"/>
        </w:r>
        <w:r w:rsidR="0056192E">
          <w:rPr>
            <w:noProof/>
            <w:webHidden/>
          </w:rPr>
          <w:t>1</w:t>
        </w:r>
        <w:r w:rsidR="0056192E">
          <w:rPr>
            <w:noProof/>
            <w:webHidden/>
          </w:rPr>
          <w:fldChar w:fldCharType="end"/>
        </w:r>
      </w:hyperlink>
    </w:p>
    <w:p w:rsidR="0056192E" w:rsidRDefault="000813E2">
      <w:pPr>
        <w:pStyle w:val="TOC2"/>
        <w:rPr>
          <w:rFonts w:asciiTheme="minorHAnsi" w:hAnsiTheme="minorHAnsi"/>
          <w:noProof/>
          <w:sz w:val="22"/>
        </w:rPr>
      </w:pPr>
      <w:hyperlink w:anchor="_Toc378151199" w:history="1">
        <w:r w:rsidR="0056192E" w:rsidRPr="004B5CA1">
          <w:rPr>
            <w:rStyle w:val="Hyperlink"/>
            <w:noProof/>
          </w:rPr>
          <w:t>II.</w:t>
        </w:r>
        <w:r w:rsidR="0056192E">
          <w:rPr>
            <w:rFonts w:asciiTheme="minorHAnsi" w:hAnsiTheme="minorHAnsi"/>
            <w:noProof/>
            <w:sz w:val="22"/>
          </w:rPr>
          <w:tab/>
        </w:r>
        <w:r w:rsidR="0056192E" w:rsidRPr="004B5CA1">
          <w:rPr>
            <w:rStyle w:val="Hyperlink"/>
            <w:noProof/>
          </w:rPr>
          <w:t>How Has Trade Performed Since Early 2011?</w:t>
        </w:r>
        <w:r w:rsidR="0056192E">
          <w:rPr>
            <w:noProof/>
            <w:webHidden/>
          </w:rPr>
          <w:tab/>
        </w:r>
        <w:r w:rsidR="0056192E">
          <w:rPr>
            <w:noProof/>
            <w:webHidden/>
          </w:rPr>
          <w:fldChar w:fldCharType="begin"/>
        </w:r>
        <w:r w:rsidR="0056192E">
          <w:rPr>
            <w:noProof/>
            <w:webHidden/>
          </w:rPr>
          <w:instrText xml:space="preserve"> PAGEREF _Toc378151199 \h </w:instrText>
        </w:r>
        <w:r w:rsidR="0056192E">
          <w:rPr>
            <w:noProof/>
            <w:webHidden/>
          </w:rPr>
        </w:r>
        <w:r w:rsidR="0056192E">
          <w:rPr>
            <w:noProof/>
            <w:webHidden/>
          </w:rPr>
          <w:fldChar w:fldCharType="separate"/>
        </w:r>
        <w:r w:rsidR="0056192E">
          <w:rPr>
            <w:noProof/>
            <w:webHidden/>
          </w:rPr>
          <w:t>3</w:t>
        </w:r>
        <w:r w:rsidR="0056192E">
          <w:rPr>
            <w:noProof/>
            <w:webHidden/>
          </w:rPr>
          <w:fldChar w:fldCharType="end"/>
        </w:r>
      </w:hyperlink>
    </w:p>
    <w:p w:rsidR="0056192E" w:rsidRDefault="000813E2">
      <w:pPr>
        <w:pStyle w:val="TOC2"/>
        <w:rPr>
          <w:rFonts w:asciiTheme="minorHAnsi" w:hAnsiTheme="minorHAnsi"/>
          <w:noProof/>
          <w:sz w:val="22"/>
        </w:rPr>
      </w:pPr>
      <w:hyperlink w:anchor="_Toc378151200" w:history="1">
        <w:r w:rsidR="0056192E" w:rsidRPr="004B5CA1">
          <w:rPr>
            <w:rStyle w:val="Hyperlink"/>
            <w:noProof/>
          </w:rPr>
          <w:t>III.</w:t>
        </w:r>
        <w:r w:rsidR="0056192E">
          <w:rPr>
            <w:rFonts w:asciiTheme="minorHAnsi" w:hAnsiTheme="minorHAnsi"/>
            <w:noProof/>
            <w:sz w:val="22"/>
          </w:rPr>
          <w:tab/>
        </w:r>
        <w:r w:rsidR="0056192E" w:rsidRPr="004B5CA1">
          <w:rPr>
            <w:rStyle w:val="Hyperlink"/>
            <w:noProof/>
          </w:rPr>
          <w:t>Joining the WTO Will Offset Some of the Negative Impacts of Joining the Customs Union</w:t>
        </w:r>
        <w:r w:rsidR="0056192E">
          <w:rPr>
            <w:noProof/>
            <w:webHidden/>
          </w:rPr>
          <w:tab/>
        </w:r>
        <w:r w:rsidR="0056192E">
          <w:rPr>
            <w:noProof/>
            <w:webHidden/>
          </w:rPr>
          <w:fldChar w:fldCharType="begin"/>
        </w:r>
        <w:r w:rsidR="0056192E">
          <w:rPr>
            <w:noProof/>
            <w:webHidden/>
          </w:rPr>
          <w:instrText xml:space="preserve"> PAGEREF _Toc378151200 \h </w:instrText>
        </w:r>
        <w:r w:rsidR="0056192E">
          <w:rPr>
            <w:noProof/>
            <w:webHidden/>
          </w:rPr>
        </w:r>
        <w:r w:rsidR="0056192E">
          <w:rPr>
            <w:noProof/>
            <w:webHidden/>
          </w:rPr>
          <w:fldChar w:fldCharType="separate"/>
        </w:r>
        <w:r w:rsidR="0056192E">
          <w:rPr>
            <w:noProof/>
            <w:webHidden/>
          </w:rPr>
          <w:t>9</w:t>
        </w:r>
        <w:r w:rsidR="0056192E">
          <w:rPr>
            <w:noProof/>
            <w:webHidden/>
          </w:rPr>
          <w:fldChar w:fldCharType="end"/>
        </w:r>
      </w:hyperlink>
    </w:p>
    <w:p w:rsidR="0056192E" w:rsidRDefault="000813E2">
      <w:pPr>
        <w:pStyle w:val="TOC2"/>
        <w:rPr>
          <w:rFonts w:asciiTheme="minorHAnsi" w:hAnsiTheme="minorHAnsi"/>
          <w:noProof/>
          <w:sz w:val="22"/>
        </w:rPr>
      </w:pPr>
      <w:hyperlink w:anchor="_Toc378151201" w:history="1">
        <w:r w:rsidR="0056192E" w:rsidRPr="004B5CA1">
          <w:rPr>
            <w:rStyle w:val="Hyperlink"/>
            <w:noProof/>
          </w:rPr>
          <w:t>IV.</w:t>
        </w:r>
        <w:r w:rsidR="0056192E">
          <w:rPr>
            <w:rFonts w:asciiTheme="minorHAnsi" w:hAnsiTheme="minorHAnsi"/>
            <w:noProof/>
            <w:sz w:val="22"/>
          </w:rPr>
          <w:tab/>
        </w:r>
        <w:r w:rsidR="0056192E" w:rsidRPr="004B5CA1">
          <w:rPr>
            <w:rStyle w:val="Hyperlink"/>
            <w:noProof/>
          </w:rPr>
          <w:t>Joining the WTO is Expected to Return Sourcing of Intermediate Inputs to  Pre-CU Patterns</w:t>
        </w:r>
        <w:r w:rsidR="0056192E">
          <w:rPr>
            <w:noProof/>
            <w:webHidden/>
          </w:rPr>
          <w:tab/>
        </w:r>
        <w:r w:rsidR="0056192E">
          <w:rPr>
            <w:noProof/>
            <w:webHidden/>
          </w:rPr>
          <w:fldChar w:fldCharType="begin"/>
        </w:r>
        <w:r w:rsidR="0056192E">
          <w:rPr>
            <w:noProof/>
            <w:webHidden/>
          </w:rPr>
          <w:instrText xml:space="preserve"> PAGEREF _Toc378151201 \h </w:instrText>
        </w:r>
        <w:r w:rsidR="0056192E">
          <w:rPr>
            <w:noProof/>
            <w:webHidden/>
          </w:rPr>
        </w:r>
        <w:r w:rsidR="0056192E">
          <w:rPr>
            <w:noProof/>
            <w:webHidden/>
          </w:rPr>
          <w:fldChar w:fldCharType="separate"/>
        </w:r>
        <w:r w:rsidR="0056192E">
          <w:rPr>
            <w:noProof/>
            <w:webHidden/>
          </w:rPr>
          <w:t>14</w:t>
        </w:r>
        <w:r w:rsidR="0056192E">
          <w:rPr>
            <w:noProof/>
            <w:webHidden/>
          </w:rPr>
          <w:fldChar w:fldCharType="end"/>
        </w:r>
      </w:hyperlink>
    </w:p>
    <w:p w:rsidR="0056192E" w:rsidRDefault="000813E2">
      <w:pPr>
        <w:pStyle w:val="TOC2"/>
        <w:rPr>
          <w:rFonts w:asciiTheme="minorHAnsi" w:hAnsiTheme="minorHAnsi"/>
          <w:noProof/>
          <w:sz w:val="22"/>
        </w:rPr>
      </w:pPr>
      <w:hyperlink w:anchor="_Toc378151202" w:history="1">
        <w:r w:rsidR="0056192E" w:rsidRPr="004B5CA1">
          <w:rPr>
            <w:rStyle w:val="Hyperlink"/>
            <w:noProof/>
          </w:rPr>
          <w:t>V.</w:t>
        </w:r>
        <w:r w:rsidR="0056192E">
          <w:rPr>
            <w:rFonts w:asciiTheme="minorHAnsi" w:hAnsiTheme="minorHAnsi"/>
            <w:noProof/>
            <w:sz w:val="22"/>
          </w:rPr>
          <w:tab/>
        </w:r>
        <w:r w:rsidR="0056192E" w:rsidRPr="004B5CA1">
          <w:rPr>
            <w:rStyle w:val="Hyperlink"/>
            <w:noProof/>
          </w:rPr>
          <w:t>Kazakhstan Should Assess Carefully Before Pursuing New FTAs</w:t>
        </w:r>
        <w:r w:rsidR="0056192E">
          <w:rPr>
            <w:noProof/>
            <w:webHidden/>
          </w:rPr>
          <w:tab/>
        </w:r>
        <w:r w:rsidR="0056192E">
          <w:rPr>
            <w:noProof/>
            <w:webHidden/>
          </w:rPr>
          <w:fldChar w:fldCharType="begin"/>
        </w:r>
        <w:r w:rsidR="0056192E">
          <w:rPr>
            <w:noProof/>
            <w:webHidden/>
          </w:rPr>
          <w:instrText xml:space="preserve"> PAGEREF _Toc378151202 \h </w:instrText>
        </w:r>
        <w:r w:rsidR="0056192E">
          <w:rPr>
            <w:noProof/>
            <w:webHidden/>
          </w:rPr>
        </w:r>
        <w:r w:rsidR="0056192E">
          <w:rPr>
            <w:noProof/>
            <w:webHidden/>
          </w:rPr>
          <w:fldChar w:fldCharType="separate"/>
        </w:r>
        <w:r w:rsidR="0056192E">
          <w:rPr>
            <w:noProof/>
            <w:webHidden/>
          </w:rPr>
          <w:t>18</w:t>
        </w:r>
        <w:r w:rsidR="0056192E">
          <w:rPr>
            <w:noProof/>
            <w:webHidden/>
          </w:rPr>
          <w:fldChar w:fldCharType="end"/>
        </w:r>
      </w:hyperlink>
    </w:p>
    <w:p w:rsidR="0056192E" w:rsidRDefault="000813E2">
      <w:pPr>
        <w:pStyle w:val="TOC2"/>
        <w:rPr>
          <w:rFonts w:asciiTheme="minorHAnsi" w:hAnsiTheme="minorHAnsi"/>
          <w:noProof/>
          <w:sz w:val="22"/>
        </w:rPr>
      </w:pPr>
      <w:hyperlink w:anchor="_Toc378151203" w:history="1">
        <w:r w:rsidR="0056192E" w:rsidRPr="004B5CA1">
          <w:rPr>
            <w:rStyle w:val="Hyperlink"/>
            <w:noProof/>
          </w:rPr>
          <w:t>VI.</w:t>
        </w:r>
        <w:r w:rsidR="0056192E">
          <w:rPr>
            <w:rFonts w:asciiTheme="minorHAnsi" w:hAnsiTheme="minorHAnsi"/>
            <w:noProof/>
            <w:sz w:val="22"/>
          </w:rPr>
          <w:tab/>
        </w:r>
        <w:r w:rsidR="0056192E" w:rsidRPr="004B5CA1">
          <w:rPr>
            <w:rStyle w:val="Hyperlink"/>
            <w:noProof/>
          </w:rPr>
          <w:t>Conclusion</w:t>
        </w:r>
        <w:r w:rsidR="0056192E">
          <w:rPr>
            <w:noProof/>
            <w:webHidden/>
          </w:rPr>
          <w:tab/>
        </w:r>
        <w:r w:rsidR="0056192E">
          <w:rPr>
            <w:noProof/>
            <w:webHidden/>
          </w:rPr>
          <w:fldChar w:fldCharType="begin"/>
        </w:r>
        <w:r w:rsidR="0056192E">
          <w:rPr>
            <w:noProof/>
            <w:webHidden/>
          </w:rPr>
          <w:instrText xml:space="preserve"> PAGEREF _Toc378151203 \h </w:instrText>
        </w:r>
        <w:r w:rsidR="0056192E">
          <w:rPr>
            <w:noProof/>
            <w:webHidden/>
          </w:rPr>
        </w:r>
        <w:r w:rsidR="0056192E">
          <w:rPr>
            <w:noProof/>
            <w:webHidden/>
          </w:rPr>
          <w:fldChar w:fldCharType="separate"/>
        </w:r>
        <w:r w:rsidR="0056192E">
          <w:rPr>
            <w:noProof/>
            <w:webHidden/>
          </w:rPr>
          <w:t>23</w:t>
        </w:r>
        <w:r w:rsidR="0056192E">
          <w:rPr>
            <w:noProof/>
            <w:webHidden/>
          </w:rPr>
          <w:fldChar w:fldCharType="end"/>
        </w:r>
      </w:hyperlink>
    </w:p>
    <w:p w:rsidR="0056192E" w:rsidRDefault="000813E2">
      <w:pPr>
        <w:pStyle w:val="TOC2"/>
        <w:rPr>
          <w:rFonts w:asciiTheme="minorHAnsi" w:hAnsiTheme="minorHAnsi"/>
          <w:noProof/>
          <w:sz w:val="22"/>
        </w:rPr>
      </w:pPr>
      <w:hyperlink w:anchor="_Toc378151204" w:history="1">
        <w:r w:rsidR="0056192E" w:rsidRPr="004B5CA1">
          <w:rPr>
            <w:rStyle w:val="Hyperlink"/>
            <w:noProof/>
          </w:rPr>
          <w:t>References</w:t>
        </w:r>
        <w:r w:rsidR="0056192E">
          <w:rPr>
            <w:noProof/>
            <w:webHidden/>
          </w:rPr>
          <w:tab/>
        </w:r>
        <w:r w:rsidR="0056192E">
          <w:rPr>
            <w:noProof/>
            <w:webHidden/>
          </w:rPr>
          <w:fldChar w:fldCharType="begin"/>
        </w:r>
        <w:r w:rsidR="0056192E">
          <w:rPr>
            <w:noProof/>
            <w:webHidden/>
          </w:rPr>
          <w:instrText xml:space="preserve"> PAGEREF _Toc378151204 \h </w:instrText>
        </w:r>
        <w:r w:rsidR="0056192E">
          <w:rPr>
            <w:noProof/>
            <w:webHidden/>
          </w:rPr>
        </w:r>
        <w:r w:rsidR="0056192E">
          <w:rPr>
            <w:noProof/>
            <w:webHidden/>
          </w:rPr>
          <w:fldChar w:fldCharType="separate"/>
        </w:r>
        <w:r w:rsidR="0056192E">
          <w:rPr>
            <w:noProof/>
            <w:webHidden/>
          </w:rPr>
          <w:t>24</w:t>
        </w:r>
        <w:r w:rsidR="0056192E">
          <w:rPr>
            <w:noProof/>
            <w:webHidden/>
          </w:rPr>
          <w:fldChar w:fldCharType="end"/>
        </w:r>
      </w:hyperlink>
    </w:p>
    <w:p w:rsidR="00470E70" w:rsidRDefault="005F2099" w:rsidP="009A0020">
      <w:pPr>
        <w:spacing w:after="0" w:line="240" w:lineRule="auto"/>
        <w:jc w:val="left"/>
      </w:pPr>
      <w:r>
        <w:rPr>
          <w:sz w:val="20"/>
        </w:rPr>
        <w:fldChar w:fldCharType="end"/>
      </w:r>
    </w:p>
    <w:p w:rsidR="00470E70" w:rsidRPr="005E2BA3" w:rsidRDefault="00470E70" w:rsidP="006E29FB">
      <w:pPr>
        <w:spacing w:line="240" w:lineRule="auto"/>
        <w:jc w:val="center"/>
        <w:rPr>
          <w:b/>
          <w:sz w:val="22"/>
        </w:rPr>
      </w:pPr>
      <w:r w:rsidRPr="005E2BA3">
        <w:rPr>
          <w:b/>
          <w:sz w:val="22"/>
        </w:rPr>
        <w:t>TABLES</w:t>
      </w:r>
    </w:p>
    <w:p w:rsidR="0056192E" w:rsidRDefault="009A0020">
      <w:pPr>
        <w:pStyle w:val="TableofFigures"/>
        <w:tabs>
          <w:tab w:val="right" w:leader="dot" w:pos="9620"/>
        </w:tabs>
        <w:rPr>
          <w:rFonts w:asciiTheme="minorHAnsi" w:hAnsiTheme="minorHAnsi"/>
          <w:noProof/>
          <w:sz w:val="22"/>
        </w:rPr>
      </w:pPr>
      <w:r w:rsidRPr="005E2BA3">
        <w:rPr>
          <w:b/>
        </w:rPr>
        <w:fldChar w:fldCharType="begin"/>
      </w:r>
      <w:r w:rsidRPr="005E2BA3">
        <w:rPr>
          <w:b/>
        </w:rPr>
        <w:instrText xml:space="preserve"> TOC \h \z \c "Table" </w:instrText>
      </w:r>
      <w:r w:rsidRPr="005E2BA3">
        <w:rPr>
          <w:b/>
        </w:rPr>
        <w:fldChar w:fldCharType="separate"/>
      </w:r>
      <w:hyperlink w:anchor="_Toc378151209" w:history="1">
        <w:r w:rsidR="0056192E" w:rsidRPr="00067682">
          <w:rPr>
            <w:rStyle w:val="Hyperlink"/>
            <w:noProof/>
          </w:rPr>
          <w:t>Table 1:</w:t>
        </w:r>
        <w:r w:rsidR="0056192E" w:rsidRPr="00067682">
          <w:rPr>
            <w:rStyle w:val="Hyperlink"/>
            <w:rFonts w:eastAsia="Times New Roman" w:cs="Times New Roman"/>
            <w:noProof/>
          </w:rPr>
          <w:t xml:space="preserve"> Exports to Select Partners</w:t>
        </w:r>
        <w:r w:rsidR="0056192E">
          <w:rPr>
            <w:noProof/>
            <w:webHidden/>
          </w:rPr>
          <w:tab/>
        </w:r>
        <w:r w:rsidR="0056192E">
          <w:rPr>
            <w:noProof/>
            <w:webHidden/>
          </w:rPr>
          <w:fldChar w:fldCharType="begin"/>
        </w:r>
        <w:r w:rsidR="0056192E">
          <w:rPr>
            <w:noProof/>
            <w:webHidden/>
          </w:rPr>
          <w:instrText xml:space="preserve"> PAGEREF _Toc378151209 \h </w:instrText>
        </w:r>
        <w:r w:rsidR="0056192E">
          <w:rPr>
            <w:noProof/>
            <w:webHidden/>
          </w:rPr>
        </w:r>
        <w:r w:rsidR="0056192E">
          <w:rPr>
            <w:noProof/>
            <w:webHidden/>
          </w:rPr>
          <w:fldChar w:fldCharType="separate"/>
        </w:r>
        <w:r w:rsidR="0056192E">
          <w:rPr>
            <w:noProof/>
            <w:webHidden/>
          </w:rPr>
          <w:t>4</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10" w:history="1">
        <w:r w:rsidR="0056192E" w:rsidRPr="00067682">
          <w:rPr>
            <w:rStyle w:val="Hyperlink"/>
            <w:noProof/>
          </w:rPr>
          <w:t xml:space="preserve">Table 2: </w:t>
        </w:r>
        <w:r w:rsidR="0056192E" w:rsidRPr="00067682">
          <w:rPr>
            <w:rStyle w:val="Hyperlink"/>
            <w:rFonts w:eastAsia="Times New Roman"/>
            <w:noProof/>
          </w:rPr>
          <w:t>Kazakhstan’s Exports Have Become More Concentrated after the 2008 Crisis</w:t>
        </w:r>
        <w:r w:rsidR="0056192E">
          <w:rPr>
            <w:noProof/>
            <w:webHidden/>
          </w:rPr>
          <w:tab/>
        </w:r>
        <w:r w:rsidR="0056192E">
          <w:rPr>
            <w:noProof/>
            <w:webHidden/>
          </w:rPr>
          <w:fldChar w:fldCharType="begin"/>
        </w:r>
        <w:r w:rsidR="0056192E">
          <w:rPr>
            <w:noProof/>
            <w:webHidden/>
          </w:rPr>
          <w:instrText xml:space="preserve"> PAGEREF _Toc378151210 \h </w:instrText>
        </w:r>
        <w:r w:rsidR="0056192E">
          <w:rPr>
            <w:noProof/>
            <w:webHidden/>
          </w:rPr>
        </w:r>
        <w:r w:rsidR="0056192E">
          <w:rPr>
            <w:noProof/>
            <w:webHidden/>
          </w:rPr>
          <w:fldChar w:fldCharType="separate"/>
        </w:r>
        <w:r w:rsidR="0056192E">
          <w:rPr>
            <w:noProof/>
            <w:webHidden/>
          </w:rPr>
          <w:t>4</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11" w:history="1">
        <w:r w:rsidR="0056192E" w:rsidRPr="00067682">
          <w:rPr>
            <w:rStyle w:val="Hyperlink"/>
            <w:noProof/>
          </w:rPr>
          <w:t>Table 3:</w:t>
        </w:r>
        <w:r w:rsidR="0056192E" w:rsidRPr="00067682">
          <w:rPr>
            <w:rStyle w:val="Hyperlink"/>
            <w:rFonts w:eastAsia="Times New Roman" w:cs="Times New Roman"/>
            <w:noProof/>
          </w:rPr>
          <w:t xml:space="preserve"> Imports From Select Partners</w:t>
        </w:r>
        <w:r w:rsidR="0056192E">
          <w:rPr>
            <w:noProof/>
            <w:webHidden/>
          </w:rPr>
          <w:tab/>
        </w:r>
        <w:r w:rsidR="0056192E">
          <w:rPr>
            <w:noProof/>
            <w:webHidden/>
          </w:rPr>
          <w:fldChar w:fldCharType="begin"/>
        </w:r>
        <w:r w:rsidR="0056192E">
          <w:rPr>
            <w:noProof/>
            <w:webHidden/>
          </w:rPr>
          <w:instrText xml:space="preserve"> PAGEREF _Toc378151211 \h </w:instrText>
        </w:r>
        <w:r w:rsidR="0056192E">
          <w:rPr>
            <w:noProof/>
            <w:webHidden/>
          </w:rPr>
        </w:r>
        <w:r w:rsidR="0056192E">
          <w:rPr>
            <w:noProof/>
            <w:webHidden/>
          </w:rPr>
          <w:fldChar w:fldCharType="separate"/>
        </w:r>
        <w:r w:rsidR="0056192E">
          <w:rPr>
            <w:noProof/>
            <w:webHidden/>
          </w:rPr>
          <w:t>6</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12" w:history="1">
        <w:r w:rsidR="0056192E" w:rsidRPr="00067682">
          <w:rPr>
            <w:rStyle w:val="Hyperlink"/>
            <w:noProof/>
          </w:rPr>
          <w:t xml:space="preserve">Table 4: </w:t>
        </w:r>
        <w:r w:rsidR="0056192E" w:rsidRPr="00067682">
          <w:rPr>
            <w:rStyle w:val="Hyperlink"/>
            <w:rFonts w:eastAsia="Times New Roman"/>
            <w:noProof/>
          </w:rPr>
          <w:t>Change in Import  Shares in Kazakhstani Market Since the Custom Union</w:t>
        </w:r>
        <w:r w:rsidR="0056192E">
          <w:rPr>
            <w:noProof/>
            <w:webHidden/>
          </w:rPr>
          <w:tab/>
        </w:r>
        <w:r w:rsidR="0056192E">
          <w:rPr>
            <w:noProof/>
            <w:webHidden/>
          </w:rPr>
          <w:fldChar w:fldCharType="begin"/>
        </w:r>
        <w:r w:rsidR="0056192E">
          <w:rPr>
            <w:noProof/>
            <w:webHidden/>
          </w:rPr>
          <w:instrText xml:space="preserve"> PAGEREF _Toc378151212 \h </w:instrText>
        </w:r>
        <w:r w:rsidR="0056192E">
          <w:rPr>
            <w:noProof/>
            <w:webHidden/>
          </w:rPr>
        </w:r>
        <w:r w:rsidR="0056192E">
          <w:rPr>
            <w:noProof/>
            <w:webHidden/>
          </w:rPr>
          <w:fldChar w:fldCharType="separate"/>
        </w:r>
        <w:r w:rsidR="0056192E">
          <w:rPr>
            <w:noProof/>
            <w:webHidden/>
          </w:rPr>
          <w:t>7</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13" w:history="1">
        <w:r w:rsidR="0056192E" w:rsidRPr="00067682">
          <w:rPr>
            <w:rStyle w:val="Hyperlink"/>
            <w:noProof/>
          </w:rPr>
          <w:t xml:space="preserve">Table 5: </w:t>
        </w:r>
        <w:r w:rsidR="0056192E" w:rsidRPr="00067682">
          <w:rPr>
            <w:rStyle w:val="Hyperlink"/>
            <w:rFonts w:eastAsia="Times New Roman"/>
            <w:noProof/>
          </w:rPr>
          <w:t>Imports from and Exports to CU Partners</w:t>
        </w:r>
        <w:r w:rsidR="0056192E">
          <w:rPr>
            <w:noProof/>
            <w:webHidden/>
          </w:rPr>
          <w:tab/>
        </w:r>
        <w:r w:rsidR="0056192E">
          <w:rPr>
            <w:noProof/>
            <w:webHidden/>
          </w:rPr>
          <w:fldChar w:fldCharType="begin"/>
        </w:r>
        <w:r w:rsidR="0056192E">
          <w:rPr>
            <w:noProof/>
            <w:webHidden/>
          </w:rPr>
          <w:instrText xml:space="preserve"> PAGEREF _Toc378151213 \h </w:instrText>
        </w:r>
        <w:r w:rsidR="0056192E">
          <w:rPr>
            <w:noProof/>
            <w:webHidden/>
          </w:rPr>
        </w:r>
        <w:r w:rsidR="0056192E">
          <w:rPr>
            <w:noProof/>
            <w:webHidden/>
          </w:rPr>
          <w:fldChar w:fldCharType="separate"/>
        </w:r>
        <w:r w:rsidR="0056192E">
          <w:rPr>
            <w:noProof/>
            <w:webHidden/>
          </w:rPr>
          <w:t>7</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14" w:history="1">
        <w:r w:rsidR="0056192E" w:rsidRPr="00067682">
          <w:rPr>
            <w:rStyle w:val="Hyperlink"/>
            <w:noProof/>
          </w:rPr>
          <w:t>Table 6: By 2020 Mean Tariffs Will be Close to Pre-CU Rates</w:t>
        </w:r>
        <w:r w:rsidR="0056192E">
          <w:rPr>
            <w:noProof/>
            <w:webHidden/>
          </w:rPr>
          <w:tab/>
        </w:r>
        <w:r w:rsidR="0056192E">
          <w:rPr>
            <w:noProof/>
            <w:webHidden/>
          </w:rPr>
          <w:fldChar w:fldCharType="begin"/>
        </w:r>
        <w:r w:rsidR="0056192E">
          <w:rPr>
            <w:noProof/>
            <w:webHidden/>
          </w:rPr>
          <w:instrText xml:space="preserve"> PAGEREF _Toc378151214 \h </w:instrText>
        </w:r>
        <w:r w:rsidR="0056192E">
          <w:rPr>
            <w:noProof/>
            <w:webHidden/>
          </w:rPr>
        </w:r>
        <w:r w:rsidR="0056192E">
          <w:rPr>
            <w:noProof/>
            <w:webHidden/>
          </w:rPr>
          <w:fldChar w:fldCharType="separate"/>
        </w:r>
        <w:r w:rsidR="0056192E">
          <w:rPr>
            <w:noProof/>
            <w:webHidden/>
          </w:rPr>
          <w:t>10</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15" w:history="1">
        <w:r w:rsidR="0056192E" w:rsidRPr="00067682">
          <w:rPr>
            <w:rStyle w:val="Hyperlink"/>
            <w:noProof/>
          </w:rPr>
          <w:t>Table 7:</w:t>
        </w:r>
        <w:r w:rsidR="0056192E" w:rsidRPr="00067682">
          <w:rPr>
            <w:rStyle w:val="Hyperlink"/>
            <w:rFonts w:eastAsia="Times New Roman"/>
            <w:noProof/>
          </w:rPr>
          <w:t xml:space="preserve"> Kazakhstan Will Benefit From Joining the WTO, Especially if it Eases Non-Tariff Barriers to Trade</w:t>
        </w:r>
        <w:r w:rsidR="0056192E">
          <w:rPr>
            <w:noProof/>
            <w:webHidden/>
          </w:rPr>
          <w:tab/>
        </w:r>
        <w:r w:rsidR="0056192E">
          <w:rPr>
            <w:noProof/>
            <w:webHidden/>
          </w:rPr>
          <w:fldChar w:fldCharType="begin"/>
        </w:r>
        <w:r w:rsidR="0056192E">
          <w:rPr>
            <w:noProof/>
            <w:webHidden/>
          </w:rPr>
          <w:instrText xml:space="preserve"> PAGEREF _Toc378151215 \h </w:instrText>
        </w:r>
        <w:r w:rsidR="0056192E">
          <w:rPr>
            <w:noProof/>
            <w:webHidden/>
          </w:rPr>
        </w:r>
        <w:r w:rsidR="0056192E">
          <w:rPr>
            <w:noProof/>
            <w:webHidden/>
          </w:rPr>
          <w:fldChar w:fldCharType="separate"/>
        </w:r>
        <w:r w:rsidR="0056192E">
          <w:rPr>
            <w:noProof/>
            <w:webHidden/>
          </w:rPr>
          <w:t>12</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16" w:history="1">
        <w:r w:rsidR="0056192E" w:rsidRPr="00067682">
          <w:rPr>
            <w:rStyle w:val="Hyperlink"/>
            <w:noProof/>
          </w:rPr>
          <w:t xml:space="preserve">Table 8: </w:t>
        </w:r>
        <w:r w:rsidR="0056192E" w:rsidRPr="00067682">
          <w:rPr>
            <w:rStyle w:val="Hyperlink"/>
            <w:rFonts w:eastAsia="Times New Roman"/>
            <w:noProof/>
            <w:lang w:val="en-GB"/>
          </w:rPr>
          <w:t>Differentiated Sectoral Output and Employment Impact  From Joining the WTO</w:t>
        </w:r>
        <w:r w:rsidR="0056192E">
          <w:rPr>
            <w:noProof/>
            <w:webHidden/>
          </w:rPr>
          <w:tab/>
        </w:r>
        <w:r w:rsidR="0056192E">
          <w:rPr>
            <w:noProof/>
            <w:webHidden/>
          </w:rPr>
          <w:fldChar w:fldCharType="begin"/>
        </w:r>
        <w:r w:rsidR="0056192E">
          <w:rPr>
            <w:noProof/>
            <w:webHidden/>
          </w:rPr>
          <w:instrText xml:space="preserve"> PAGEREF _Toc378151216 \h </w:instrText>
        </w:r>
        <w:r w:rsidR="0056192E">
          <w:rPr>
            <w:noProof/>
            <w:webHidden/>
          </w:rPr>
        </w:r>
        <w:r w:rsidR="0056192E">
          <w:rPr>
            <w:noProof/>
            <w:webHidden/>
          </w:rPr>
          <w:fldChar w:fldCharType="separate"/>
        </w:r>
        <w:r w:rsidR="0056192E">
          <w:rPr>
            <w:noProof/>
            <w:webHidden/>
          </w:rPr>
          <w:t>13</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17" w:history="1">
        <w:r w:rsidR="0056192E" w:rsidRPr="00067682">
          <w:rPr>
            <w:rStyle w:val="Hyperlink"/>
            <w:noProof/>
          </w:rPr>
          <w:t xml:space="preserve">Table 9: </w:t>
        </w:r>
        <w:r w:rsidR="0056192E" w:rsidRPr="00067682">
          <w:rPr>
            <w:rStyle w:val="Hyperlink"/>
            <w:rFonts w:eastAsia="Times New Roman"/>
            <w:noProof/>
          </w:rPr>
          <w:t>Kazakhstan's Intermediate Imports by Market</w:t>
        </w:r>
        <w:r w:rsidR="0056192E">
          <w:rPr>
            <w:noProof/>
            <w:webHidden/>
          </w:rPr>
          <w:tab/>
        </w:r>
        <w:r w:rsidR="0056192E">
          <w:rPr>
            <w:noProof/>
            <w:webHidden/>
          </w:rPr>
          <w:fldChar w:fldCharType="begin"/>
        </w:r>
        <w:r w:rsidR="0056192E">
          <w:rPr>
            <w:noProof/>
            <w:webHidden/>
          </w:rPr>
          <w:instrText xml:space="preserve"> PAGEREF _Toc378151217 \h </w:instrText>
        </w:r>
        <w:r w:rsidR="0056192E">
          <w:rPr>
            <w:noProof/>
            <w:webHidden/>
          </w:rPr>
        </w:r>
        <w:r w:rsidR="0056192E">
          <w:rPr>
            <w:noProof/>
            <w:webHidden/>
          </w:rPr>
          <w:fldChar w:fldCharType="separate"/>
        </w:r>
        <w:r w:rsidR="0056192E">
          <w:rPr>
            <w:noProof/>
            <w:webHidden/>
          </w:rPr>
          <w:t>15</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18" w:history="1">
        <w:r w:rsidR="0056192E" w:rsidRPr="00067682">
          <w:rPr>
            <w:rStyle w:val="Hyperlink"/>
            <w:noProof/>
          </w:rPr>
          <w:t xml:space="preserve">Table 10: Simple and Trade-Weighted Average MFN Tariffs Partially Reverses the </w:t>
        </w:r>
        <w:r w:rsidR="0056192E" w:rsidRPr="00067682">
          <w:rPr>
            <w:rStyle w:val="Hyperlink"/>
            <w:rFonts w:eastAsia="Times New Roman"/>
            <w:noProof/>
            <w:lang w:eastAsia="ru-RU"/>
          </w:rPr>
          <w:t>Custom Union Tariff Increases</w:t>
        </w:r>
        <w:r w:rsidR="0056192E">
          <w:rPr>
            <w:noProof/>
            <w:webHidden/>
          </w:rPr>
          <w:tab/>
        </w:r>
        <w:r w:rsidR="0056192E">
          <w:rPr>
            <w:noProof/>
            <w:webHidden/>
          </w:rPr>
          <w:fldChar w:fldCharType="begin"/>
        </w:r>
        <w:r w:rsidR="0056192E">
          <w:rPr>
            <w:noProof/>
            <w:webHidden/>
          </w:rPr>
          <w:instrText xml:space="preserve"> PAGEREF _Toc378151218 \h </w:instrText>
        </w:r>
        <w:r w:rsidR="0056192E">
          <w:rPr>
            <w:noProof/>
            <w:webHidden/>
          </w:rPr>
        </w:r>
        <w:r w:rsidR="0056192E">
          <w:rPr>
            <w:noProof/>
            <w:webHidden/>
          </w:rPr>
          <w:fldChar w:fldCharType="separate"/>
        </w:r>
        <w:r w:rsidR="0056192E">
          <w:rPr>
            <w:noProof/>
            <w:webHidden/>
          </w:rPr>
          <w:t>15</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19" w:history="1">
        <w:r w:rsidR="0056192E" w:rsidRPr="00067682">
          <w:rPr>
            <w:rStyle w:val="Hyperlink"/>
            <w:noProof/>
          </w:rPr>
          <w:t>Table 11: The Pattern of Imports Depended on the Trading Partner in Pre-CU Period</w:t>
        </w:r>
        <w:r w:rsidR="0056192E">
          <w:rPr>
            <w:noProof/>
            <w:webHidden/>
          </w:rPr>
          <w:tab/>
        </w:r>
        <w:r w:rsidR="0056192E">
          <w:rPr>
            <w:noProof/>
            <w:webHidden/>
          </w:rPr>
          <w:fldChar w:fldCharType="begin"/>
        </w:r>
        <w:r w:rsidR="0056192E">
          <w:rPr>
            <w:noProof/>
            <w:webHidden/>
          </w:rPr>
          <w:instrText xml:space="preserve"> PAGEREF _Toc378151219 \h </w:instrText>
        </w:r>
        <w:r w:rsidR="0056192E">
          <w:rPr>
            <w:noProof/>
            <w:webHidden/>
          </w:rPr>
        </w:r>
        <w:r w:rsidR="0056192E">
          <w:rPr>
            <w:noProof/>
            <w:webHidden/>
          </w:rPr>
          <w:fldChar w:fldCharType="separate"/>
        </w:r>
        <w:r w:rsidR="0056192E">
          <w:rPr>
            <w:noProof/>
            <w:webHidden/>
          </w:rPr>
          <w:t>16</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20" w:history="1">
        <w:r w:rsidR="0056192E" w:rsidRPr="00067682">
          <w:rPr>
            <w:rStyle w:val="Hyperlink"/>
            <w:noProof/>
          </w:rPr>
          <w:t>Table 12: WTO Accession Will Rebalance Some of the Effects of the CU Membership on Imports by 2020</w:t>
        </w:r>
        <w:r w:rsidR="0056192E">
          <w:rPr>
            <w:noProof/>
            <w:webHidden/>
          </w:rPr>
          <w:tab/>
        </w:r>
        <w:r w:rsidR="0056192E">
          <w:rPr>
            <w:noProof/>
            <w:webHidden/>
          </w:rPr>
          <w:fldChar w:fldCharType="begin"/>
        </w:r>
        <w:r w:rsidR="0056192E">
          <w:rPr>
            <w:noProof/>
            <w:webHidden/>
          </w:rPr>
          <w:instrText xml:space="preserve"> PAGEREF _Toc378151220 \h </w:instrText>
        </w:r>
        <w:r w:rsidR="0056192E">
          <w:rPr>
            <w:noProof/>
            <w:webHidden/>
          </w:rPr>
        </w:r>
        <w:r w:rsidR="0056192E">
          <w:rPr>
            <w:noProof/>
            <w:webHidden/>
          </w:rPr>
          <w:fldChar w:fldCharType="separate"/>
        </w:r>
        <w:r w:rsidR="0056192E">
          <w:rPr>
            <w:noProof/>
            <w:webHidden/>
          </w:rPr>
          <w:t>17</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21" w:history="1">
        <w:r w:rsidR="0056192E" w:rsidRPr="00067682">
          <w:rPr>
            <w:rStyle w:val="Hyperlink"/>
            <w:noProof/>
            <w:lang w:bidi="en-US"/>
          </w:rPr>
          <w:t>Table 13: Bi-lateral Trade Complementarity Indices</w:t>
        </w:r>
        <w:r w:rsidR="0056192E">
          <w:rPr>
            <w:noProof/>
            <w:webHidden/>
          </w:rPr>
          <w:tab/>
        </w:r>
        <w:r w:rsidR="0056192E">
          <w:rPr>
            <w:noProof/>
            <w:webHidden/>
          </w:rPr>
          <w:fldChar w:fldCharType="begin"/>
        </w:r>
        <w:r w:rsidR="0056192E">
          <w:rPr>
            <w:noProof/>
            <w:webHidden/>
          </w:rPr>
          <w:instrText xml:space="preserve"> PAGEREF _Toc378151221 \h </w:instrText>
        </w:r>
        <w:r w:rsidR="0056192E">
          <w:rPr>
            <w:noProof/>
            <w:webHidden/>
          </w:rPr>
        </w:r>
        <w:r w:rsidR="0056192E">
          <w:rPr>
            <w:noProof/>
            <w:webHidden/>
          </w:rPr>
          <w:fldChar w:fldCharType="separate"/>
        </w:r>
        <w:r w:rsidR="0056192E">
          <w:rPr>
            <w:noProof/>
            <w:webHidden/>
          </w:rPr>
          <w:t>21</w:t>
        </w:r>
        <w:r w:rsidR="0056192E">
          <w:rPr>
            <w:noProof/>
            <w:webHidden/>
          </w:rPr>
          <w:fldChar w:fldCharType="end"/>
        </w:r>
      </w:hyperlink>
    </w:p>
    <w:p w:rsidR="00470E70" w:rsidRPr="005E2BA3" w:rsidRDefault="009A0020" w:rsidP="00470E70">
      <w:pPr>
        <w:spacing w:line="276" w:lineRule="auto"/>
        <w:jc w:val="center"/>
        <w:rPr>
          <w:b/>
          <w:sz w:val="20"/>
        </w:rPr>
      </w:pPr>
      <w:r w:rsidRPr="005E2BA3">
        <w:rPr>
          <w:b/>
          <w:sz w:val="20"/>
        </w:rPr>
        <w:fldChar w:fldCharType="end"/>
      </w:r>
    </w:p>
    <w:p w:rsidR="00470E70" w:rsidRPr="005E2BA3" w:rsidRDefault="00470E70" w:rsidP="006E29FB">
      <w:pPr>
        <w:spacing w:line="240" w:lineRule="auto"/>
        <w:jc w:val="center"/>
        <w:rPr>
          <w:b/>
          <w:sz w:val="22"/>
        </w:rPr>
      </w:pPr>
      <w:r w:rsidRPr="005E2BA3">
        <w:rPr>
          <w:b/>
          <w:sz w:val="22"/>
        </w:rPr>
        <w:t>LIST OF FIGURES</w:t>
      </w:r>
    </w:p>
    <w:p w:rsidR="0056192E" w:rsidRDefault="00153F26">
      <w:pPr>
        <w:pStyle w:val="TableofFigures"/>
        <w:tabs>
          <w:tab w:val="right" w:leader="dot" w:pos="9620"/>
        </w:tabs>
        <w:rPr>
          <w:rFonts w:asciiTheme="minorHAnsi" w:hAnsiTheme="minorHAnsi"/>
          <w:noProof/>
          <w:sz w:val="22"/>
        </w:rPr>
      </w:pPr>
      <w:r>
        <w:rPr>
          <w:b/>
        </w:rPr>
        <w:fldChar w:fldCharType="begin"/>
      </w:r>
      <w:r>
        <w:rPr>
          <w:b/>
        </w:rPr>
        <w:instrText xml:space="preserve"> TOC \h \z \c "Figure" </w:instrText>
      </w:r>
      <w:r>
        <w:rPr>
          <w:b/>
        </w:rPr>
        <w:fldChar w:fldCharType="separate"/>
      </w:r>
      <w:hyperlink w:anchor="_Toc378151225" w:history="1">
        <w:r w:rsidR="0056192E" w:rsidRPr="002B33C4">
          <w:rPr>
            <w:rStyle w:val="Hyperlink"/>
            <w:noProof/>
            <w:lang w:bidi="en-US"/>
          </w:rPr>
          <w:t>Figure 1: Exports are Still Driven by Petroleum Products and Dominated by EU and China</w:t>
        </w:r>
        <w:r w:rsidR="0056192E">
          <w:rPr>
            <w:noProof/>
            <w:webHidden/>
          </w:rPr>
          <w:tab/>
        </w:r>
        <w:r w:rsidR="0056192E">
          <w:rPr>
            <w:noProof/>
            <w:webHidden/>
          </w:rPr>
          <w:fldChar w:fldCharType="begin"/>
        </w:r>
        <w:r w:rsidR="0056192E">
          <w:rPr>
            <w:noProof/>
            <w:webHidden/>
          </w:rPr>
          <w:instrText xml:space="preserve"> PAGEREF _Toc378151225 \h </w:instrText>
        </w:r>
        <w:r w:rsidR="0056192E">
          <w:rPr>
            <w:noProof/>
            <w:webHidden/>
          </w:rPr>
        </w:r>
        <w:r w:rsidR="0056192E">
          <w:rPr>
            <w:noProof/>
            <w:webHidden/>
          </w:rPr>
          <w:fldChar w:fldCharType="separate"/>
        </w:r>
        <w:r w:rsidR="0056192E">
          <w:rPr>
            <w:noProof/>
            <w:webHidden/>
          </w:rPr>
          <w:t>3</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26" w:history="1">
        <w:r w:rsidR="0056192E" w:rsidRPr="002B33C4">
          <w:rPr>
            <w:rStyle w:val="Hyperlink"/>
            <w:noProof/>
            <w:lang w:bidi="en-US"/>
          </w:rPr>
          <w:t>Figure 2: Imports are Still Driven by Global Dynamics</w:t>
        </w:r>
        <w:r w:rsidR="0056192E">
          <w:rPr>
            <w:noProof/>
            <w:webHidden/>
          </w:rPr>
          <w:tab/>
        </w:r>
        <w:r w:rsidR="0056192E">
          <w:rPr>
            <w:noProof/>
            <w:webHidden/>
          </w:rPr>
          <w:fldChar w:fldCharType="begin"/>
        </w:r>
        <w:r w:rsidR="0056192E">
          <w:rPr>
            <w:noProof/>
            <w:webHidden/>
          </w:rPr>
          <w:instrText xml:space="preserve"> PAGEREF _Toc378151226 \h </w:instrText>
        </w:r>
        <w:r w:rsidR="0056192E">
          <w:rPr>
            <w:noProof/>
            <w:webHidden/>
          </w:rPr>
        </w:r>
        <w:r w:rsidR="0056192E">
          <w:rPr>
            <w:noProof/>
            <w:webHidden/>
          </w:rPr>
          <w:fldChar w:fldCharType="separate"/>
        </w:r>
        <w:r w:rsidR="0056192E">
          <w:rPr>
            <w:noProof/>
            <w:webHidden/>
          </w:rPr>
          <w:t>6</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27" w:history="1">
        <w:r w:rsidR="0056192E" w:rsidRPr="002B33C4">
          <w:rPr>
            <w:rStyle w:val="Hyperlink"/>
            <w:noProof/>
            <w:lang w:bidi="en-US"/>
          </w:rPr>
          <w:t>Figure 3: Acceding to the WTO Using Russia’s Tariff Schedule Will Substantially Reduce Tariffs in Most Sectors</w:t>
        </w:r>
        <w:r w:rsidR="0056192E">
          <w:rPr>
            <w:noProof/>
            <w:webHidden/>
          </w:rPr>
          <w:tab/>
        </w:r>
        <w:r w:rsidR="0056192E">
          <w:rPr>
            <w:noProof/>
            <w:webHidden/>
          </w:rPr>
          <w:fldChar w:fldCharType="begin"/>
        </w:r>
        <w:r w:rsidR="0056192E">
          <w:rPr>
            <w:noProof/>
            <w:webHidden/>
          </w:rPr>
          <w:instrText xml:space="preserve"> PAGEREF _Toc378151227 \h </w:instrText>
        </w:r>
        <w:r w:rsidR="0056192E">
          <w:rPr>
            <w:noProof/>
            <w:webHidden/>
          </w:rPr>
        </w:r>
        <w:r w:rsidR="0056192E">
          <w:rPr>
            <w:noProof/>
            <w:webHidden/>
          </w:rPr>
          <w:fldChar w:fldCharType="separate"/>
        </w:r>
        <w:r w:rsidR="0056192E">
          <w:rPr>
            <w:noProof/>
            <w:webHidden/>
          </w:rPr>
          <w:t>11</w:t>
        </w:r>
        <w:r w:rsidR="0056192E">
          <w:rPr>
            <w:noProof/>
            <w:webHidden/>
          </w:rPr>
          <w:fldChar w:fldCharType="end"/>
        </w:r>
      </w:hyperlink>
    </w:p>
    <w:p w:rsidR="00EA2601" w:rsidRDefault="00153F26" w:rsidP="00470E70">
      <w:pPr>
        <w:spacing w:line="276" w:lineRule="auto"/>
        <w:jc w:val="center"/>
        <w:rPr>
          <w:b/>
          <w:sz w:val="20"/>
        </w:rPr>
      </w:pPr>
      <w:r>
        <w:rPr>
          <w:b/>
          <w:sz w:val="20"/>
        </w:rPr>
        <w:fldChar w:fldCharType="end"/>
      </w:r>
    </w:p>
    <w:p w:rsidR="006E29FB" w:rsidRDefault="006E29FB" w:rsidP="006E29FB">
      <w:pPr>
        <w:spacing w:line="240" w:lineRule="auto"/>
        <w:jc w:val="center"/>
        <w:rPr>
          <w:b/>
          <w:sz w:val="22"/>
        </w:rPr>
      </w:pPr>
      <w:r w:rsidRPr="006E29FB">
        <w:rPr>
          <w:b/>
          <w:sz w:val="22"/>
        </w:rPr>
        <w:t>LIST OF BOXES</w:t>
      </w:r>
    </w:p>
    <w:p w:rsidR="0056192E" w:rsidRDefault="006E29FB">
      <w:pPr>
        <w:pStyle w:val="TableofFigures"/>
        <w:tabs>
          <w:tab w:val="right" w:leader="dot" w:pos="9620"/>
        </w:tabs>
        <w:rPr>
          <w:rFonts w:asciiTheme="minorHAnsi" w:hAnsiTheme="minorHAnsi"/>
          <w:noProof/>
          <w:sz w:val="22"/>
        </w:rPr>
      </w:pPr>
      <w:r>
        <w:rPr>
          <w:b/>
          <w:sz w:val="22"/>
        </w:rPr>
        <w:fldChar w:fldCharType="begin"/>
      </w:r>
      <w:r>
        <w:rPr>
          <w:b/>
          <w:sz w:val="22"/>
        </w:rPr>
        <w:instrText xml:space="preserve"> TOC \h \z \c "Box" </w:instrText>
      </w:r>
      <w:r>
        <w:rPr>
          <w:b/>
          <w:sz w:val="22"/>
        </w:rPr>
        <w:fldChar w:fldCharType="separate"/>
      </w:r>
      <w:hyperlink w:anchor="_Toc378151236" w:history="1">
        <w:r w:rsidR="0056192E" w:rsidRPr="003379E6">
          <w:rPr>
            <w:rStyle w:val="Hyperlink"/>
            <w:noProof/>
            <w:lang w:bidi="en-US"/>
          </w:rPr>
          <w:t>Box 1: The Belarus-Kazakhstan-Russia Customs Union</w:t>
        </w:r>
        <w:r w:rsidR="0056192E">
          <w:rPr>
            <w:noProof/>
            <w:webHidden/>
          </w:rPr>
          <w:tab/>
        </w:r>
        <w:r w:rsidR="0056192E">
          <w:rPr>
            <w:noProof/>
            <w:webHidden/>
          </w:rPr>
          <w:fldChar w:fldCharType="begin"/>
        </w:r>
        <w:r w:rsidR="0056192E">
          <w:rPr>
            <w:noProof/>
            <w:webHidden/>
          </w:rPr>
          <w:instrText xml:space="preserve"> PAGEREF _Toc378151236 \h </w:instrText>
        </w:r>
        <w:r w:rsidR="0056192E">
          <w:rPr>
            <w:noProof/>
            <w:webHidden/>
          </w:rPr>
        </w:r>
        <w:r w:rsidR="0056192E">
          <w:rPr>
            <w:noProof/>
            <w:webHidden/>
          </w:rPr>
          <w:fldChar w:fldCharType="separate"/>
        </w:r>
        <w:r w:rsidR="0056192E">
          <w:rPr>
            <w:noProof/>
            <w:webHidden/>
          </w:rPr>
          <w:t>8</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37" w:history="1">
        <w:r w:rsidR="0056192E" w:rsidRPr="003379E6">
          <w:rPr>
            <w:rStyle w:val="Hyperlink"/>
            <w:noProof/>
            <w:lang w:bidi="en-US"/>
          </w:rPr>
          <w:t>Box 2</w:t>
        </w:r>
        <w:r w:rsidR="0056192E" w:rsidRPr="00CA4713">
          <w:rPr>
            <w:rStyle w:val="Hyperlink"/>
            <w:noProof/>
            <w:lang w:bidi="en-US"/>
          </w:rPr>
          <w:t>: Status of Negotiations for WTO Accession</w:t>
        </w:r>
        <w:r w:rsidR="0056192E">
          <w:rPr>
            <w:noProof/>
            <w:webHidden/>
          </w:rPr>
          <w:tab/>
        </w:r>
        <w:r w:rsidR="0056192E">
          <w:rPr>
            <w:noProof/>
            <w:webHidden/>
          </w:rPr>
          <w:fldChar w:fldCharType="begin"/>
        </w:r>
        <w:r w:rsidR="0056192E">
          <w:rPr>
            <w:noProof/>
            <w:webHidden/>
          </w:rPr>
          <w:instrText xml:space="preserve"> PAGEREF _Toc378151237 \h </w:instrText>
        </w:r>
        <w:r w:rsidR="0056192E">
          <w:rPr>
            <w:noProof/>
            <w:webHidden/>
          </w:rPr>
        </w:r>
        <w:r w:rsidR="0056192E">
          <w:rPr>
            <w:noProof/>
            <w:webHidden/>
          </w:rPr>
          <w:fldChar w:fldCharType="separate"/>
        </w:r>
        <w:r w:rsidR="0056192E">
          <w:rPr>
            <w:noProof/>
            <w:webHidden/>
          </w:rPr>
          <w:t>10</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38" w:history="1">
        <w:r w:rsidR="0056192E" w:rsidRPr="003379E6">
          <w:rPr>
            <w:rStyle w:val="Hyperlink"/>
            <w:noProof/>
            <w:lang w:bidi="en-US"/>
          </w:rPr>
          <w:t>Box 3: Kazakhstan and Free Trade Agreements:  A Working Agenda</w:t>
        </w:r>
        <w:r w:rsidR="0056192E">
          <w:rPr>
            <w:noProof/>
            <w:webHidden/>
          </w:rPr>
          <w:tab/>
        </w:r>
        <w:r w:rsidR="0056192E">
          <w:rPr>
            <w:noProof/>
            <w:webHidden/>
          </w:rPr>
          <w:fldChar w:fldCharType="begin"/>
        </w:r>
        <w:r w:rsidR="0056192E">
          <w:rPr>
            <w:noProof/>
            <w:webHidden/>
          </w:rPr>
          <w:instrText xml:space="preserve"> PAGEREF _Toc378151238 \h </w:instrText>
        </w:r>
        <w:r w:rsidR="0056192E">
          <w:rPr>
            <w:noProof/>
            <w:webHidden/>
          </w:rPr>
        </w:r>
        <w:r w:rsidR="0056192E">
          <w:rPr>
            <w:noProof/>
            <w:webHidden/>
          </w:rPr>
          <w:fldChar w:fldCharType="separate"/>
        </w:r>
        <w:r w:rsidR="0056192E">
          <w:rPr>
            <w:noProof/>
            <w:webHidden/>
          </w:rPr>
          <w:t>20</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39" w:history="1">
        <w:r w:rsidR="0056192E" w:rsidRPr="003379E6">
          <w:rPr>
            <w:rStyle w:val="Hyperlink"/>
            <w:noProof/>
            <w:lang w:bidi="en-US"/>
          </w:rPr>
          <w:t>Box 4: Assessing Readiness to Join an FTA</w:t>
        </w:r>
        <w:r w:rsidR="0056192E">
          <w:rPr>
            <w:noProof/>
            <w:webHidden/>
          </w:rPr>
          <w:tab/>
        </w:r>
        <w:r w:rsidR="0056192E">
          <w:rPr>
            <w:noProof/>
            <w:webHidden/>
          </w:rPr>
          <w:fldChar w:fldCharType="begin"/>
        </w:r>
        <w:r w:rsidR="0056192E">
          <w:rPr>
            <w:noProof/>
            <w:webHidden/>
          </w:rPr>
          <w:instrText xml:space="preserve"> PAGEREF _Toc378151239 \h </w:instrText>
        </w:r>
        <w:r w:rsidR="0056192E">
          <w:rPr>
            <w:noProof/>
            <w:webHidden/>
          </w:rPr>
        </w:r>
        <w:r w:rsidR="0056192E">
          <w:rPr>
            <w:noProof/>
            <w:webHidden/>
          </w:rPr>
          <w:fldChar w:fldCharType="separate"/>
        </w:r>
        <w:r w:rsidR="0056192E">
          <w:rPr>
            <w:noProof/>
            <w:webHidden/>
          </w:rPr>
          <w:t>22</w:t>
        </w:r>
        <w:r w:rsidR="0056192E">
          <w:rPr>
            <w:noProof/>
            <w:webHidden/>
          </w:rPr>
          <w:fldChar w:fldCharType="end"/>
        </w:r>
      </w:hyperlink>
    </w:p>
    <w:p w:rsidR="006E29FB" w:rsidRDefault="006E29FB" w:rsidP="00470E70">
      <w:pPr>
        <w:spacing w:line="276" w:lineRule="auto"/>
        <w:jc w:val="center"/>
        <w:rPr>
          <w:b/>
          <w:sz w:val="22"/>
        </w:rPr>
      </w:pPr>
      <w:r>
        <w:rPr>
          <w:b/>
          <w:sz w:val="22"/>
        </w:rPr>
        <w:fldChar w:fldCharType="end"/>
      </w:r>
    </w:p>
    <w:p w:rsidR="00470E70" w:rsidRPr="005E2BA3" w:rsidRDefault="004702C4" w:rsidP="006E29FB">
      <w:pPr>
        <w:spacing w:line="240" w:lineRule="auto"/>
        <w:jc w:val="center"/>
        <w:rPr>
          <w:b/>
          <w:sz w:val="22"/>
        </w:rPr>
      </w:pPr>
      <w:r>
        <w:rPr>
          <w:b/>
          <w:sz w:val="22"/>
        </w:rPr>
        <w:t>ANNEXES</w:t>
      </w:r>
    </w:p>
    <w:bookmarkStart w:id="2" w:name="_Toc371607422"/>
    <w:p w:rsidR="0056192E" w:rsidRDefault="005E2BA3">
      <w:pPr>
        <w:pStyle w:val="TableofFigures"/>
        <w:tabs>
          <w:tab w:val="right" w:leader="dot" w:pos="9620"/>
        </w:tabs>
        <w:rPr>
          <w:rFonts w:asciiTheme="minorHAnsi" w:hAnsiTheme="minorHAnsi"/>
          <w:noProof/>
          <w:sz w:val="22"/>
        </w:rPr>
      </w:pPr>
      <w:r>
        <w:rPr>
          <w:b/>
          <w:bCs/>
        </w:rPr>
        <w:fldChar w:fldCharType="begin"/>
      </w:r>
      <w:r>
        <w:rPr>
          <w:b/>
          <w:bCs/>
        </w:rPr>
        <w:instrText xml:space="preserve"> TOC \h \z \c "Annex" </w:instrText>
      </w:r>
      <w:r>
        <w:rPr>
          <w:b/>
          <w:bCs/>
        </w:rPr>
        <w:fldChar w:fldCharType="separate"/>
      </w:r>
      <w:hyperlink w:anchor="_Toc378151247" w:history="1">
        <w:r w:rsidR="0056192E" w:rsidRPr="009B5C72">
          <w:rPr>
            <w:rStyle w:val="Hyperlink"/>
            <w:noProof/>
          </w:rPr>
          <w:t>Annex I: Kazakhstan Exports and Imports Patterns</w:t>
        </w:r>
        <w:r w:rsidR="0056192E">
          <w:rPr>
            <w:noProof/>
            <w:webHidden/>
          </w:rPr>
          <w:tab/>
        </w:r>
        <w:r w:rsidR="0056192E">
          <w:rPr>
            <w:noProof/>
            <w:webHidden/>
          </w:rPr>
          <w:fldChar w:fldCharType="begin"/>
        </w:r>
        <w:r w:rsidR="0056192E">
          <w:rPr>
            <w:noProof/>
            <w:webHidden/>
          </w:rPr>
          <w:instrText xml:space="preserve"> PAGEREF _Toc378151247 \h </w:instrText>
        </w:r>
        <w:r w:rsidR="0056192E">
          <w:rPr>
            <w:noProof/>
            <w:webHidden/>
          </w:rPr>
        </w:r>
        <w:r w:rsidR="0056192E">
          <w:rPr>
            <w:noProof/>
            <w:webHidden/>
          </w:rPr>
          <w:fldChar w:fldCharType="separate"/>
        </w:r>
        <w:r w:rsidR="0056192E">
          <w:rPr>
            <w:noProof/>
            <w:webHidden/>
          </w:rPr>
          <w:t>26</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48" w:history="1">
        <w:r w:rsidR="0056192E" w:rsidRPr="009B5C72">
          <w:rPr>
            <w:rStyle w:val="Hyperlink"/>
            <w:noProof/>
          </w:rPr>
          <w:t>Annex II: Impact of Accession to the WTO with the Same Schedule as Russia.</w:t>
        </w:r>
        <w:r w:rsidR="0056192E">
          <w:rPr>
            <w:noProof/>
            <w:webHidden/>
          </w:rPr>
          <w:tab/>
        </w:r>
        <w:r w:rsidR="0056192E">
          <w:rPr>
            <w:noProof/>
            <w:webHidden/>
          </w:rPr>
          <w:fldChar w:fldCharType="begin"/>
        </w:r>
        <w:r w:rsidR="0056192E">
          <w:rPr>
            <w:noProof/>
            <w:webHidden/>
          </w:rPr>
          <w:instrText xml:space="preserve"> PAGEREF _Toc378151248 \h </w:instrText>
        </w:r>
        <w:r w:rsidR="0056192E">
          <w:rPr>
            <w:noProof/>
            <w:webHidden/>
          </w:rPr>
        </w:r>
        <w:r w:rsidR="0056192E">
          <w:rPr>
            <w:noProof/>
            <w:webHidden/>
          </w:rPr>
          <w:fldChar w:fldCharType="separate"/>
        </w:r>
        <w:r w:rsidR="0056192E">
          <w:rPr>
            <w:noProof/>
            <w:webHidden/>
          </w:rPr>
          <w:t>27</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49" w:history="1">
        <w:r w:rsidR="0056192E" w:rsidRPr="009B5C72">
          <w:rPr>
            <w:rStyle w:val="Hyperlink"/>
            <w:noProof/>
          </w:rPr>
          <w:t>Annex III: Central Asian Countries Membership in Various FTAs (as of Mid-2013)</w:t>
        </w:r>
        <w:r w:rsidR="0056192E">
          <w:rPr>
            <w:noProof/>
            <w:webHidden/>
          </w:rPr>
          <w:tab/>
        </w:r>
        <w:r w:rsidR="0056192E">
          <w:rPr>
            <w:noProof/>
            <w:webHidden/>
          </w:rPr>
          <w:fldChar w:fldCharType="begin"/>
        </w:r>
        <w:r w:rsidR="0056192E">
          <w:rPr>
            <w:noProof/>
            <w:webHidden/>
          </w:rPr>
          <w:instrText xml:space="preserve"> PAGEREF _Toc378151249 \h </w:instrText>
        </w:r>
        <w:r w:rsidR="0056192E">
          <w:rPr>
            <w:noProof/>
            <w:webHidden/>
          </w:rPr>
        </w:r>
        <w:r w:rsidR="0056192E">
          <w:rPr>
            <w:noProof/>
            <w:webHidden/>
          </w:rPr>
          <w:fldChar w:fldCharType="separate"/>
        </w:r>
        <w:r w:rsidR="0056192E">
          <w:rPr>
            <w:noProof/>
            <w:webHidden/>
          </w:rPr>
          <w:t>31</w:t>
        </w:r>
        <w:r w:rsidR="0056192E">
          <w:rPr>
            <w:noProof/>
            <w:webHidden/>
          </w:rPr>
          <w:fldChar w:fldCharType="end"/>
        </w:r>
      </w:hyperlink>
    </w:p>
    <w:p w:rsidR="0056192E" w:rsidRDefault="000813E2">
      <w:pPr>
        <w:pStyle w:val="TableofFigures"/>
        <w:tabs>
          <w:tab w:val="right" w:leader="dot" w:pos="9620"/>
        </w:tabs>
        <w:rPr>
          <w:rFonts w:asciiTheme="minorHAnsi" w:hAnsiTheme="minorHAnsi"/>
          <w:noProof/>
          <w:sz w:val="22"/>
        </w:rPr>
      </w:pPr>
      <w:hyperlink w:anchor="_Toc378151250" w:history="1">
        <w:r w:rsidR="0056192E" w:rsidRPr="009B5C72">
          <w:rPr>
            <w:rStyle w:val="Hyperlink"/>
            <w:noProof/>
          </w:rPr>
          <w:t>Annex IV: European Union’s Assessment Methodology for Free Trade Agreements</w:t>
        </w:r>
        <w:r w:rsidR="0056192E">
          <w:rPr>
            <w:noProof/>
            <w:webHidden/>
          </w:rPr>
          <w:tab/>
        </w:r>
        <w:r w:rsidR="0056192E">
          <w:rPr>
            <w:noProof/>
            <w:webHidden/>
          </w:rPr>
          <w:fldChar w:fldCharType="begin"/>
        </w:r>
        <w:r w:rsidR="0056192E">
          <w:rPr>
            <w:noProof/>
            <w:webHidden/>
          </w:rPr>
          <w:instrText xml:space="preserve"> PAGEREF _Toc378151250 \h </w:instrText>
        </w:r>
        <w:r w:rsidR="0056192E">
          <w:rPr>
            <w:noProof/>
            <w:webHidden/>
          </w:rPr>
        </w:r>
        <w:r w:rsidR="0056192E">
          <w:rPr>
            <w:noProof/>
            <w:webHidden/>
          </w:rPr>
          <w:fldChar w:fldCharType="separate"/>
        </w:r>
        <w:r w:rsidR="0056192E">
          <w:rPr>
            <w:noProof/>
            <w:webHidden/>
          </w:rPr>
          <w:t>32</w:t>
        </w:r>
        <w:r w:rsidR="0056192E">
          <w:rPr>
            <w:noProof/>
            <w:webHidden/>
          </w:rPr>
          <w:fldChar w:fldCharType="end"/>
        </w:r>
      </w:hyperlink>
    </w:p>
    <w:p w:rsidR="0081681C" w:rsidRPr="006A2D0B" w:rsidRDefault="005E2BA3" w:rsidP="006A2D0B">
      <w:pPr>
        <w:pStyle w:val="Heading1"/>
        <w:numPr>
          <w:ilvl w:val="0"/>
          <w:numId w:val="0"/>
        </w:numPr>
        <w:rPr>
          <w:rFonts w:eastAsiaTheme="minorEastAsia" w:cstheme="minorBidi"/>
          <w:b w:val="0"/>
          <w:bCs w:val="0"/>
          <w:sz w:val="20"/>
          <w:szCs w:val="22"/>
        </w:rPr>
        <w:sectPr w:rsidR="0081681C" w:rsidRPr="006A2D0B" w:rsidSect="004D0E0A">
          <w:footerReference w:type="default" r:id="rId13"/>
          <w:pgSz w:w="12240" w:h="15840"/>
          <w:pgMar w:top="1170" w:right="1440" w:bottom="1440" w:left="1170" w:header="720" w:footer="720" w:gutter="0"/>
          <w:pgNumType w:start="1"/>
          <w:cols w:space="720"/>
          <w:docGrid w:linePitch="360"/>
        </w:sectPr>
      </w:pPr>
      <w:r>
        <w:rPr>
          <w:rFonts w:eastAsiaTheme="minorEastAsia" w:cstheme="minorBidi"/>
          <w:b w:val="0"/>
          <w:bCs w:val="0"/>
          <w:sz w:val="20"/>
          <w:szCs w:val="22"/>
        </w:rPr>
        <w:fldChar w:fldCharType="end"/>
      </w:r>
    </w:p>
    <w:p w:rsidR="00450871" w:rsidRPr="000137AC" w:rsidRDefault="000C09B9" w:rsidP="000137AC">
      <w:pPr>
        <w:pStyle w:val="Heading2"/>
      </w:pPr>
      <w:bookmarkStart w:id="3" w:name="_Toc378151198"/>
      <w:r>
        <w:lastRenderedPageBreak/>
        <w:t xml:space="preserve">Why Does </w:t>
      </w:r>
      <w:bookmarkEnd w:id="1"/>
      <w:bookmarkEnd w:id="2"/>
      <w:r w:rsidR="00CE6F8C">
        <w:t>T</w:t>
      </w:r>
      <w:r w:rsidR="00F607C7">
        <w:t>he</w:t>
      </w:r>
      <w:r w:rsidR="00CE6F8C">
        <w:t xml:space="preserve"> </w:t>
      </w:r>
      <w:r w:rsidR="00F607C7">
        <w:t>Trade</w:t>
      </w:r>
      <w:r>
        <w:t xml:space="preserve"> Policy Framework Matter?</w:t>
      </w:r>
      <w:bookmarkEnd w:id="3"/>
    </w:p>
    <w:p w:rsidR="00303798" w:rsidRPr="005E3590" w:rsidRDefault="00A546A3" w:rsidP="00D67D72">
      <w:pPr>
        <w:pStyle w:val="ListParagraph"/>
        <w:numPr>
          <w:ilvl w:val="0"/>
          <w:numId w:val="1"/>
        </w:numPr>
        <w:tabs>
          <w:tab w:val="left" w:pos="720"/>
        </w:tabs>
        <w:spacing w:line="240" w:lineRule="auto"/>
        <w:ind w:left="0" w:firstLine="0"/>
        <w:contextualSpacing w:val="0"/>
        <w:rPr>
          <w:rFonts w:cs="Times New Roman"/>
          <w:sz w:val="22"/>
        </w:rPr>
      </w:pPr>
      <w:r w:rsidRPr="005E3590">
        <w:rPr>
          <w:rFonts w:cs="Times New Roman"/>
          <w:b/>
          <w:sz w:val="22"/>
        </w:rPr>
        <w:t xml:space="preserve">Kazakhstan’s authorities </w:t>
      </w:r>
      <w:r w:rsidR="00FE1162">
        <w:rPr>
          <w:rFonts w:cs="Times New Roman"/>
          <w:b/>
          <w:sz w:val="22"/>
        </w:rPr>
        <w:t xml:space="preserve">operate in </w:t>
      </w:r>
      <w:r w:rsidRPr="005E3590">
        <w:rPr>
          <w:rFonts w:cs="Times New Roman"/>
          <w:b/>
          <w:sz w:val="22"/>
        </w:rPr>
        <w:t>a complex trade policy environment</w:t>
      </w:r>
      <w:r w:rsidR="00FE1162">
        <w:rPr>
          <w:rFonts w:cs="Times New Roman"/>
          <w:b/>
          <w:sz w:val="22"/>
        </w:rPr>
        <w:t xml:space="preserve">, defined by </w:t>
      </w:r>
      <w:r w:rsidRPr="005E3590">
        <w:rPr>
          <w:rFonts w:cs="Times New Roman"/>
          <w:b/>
          <w:sz w:val="22"/>
        </w:rPr>
        <w:t xml:space="preserve">ongoing </w:t>
      </w:r>
      <w:r w:rsidR="00D67D72">
        <w:rPr>
          <w:rFonts w:cs="Times New Roman"/>
          <w:b/>
          <w:sz w:val="22"/>
        </w:rPr>
        <w:t>Customs Union</w:t>
      </w:r>
      <w:r w:rsidR="00D67D72" w:rsidRPr="005E3590">
        <w:rPr>
          <w:rFonts w:cs="Times New Roman"/>
          <w:b/>
          <w:sz w:val="22"/>
        </w:rPr>
        <w:t xml:space="preserve"> </w:t>
      </w:r>
      <w:r w:rsidRPr="005E3590">
        <w:rPr>
          <w:rFonts w:cs="Times New Roman"/>
          <w:b/>
          <w:sz w:val="22"/>
        </w:rPr>
        <w:t>integration</w:t>
      </w:r>
      <w:r w:rsidR="00FE1162">
        <w:rPr>
          <w:rFonts w:cs="Times New Roman"/>
          <w:b/>
          <w:sz w:val="22"/>
        </w:rPr>
        <w:t xml:space="preserve">, </w:t>
      </w:r>
      <w:r w:rsidR="00FE1162" w:rsidRPr="008E2424">
        <w:rPr>
          <w:rFonts w:cs="Times New Roman"/>
          <w:b/>
          <w:sz w:val="22"/>
        </w:rPr>
        <w:t>World Trade Organization</w:t>
      </w:r>
      <w:r w:rsidR="00FE1162">
        <w:rPr>
          <w:rFonts w:cs="Times New Roman"/>
          <w:b/>
          <w:sz w:val="22"/>
        </w:rPr>
        <w:t xml:space="preserve"> </w:t>
      </w:r>
      <w:r w:rsidR="00FE1162" w:rsidRPr="005E3590">
        <w:rPr>
          <w:rFonts w:cs="Times New Roman"/>
          <w:b/>
          <w:sz w:val="22"/>
        </w:rPr>
        <w:t>accession negotiations</w:t>
      </w:r>
      <w:r w:rsidR="00FE1162">
        <w:rPr>
          <w:rFonts w:cs="Times New Roman"/>
          <w:b/>
          <w:sz w:val="22"/>
        </w:rPr>
        <w:t xml:space="preserve">, </w:t>
      </w:r>
      <w:r w:rsidRPr="005E3590">
        <w:rPr>
          <w:rFonts w:cs="Times New Roman"/>
          <w:b/>
          <w:sz w:val="22"/>
        </w:rPr>
        <w:t>and</w:t>
      </w:r>
      <w:r w:rsidR="00FE1162">
        <w:rPr>
          <w:rFonts w:cs="Times New Roman"/>
          <w:b/>
          <w:sz w:val="22"/>
        </w:rPr>
        <w:t xml:space="preserve"> numerous other changes to global trade</w:t>
      </w:r>
      <w:r w:rsidRPr="005E3590">
        <w:rPr>
          <w:rFonts w:cs="Times New Roman"/>
          <w:b/>
          <w:sz w:val="22"/>
        </w:rPr>
        <w:t>.</w:t>
      </w:r>
      <w:r w:rsidR="00786508">
        <w:rPr>
          <w:rFonts w:cs="Times New Roman"/>
          <w:b/>
          <w:sz w:val="22"/>
        </w:rPr>
        <w:t xml:space="preserve"> </w:t>
      </w:r>
      <w:r w:rsidRPr="005E3590">
        <w:rPr>
          <w:rFonts w:cs="Times New Roman"/>
          <w:sz w:val="22"/>
        </w:rPr>
        <w:t xml:space="preserve">This note provides </w:t>
      </w:r>
      <w:r w:rsidR="00657009">
        <w:rPr>
          <w:rFonts w:cs="Times New Roman"/>
          <w:sz w:val="22"/>
        </w:rPr>
        <w:t xml:space="preserve">a </w:t>
      </w:r>
      <w:r w:rsidRPr="005E3590">
        <w:rPr>
          <w:rFonts w:cs="Times New Roman"/>
          <w:sz w:val="22"/>
        </w:rPr>
        <w:t xml:space="preserve">focused trade analysis to help the authorities </w:t>
      </w:r>
      <w:r w:rsidR="0016606F">
        <w:rPr>
          <w:rFonts w:cs="Times New Roman"/>
          <w:sz w:val="22"/>
        </w:rPr>
        <w:t xml:space="preserve">with </w:t>
      </w:r>
      <w:r w:rsidRPr="005E3590">
        <w:rPr>
          <w:rFonts w:cs="Times New Roman"/>
          <w:sz w:val="22"/>
        </w:rPr>
        <w:t>their policy options in this dynamic trade policy environment.</w:t>
      </w:r>
      <w:r w:rsidR="00786508">
        <w:rPr>
          <w:rFonts w:cs="Times New Roman"/>
          <w:sz w:val="22"/>
        </w:rPr>
        <w:t xml:space="preserve"> </w:t>
      </w:r>
      <w:r w:rsidRPr="005E3590">
        <w:rPr>
          <w:rFonts w:cs="Times New Roman"/>
          <w:sz w:val="22"/>
        </w:rPr>
        <w:t xml:space="preserve">A 2012 trade report, </w:t>
      </w:r>
      <w:r w:rsidRPr="00D67D72">
        <w:rPr>
          <w:rFonts w:cs="Times New Roman"/>
          <w:i/>
          <w:sz w:val="22"/>
        </w:rPr>
        <w:t xml:space="preserve">Kazakhstan: Taking </w:t>
      </w:r>
      <w:r w:rsidR="00000C87">
        <w:rPr>
          <w:rFonts w:cs="Times New Roman"/>
          <w:i/>
          <w:sz w:val="22"/>
        </w:rPr>
        <w:t>Advantage of Trade a</w:t>
      </w:r>
      <w:r w:rsidR="00000C87" w:rsidRPr="00D67D72">
        <w:rPr>
          <w:rFonts w:cs="Times New Roman"/>
          <w:i/>
          <w:sz w:val="22"/>
        </w:rPr>
        <w:t>nd Openness for Development</w:t>
      </w:r>
      <w:r w:rsidRPr="005E3590">
        <w:rPr>
          <w:rFonts w:cs="Times New Roman"/>
          <w:sz w:val="22"/>
        </w:rPr>
        <w:t xml:space="preserve">, undertook a broad-based analysis of the opportunities the economy faces and the challenges it needs to overcome to </w:t>
      </w:r>
      <w:r w:rsidR="0016606F">
        <w:rPr>
          <w:rFonts w:cs="Times New Roman"/>
          <w:sz w:val="22"/>
        </w:rPr>
        <w:t>sustain its path to high income</w:t>
      </w:r>
      <w:r w:rsidRPr="005E3590">
        <w:rPr>
          <w:rFonts w:cs="Times New Roman"/>
          <w:sz w:val="22"/>
        </w:rPr>
        <w:t>.</w:t>
      </w:r>
      <w:r w:rsidR="00786508">
        <w:rPr>
          <w:rFonts w:cs="Times New Roman"/>
          <w:sz w:val="22"/>
        </w:rPr>
        <w:t xml:space="preserve"> </w:t>
      </w:r>
      <w:r w:rsidRPr="005E3590">
        <w:rPr>
          <w:rFonts w:cs="Times New Roman"/>
          <w:sz w:val="22"/>
        </w:rPr>
        <w:t xml:space="preserve">A second 2012 report, </w:t>
      </w:r>
      <w:r w:rsidRPr="00D67D72">
        <w:rPr>
          <w:rFonts w:cs="Times New Roman"/>
          <w:i/>
          <w:sz w:val="22"/>
        </w:rPr>
        <w:t>Assessment of Costs and Benefits of the Customs Union for Kazakhstan</w:t>
      </w:r>
      <w:r w:rsidRPr="005E3590">
        <w:rPr>
          <w:rFonts w:cs="Times New Roman"/>
          <w:sz w:val="22"/>
        </w:rPr>
        <w:t xml:space="preserve">, delved more specifically into the potential impacts of this agreement and the non-tariff measures and trade facilitation policies that could enhance the country’s gains. </w:t>
      </w:r>
    </w:p>
    <w:p w:rsidR="00A546A3" w:rsidRDefault="00A546A3" w:rsidP="00647CEA">
      <w:pPr>
        <w:pStyle w:val="ListParagraph"/>
        <w:numPr>
          <w:ilvl w:val="0"/>
          <w:numId w:val="1"/>
        </w:numPr>
        <w:tabs>
          <w:tab w:val="left" w:pos="720"/>
        </w:tabs>
        <w:spacing w:line="240" w:lineRule="auto"/>
        <w:ind w:left="0" w:firstLine="0"/>
        <w:contextualSpacing w:val="0"/>
        <w:rPr>
          <w:rFonts w:cs="Times New Roman"/>
          <w:sz w:val="22"/>
        </w:rPr>
      </w:pPr>
      <w:r w:rsidRPr="00A546A3">
        <w:rPr>
          <w:rFonts w:cs="Times New Roman"/>
          <w:b/>
          <w:sz w:val="22"/>
        </w:rPr>
        <w:t>Th</w:t>
      </w:r>
      <w:r w:rsidR="0016606F">
        <w:rPr>
          <w:rFonts w:cs="Times New Roman"/>
          <w:b/>
          <w:sz w:val="22"/>
        </w:rPr>
        <w:t xml:space="preserve">is report, prepared </w:t>
      </w:r>
      <w:r w:rsidRPr="00A546A3">
        <w:rPr>
          <w:rFonts w:cs="Times New Roman"/>
          <w:b/>
          <w:sz w:val="22"/>
        </w:rPr>
        <w:t xml:space="preserve">at the request of the authorities, addresses specific policy questions that arose from the findings of the last two reports and the evolving trade policy environment since mid-2011. </w:t>
      </w:r>
      <w:r w:rsidRPr="00A546A3">
        <w:rPr>
          <w:rFonts w:cs="Times New Roman"/>
          <w:sz w:val="22"/>
        </w:rPr>
        <w:t xml:space="preserve">It answers four </w:t>
      </w:r>
      <w:r w:rsidR="0016606F">
        <w:rPr>
          <w:rFonts w:cs="Times New Roman"/>
          <w:sz w:val="22"/>
        </w:rPr>
        <w:t>questions</w:t>
      </w:r>
      <w:r w:rsidR="00764AED">
        <w:rPr>
          <w:rFonts w:cs="Times New Roman"/>
          <w:sz w:val="22"/>
        </w:rPr>
        <w:t>.</w:t>
      </w:r>
      <w:r w:rsidR="00786508">
        <w:rPr>
          <w:rFonts w:cs="Times New Roman"/>
          <w:sz w:val="22"/>
        </w:rPr>
        <w:t xml:space="preserve"> </w:t>
      </w:r>
      <w:r w:rsidR="00764AED">
        <w:rPr>
          <w:rFonts w:cs="Times New Roman"/>
          <w:sz w:val="22"/>
        </w:rPr>
        <w:t xml:space="preserve">Section </w:t>
      </w:r>
      <w:r w:rsidR="0016606F">
        <w:rPr>
          <w:rFonts w:cs="Times New Roman"/>
          <w:sz w:val="22"/>
        </w:rPr>
        <w:t xml:space="preserve">2 </w:t>
      </w:r>
      <w:r w:rsidR="00764AED">
        <w:rPr>
          <w:rFonts w:cs="Times New Roman"/>
          <w:sz w:val="22"/>
        </w:rPr>
        <w:t>looks at h</w:t>
      </w:r>
      <w:r w:rsidRPr="00A546A3">
        <w:rPr>
          <w:rFonts w:cs="Times New Roman"/>
          <w:sz w:val="22"/>
        </w:rPr>
        <w:t xml:space="preserve">ow trade </w:t>
      </w:r>
      <w:r w:rsidR="00657009">
        <w:rPr>
          <w:rFonts w:cs="Times New Roman"/>
          <w:sz w:val="22"/>
        </w:rPr>
        <w:t xml:space="preserve">has </w:t>
      </w:r>
      <w:r w:rsidRPr="00A546A3">
        <w:rPr>
          <w:rFonts w:cs="Times New Roman"/>
          <w:sz w:val="22"/>
        </w:rPr>
        <w:t>performed since early 2011</w:t>
      </w:r>
      <w:r w:rsidR="00764AED">
        <w:rPr>
          <w:rFonts w:cs="Times New Roman"/>
          <w:sz w:val="22"/>
        </w:rPr>
        <w:t>.</w:t>
      </w:r>
      <w:r w:rsidR="00786508">
        <w:rPr>
          <w:rFonts w:cs="Times New Roman"/>
          <w:sz w:val="22"/>
        </w:rPr>
        <w:t xml:space="preserve"> </w:t>
      </w:r>
      <w:r w:rsidR="00764AED">
        <w:rPr>
          <w:rFonts w:cs="Times New Roman"/>
          <w:sz w:val="22"/>
        </w:rPr>
        <w:t xml:space="preserve">Section </w:t>
      </w:r>
      <w:r w:rsidR="0016606F">
        <w:rPr>
          <w:rFonts w:cs="Times New Roman"/>
          <w:sz w:val="22"/>
        </w:rPr>
        <w:t xml:space="preserve">3 </w:t>
      </w:r>
      <w:r w:rsidR="00764AED">
        <w:rPr>
          <w:rFonts w:cs="Times New Roman"/>
          <w:sz w:val="22"/>
        </w:rPr>
        <w:t xml:space="preserve">analyses </w:t>
      </w:r>
      <w:r w:rsidRPr="00A546A3">
        <w:rPr>
          <w:rFonts w:cs="Times New Roman"/>
          <w:sz w:val="22"/>
        </w:rPr>
        <w:t>the consequences for Kazakhstan if it were to adopt the Russian W</w:t>
      </w:r>
      <w:r w:rsidR="00D67D72">
        <w:rPr>
          <w:rFonts w:cs="Times New Roman"/>
          <w:sz w:val="22"/>
        </w:rPr>
        <w:t>orld Trade Organization (W</w:t>
      </w:r>
      <w:r w:rsidRPr="00A546A3">
        <w:rPr>
          <w:rFonts w:cs="Times New Roman"/>
          <w:sz w:val="22"/>
        </w:rPr>
        <w:t>TO</w:t>
      </w:r>
      <w:r w:rsidR="00D67D72">
        <w:rPr>
          <w:rFonts w:cs="Times New Roman"/>
          <w:sz w:val="22"/>
        </w:rPr>
        <w:t>)</w:t>
      </w:r>
      <w:r w:rsidRPr="00A546A3">
        <w:rPr>
          <w:rFonts w:cs="Times New Roman"/>
          <w:sz w:val="22"/>
        </w:rPr>
        <w:t xml:space="preserve"> accession tariff schedule</w:t>
      </w:r>
      <w:r w:rsidR="00764AED">
        <w:rPr>
          <w:rFonts w:cs="Times New Roman"/>
          <w:sz w:val="22"/>
        </w:rPr>
        <w:t>.</w:t>
      </w:r>
      <w:r w:rsidR="00786508">
        <w:rPr>
          <w:rFonts w:cs="Times New Roman"/>
          <w:sz w:val="22"/>
        </w:rPr>
        <w:t xml:space="preserve"> </w:t>
      </w:r>
      <w:r w:rsidR="00764AED">
        <w:rPr>
          <w:rFonts w:cs="Times New Roman"/>
          <w:sz w:val="22"/>
        </w:rPr>
        <w:t xml:space="preserve">Section </w:t>
      </w:r>
      <w:r w:rsidR="0016606F">
        <w:rPr>
          <w:rFonts w:cs="Times New Roman"/>
          <w:sz w:val="22"/>
        </w:rPr>
        <w:t xml:space="preserve">4 </w:t>
      </w:r>
      <w:r w:rsidR="00764AED">
        <w:rPr>
          <w:rFonts w:cs="Times New Roman"/>
          <w:sz w:val="22"/>
        </w:rPr>
        <w:t>asks whether</w:t>
      </w:r>
      <w:r w:rsidRPr="00A546A3">
        <w:rPr>
          <w:rFonts w:cs="Times New Roman"/>
          <w:sz w:val="22"/>
        </w:rPr>
        <w:t xml:space="preserve"> there </w:t>
      </w:r>
      <w:r w:rsidR="00764AED">
        <w:rPr>
          <w:rFonts w:cs="Times New Roman"/>
          <w:sz w:val="22"/>
        </w:rPr>
        <w:t xml:space="preserve">should be </w:t>
      </w:r>
      <w:r w:rsidRPr="00A546A3">
        <w:rPr>
          <w:rFonts w:cs="Times New Roman"/>
          <w:sz w:val="22"/>
        </w:rPr>
        <w:t xml:space="preserve">concern about the source of </w:t>
      </w:r>
      <w:r w:rsidR="004E4926">
        <w:rPr>
          <w:rFonts w:cs="Times New Roman"/>
          <w:sz w:val="22"/>
        </w:rPr>
        <w:t>the country’s</w:t>
      </w:r>
      <w:r w:rsidRPr="00A546A3">
        <w:rPr>
          <w:rFonts w:cs="Times New Roman"/>
          <w:sz w:val="22"/>
        </w:rPr>
        <w:t xml:space="preserve"> intermediate imports</w:t>
      </w:r>
      <w:r w:rsidR="00764AED">
        <w:rPr>
          <w:rFonts w:cs="Times New Roman"/>
          <w:sz w:val="22"/>
        </w:rPr>
        <w:t>.</w:t>
      </w:r>
      <w:r w:rsidR="00786508">
        <w:rPr>
          <w:rFonts w:cs="Times New Roman"/>
          <w:sz w:val="22"/>
        </w:rPr>
        <w:t xml:space="preserve"> </w:t>
      </w:r>
      <w:r w:rsidR="00764AED">
        <w:rPr>
          <w:rFonts w:cs="Times New Roman"/>
          <w:sz w:val="22"/>
        </w:rPr>
        <w:t xml:space="preserve">Section </w:t>
      </w:r>
      <w:r w:rsidR="0016606F">
        <w:rPr>
          <w:rFonts w:cs="Times New Roman"/>
          <w:sz w:val="22"/>
        </w:rPr>
        <w:t>5</w:t>
      </w:r>
      <w:r w:rsidR="000C09B9">
        <w:rPr>
          <w:rFonts w:cs="Times New Roman"/>
          <w:sz w:val="22"/>
        </w:rPr>
        <w:t xml:space="preserve"> </w:t>
      </w:r>
      <w:r w:rsidR="00764AED">
        <w:rPr>
          <w:rFonts w:cs="Times New Roman"/>
          <w:sz w:val="22"/>
        </w:rPr>
        <w:t xml:space="preserve">asks whether </w:t>
      </w:r>
      <w:r w:rsidRPr="00990B12">
        <w:rPr>
          <w:rFonts w:cs="Times New Roman"/>
          <w:sz w:val="22"/>
        </w:rPr>
        <w:t xml:space="preserve">Kazakhstan </w:t>
      </w:r>
      <w:r w:rsidR="00D67D72">
        <w:rPr>
          <w:rFonts w:cs="Times New Roman"/>
          <w:sz w:val="22"/>
        </w:rPr>
        <w:t xml:space="preserve">should </w:t>
      </w:r>
      <w:r w:rsidRPr="00990B12">
        <w:rPr>
          <w:rFonts w:cs="Times New Roman"/>
          <w:sz w:val="22"/>
        </w:rPr>
        <w:t xml:space="preserve">pursue new Free Trade Agreements </w:t>
      </w:r>
      <w:r w:rsidR="00D67D72">
        <w:rPr>
          <w:rFonts w:cs="Times New Roman"/>
          <w:sz w:val="22"/>
        </w:rPr>
        <w:t xml:space="preserve">(FTA) </w:t>
      </w:r>
      <w:r w:rsidRPr="00990B12">
        <w:rPr>
          <w:rFonts w:cs="Times New Roman"/>
          <w:sz w:val="22"/>
        </w:rPr>
        <w:t>after WTO accession</w:t>
      </w:r>
      <w:r w:rsidR="00764AED">
        <w:rPr>
          <w:rFonts w:cs="Times New Roman"/>
          <w:sz w:val="22"/>
        </w:rPr>
        <w:t>.</w:t>
      </w:r>
      <w:r w:rsidR="00786508">
        <w:rPr>
          <w:rFonts w:cs="Times New Roman"/>
          <w:sz w:val="22"/>
        </w:rPr>
        <w:t xml:space="preserve"> </w:t>
      </w:r>
      <w:r w:rsidR="000C09B9">
        <w:rPr>
          <w:rFonts w:cs="Times New Roman"/>
          <w:sz w:val="22"/>
        </w:rPr>
        <w:t xml:space="preserve">Section </w:t>
      </w:r>
      <w:r w:rsidR="0016606F">
        <w:rPr>
          <w:rFonts w:cs="Times New Roman"/>
          <w:sz w:val="22"/>
        </w:rPr>
        <w:t xml:space="preserve">6 </w:t>
      </w:r>
      <w:r w:rsidR="000C09B9">
        <w:rPr>
          <w:rFonts w:cs="Times New Roman"/>
          <w:sz w:val="22"/>
        </w:rPr>
        <w:t xml:space="preserve">concludes. </w:t>
      </w:r>
    </w:p>
    <w:p w:rsidR="00460AE0" w:rsidRPr="00F44F2C" w:rsidRDefault="00D96FD1" w:rsidP="00F44F2C">
      <w:pPr>
        <w:pStyle w:val="ListParagraph"/>
        <w:tabs>
          <w:tab w:val="left" w:pos="720"/>
        </w:tabs>
        <w:spacing w:line="240" w:lineRule="auto"/>
        <w:ind w:left="0"/>
        <w:contextualSpacing w:val="0"/>
        <w:rPr>
          <w:rFonts w:cs="Times New Roman"/>
          <w:bCs/>
          <w:sz w:val="22"/>
        </w:rPr>
      </w:pPr>
      <w:r w:rsidRPr="00D70507">
        <w:rPr>
          <w:rFonts w:cs="Times New Roman"/>
          <w:b/>
          <w:sz w:val="22"/>
        </w:rPr>
        <w:t>In sum</w:t>
      </w:r>
      <w:r w:rsidR="0016606F">
        <w:rPr>
          <w:rFonts w:cs="Times New Roman"/>
          <w:b/>
          <w:sz w:val="22"/>
        </w:rPr>
        <w:t>mary</w:t>
      </w:r>
      <w:r w:rsidRPr="00D70507">
        <w:rPr>
          <w:rFonts w:cs="Times New Roman"/>
          <w:b/>
          <w:sz w:val="22"/>
        </w:rPr>
        <w:t>, the analysis finds that</w:t>
      </w:r>
      <w:r w:rsidR="00460AE0">
        <w:rPr>
          <w:rFonts w:cs="Times New Roman"/>
          <w:b/>
          <w:sz w:val="22"/>
        </w:rPr>
        <w:t xml:space="preserve">: </w:t>
      </w:r>
    </w:p>
    <w:p w:rsidR="00657009" w:rsidRPr="00766B25" w:rsidRDefault="004E4926" w:rsidP="00766B25">
      <w:pPr>
        <w:pStyle w:val="ListParagraph"/>
        <w:numPr>
          <w:ilvl w:val="0"/>
          <w:numId w:val="1"/>
        </w:numPr>
        <w:tabs>
          <w:tab w:val="left" w:pos="720"/>
        </w:tabs>
        <w:spacing w:line="240" w:lineRule="auto"/>
        <w:ind w:left="0" w:firstLine="0"/>
        <w:contextualSpacing w:val="0"/>
        <w:rPr>
          <w:rFonts w:cs="Times New Roman"/>
          <w:bCs/>
          <w:sz w:val="22"/>
        </w:rPr>
      </w:pPr>
      <w:r>
        <w:rPr>
          <w:rFonts w:cs="Times New Roman"/>
          <w:b/>
          <w:sz w:val="22"/>
        </w:rPr>
        <w:t>Kazakhstan’s exports are still driven by demand f</w:t>
      </w:r>
      <w:r w:rsidR="0016606F">
        <w:rPr>
          <w:rFonts w:cs="Times New Roman"/>
          <w:b/>
          <w:sz w:val="22"/>
        </w:rPr>
        <w:t xml:space="preserve">or hydrocarbons. </w:t>
      </w:r>
      <w:r w:rsidR="00766B25">
        <w:rPr>
          <w:rFonts w:cs="Times New Roman"/>
          <w:sz w:val="22"/>
        </w:rPr>
        <w:t>Th</w:t>
      </w:r>
      <w:r w:rsidR="0016606F">
        <w:rPr>
          <w:rFonts w:cs="Times New Roman"/>
          <w:sz w:val="22"/>
        </w:rPr>
        <w:t xml:space="preserve">ese </w:t>
      </w:r>
      <w:r w:rsidR="00766B25">
        <w:rPr>
          <w:rFonts w:cs="Times New Roman"/>
          <w:sz w:val="22"/>
        </w:rPr>
        <w:t>export</w:t>
      </w:r>
      <w:r w:rsidR="0016606F">
        <w:rPr>
          <w:rFonts w:cs="Times New Roman"/>
          <w:sz w:val="22"/>
        </w:rPr>
        <w:t>s</w:t>
      </w:r>
      <w:r w:rsidR="00766B25">
        <w:rPr>
          <w:rFonts w:cs="Times New Roman"/>
          <w:sz w:val="22"/>
        </w:rPr>
        <w:t xml:space="preserve"> w</w:t>
      </w:r>
      <w:r w:rsidR="0016606F">
        <w:rPr>
          <w:rFonts w:cs="Times New Roman"/>
          <w:sz w:val="22"/>
        </w:rPr>
        <w:t>ere</w:t>
      </w:r>
      <w:r w:rsidR="00766B25">
        <w:rPr>
          <w:rFonts w:cs="Times New Roman"/>
          <w:sz w:val="22"/>
        </w:rPr>
        <w:t xml:space="preserve"> helped by</w:t>
      </w:r>
      <w:r w:rsidRPr="00F44F2C">
        <w:rPr>
          <w:rFonts w:cs="Times New Roman"/>
          <w:sz w:val="22"/>
        </w:rPr>
        <w:t xml:space="preserve"> </w:t>
      </w:r>
      <w:r w:rsidR="00766B25">
        <w:rPr>
          <w:rFonts w:cs="Times New Roman"/>
          <w:sz w:val="22"/>
        </w:rPr>
        <w:t xml:space="preserve">a </w:t>
      </w:r>
      <w:r w:rsidRPr="00F44F2C">
        <w:rPr>
          <w:rFonts w:cs="Times New Roman"/>
          <w:sz w:val="22"/>
        </w:rPr>
        <w:t xml:space="preserve">rebound in European Union (EU) demand and increased exports to the rest of Europe and Central Asia (ECA), including Turkey. China remains a solid client. </w:t>
      </w:r>
      <w:r w:rsidR="0016606F">
        <w:rPr>
          <w:rFonts w:cs="Times New Roman"/>
          <w:sz w:val="22"/>
        </w:rPr>
        <w:t xml:space="preserve">After a surge in 2010, </w:t>
      </w:r>
      <w:r w:rsidR="00362029" w:rsidRPr="00F44F2C">
        <w:rPr>
          <w:rFonts w:cs="Times New Roman"/>
          <w:sz w:val="22"/>
        </w:rPr>
        <w:t xml:space="preserve">Kazakhstan’s exports to Customs Union (CU) partners </w:t>
      </w:r>
      <w:r w:rsidR="0016606F">
        <w:rPr>
          <w:rFonts w:cs="Times New Roman"/>
          <w:sz w:val="22"/>
        </w:rPr>
        <w:t xml:space="preserve">were declining through most of 2012, a trend </w:t>
      </w:r>
      <w:r w:rsidR="00362029" w:rsidRPr="00F44F2C">
        <w:rPr>
          <w:rFonts w:cs="Times New Roman"/>
          <w:sz w:val="22"/>
        </w:rPr>
        <w:t xml:space="preserve">likely </w:t>
      </w:r>
      <w:r w:rsidR="0016606F">
        <w:rPr>
          <w:rFonts w:cs="Times New Roman"/>
          <w:sz w:val="22"/>
        </w:rPr>
        <w:t xml:space="preserve">reflecting the </w:t>
      </w:r>
      <w:r w:rsidR="00362029" w:rsidRPr="00F44F2C">
        <w:rPr>
          <w:rFonts w:cs="Times New Roman"/>
          <w:sz w:val="22"/>
        </w:rPr>
        <w:t xml:space="preserve">adjustments to new regional regulations. </w:t>
      </w:r>
      <w:r w:rsidR="005C6754">
        <w:rPr>
          <w:rFonts w:cs="Times New Roman"/>
          <w:sz w:val="22"/>
        </w:rPr>
        <w:t>D</w:t>
      </w:r>
      <w:r w:rsidR="005C6754" w:rsidRPr="00766B25">
        <w:rPr>
          <w:rFonts w:cs="Times New Roman"/>
          <w:sz w:val="22"/>
        </w:rPr>
        <w:t xml:space="preserve">ata </w:t>
      </w:r>
      <w:r w:rsidR="005C6754">
        <w:rPr>
          <w:rFonts w:cs="Times New Roman"/>
          <w:sz w:val="22"/>
        </w:rPr>
        <w:t xml:space="preserve">for </w:t>
      </w:r>
      <w:r w:rsidR="005C6754" w:rsidRPr="00766B25">
        <w:rPr>
          <w:rFonts w:cs="Times New Roman"/>
          <w:sz w:val="22"/>
        </w:rPr>
        <w:t>January</w:t>
      </w:r>
      <w:r w:rsidR="005C6754">
        <w:rPr>
          <w:rFonts w:cs="Times New Roman"/>
          <w:sz w:val="22"/>
        </w:rPr>
        <w:t>-</w:t>
      </w:r>
      <w:r w:rsidR="005C6754" w:rsidRPr="00766B25">
        <w:rPr>
          <w:rFonts w:cs="Times New Roman"/>
          <w:sz w:val="22"/>
        </w:rPr>
        <w:t>August 2013 suggest a slight recovery in</w:t>
      </w:r>
      <w:r w:rsidR="005C6754">
        <w:rPr>
          <w:rFonts w:cs="Times New Roman"/>
          <w:sz w:val="22"/>
        </w:rPr>
        <w:t xml:space="preserve"> exports to the CU partners</w:t>
      </w:r>
      <w:r w:rsidR="005C6754" w:rsidRPr="00766B25">
        <w:rPr>
          <w:rFonts w:cs="Times New Roman"/>
          <w:sz w:val="22"/>
        </w:rPr>
        <w:t xml:space="preserve">.  </w:t>
      </w:r>
      <w:r w:rsidR="00793A85">
        <w:rPr>
          <w:rFonts w:cs="Times New Roman"/>
          <w:sz w:val="22"/>
        </w:rPr>
        <w:t xml:space="preserve">Sustained strong demand for hydrocarbons abroad continues to lead to further concentration of Kazakhstan’s exports. </w:t>
      </w:r>
      <w:r w:rsidR="00657009" w:rsidRPr="00766B25">
        <w:rPr>
          <w:rFonts w:cs="Times New Roman"/>
          <w:sz w:val="22"/>
        </w:rPr>
        <w:t xml:space="preserve">In view of Kazakhstan’s 2050 development goals, this concentration will </w:t>
      </w:r>
      <w:r w:rsidR="00CB2930" w:rsidRPr="00766B25">
        <w:rPr>
          <w:rFonts w:cs="Times New Roman"/>
          <w:sz w:val="22"/>
        </w:rPr>
        <w:t>need to be addressed through a structural diversification in the econo</w:t>
      </w:r>
      <w:r w:rsidR="00657009" w:rsidRPr="00766B25">
        <w:rPr>
          <w:rFonts w:cs="Times New Roman"/>
          <w:sz w:val="22"/>
        </w:rPr>
        <w:t xml:space="preserve">my in the medium to long term. The analysis </w:t>
      </w:r>
      <w:r w:rsidR="00657009" w:rsidRPr="00766B25">
        <w:rPr>
          <w:rFonts w:cs="Times New Roman"/>
          <w:i/>
          <w:sz w:val="22"/>
        </w:rPr>
        <w:t xml:space="preserve">Kazakhstan–Beyond Oil: Kazakhstan’s path to greater prosperity through diversifying </w:t>
      </w:r>
      <w:r w:rsidR="00657009" w:rsidRPr="00766B25">
        <w:rPr>
          <w:rFonts w:cs="Times New Roman"/>
          <w:sz w:val="22"/>
        </w:rPr>
        <w:t>(World Bank, 2013) provides recommendations in this regard.</w:t>
      </w:r>
      <w:r w:rsidR="00786508" w:rsidRPr="00766B25">
        <w:rPr>
          <w:rFonts w:cs="Times New Roman"/>
          <w:sz w:val="22"/>
        </w:rPr>
        <w:t xml:space="preserve"> </w:t>
      </w:r>
    </w:p>
    <w:p w:rsidR="00362029" w:rsidRDefault="00362029" w:rsidP="00F44F2C">
      <w:pPr>
        <w:pStyle w:val="ListParagraph"/>
        <w:numPr>
          <w:ilvl w:val="0"/>
          <w:numId w:val="1"/>
        </w:numPr>
        <w:tabs>
          <w:tab w:val="left" w:pos="720"/>
        </w:tabs>
        <w:spacing w:line="240" w:lineRule="auto"/>
        <w:ind w:left="0" w:firstLine="0"/>
        <w:contextualSpacing w:val="0"/>
        <w:rPr>
          <w:rFonts w:cs="Times New Roman"/>
          <w:sz w:val="22"/>
        </w:rPr>
      </w:pPr>
      <w:r w:rsidRPr="00F44F2C">
        <w:rPr>
          <w:rFonts w:cs="Times New Roman"/>
          <w:b/>
          <w:sz w:val="22"/>
        </w:rPr>
        <w:t xml:space="preserve">On the import side, while Kazakhstan experienced </w:t>
      </w:r>
      <w:r w:rsidR="004E4926">
        <w:rPr>
          <w:rFonts w:cs="Times New Roman"/>
          <w:b/>
          <w:sz w:val="22"/>
        </w:rPr>
        <w:t xml:space="preserve">trade diversion - </w:t>
      </w:r>
      <w:r w:rsidRPr="00F44F2C">
        <w:rPr>
          <w:rFonts w:cs="Times New Roman"/>
          <w:b/>
          <w:sz w:val="22"/>
        </w:rPr>
        <w:t>an initial surge of imports from the CU partners in 2010-11</w:t>
      </w:r>
      <w:r w:rsidR="004E4926">
        <w:rPr>
          <w:rFonts w:cs="Times New Roman"/>
          <w:b/>
          <w:sz w:val="22"/>
        </w:rPr>
        <w:t xml:space="preserve">, </w:t>
      </w:r>
      <w:r w:rsidR="00793A85">
        <w:rPr>
          <w:rFonts w:cs="Times New Roman"/>
          <w:b/>
          <w:sz w:val="22"/>
        </w:rPr>
        <w:t xml:space="preserve">other global partners will be driving </w:t>
      </w:r>
      <w:r w:rsidRPr="00F44F2C">
        <w:rPr>
          <w:rFonts w:cs="Times New Roman"/>
          <w:b/>
          <w:sz w:val="22"/>
        </w:rPr>
        <w:t xml:space="preserve">Kazakhstan’s imports </w:t>
      </w:r>
      <w:r w:rsidR="00793A85">
        <w:rPr>
          <w:rFonts w:cs="Times New Roman"/>
          <w:b/>
          <w:sz w:val="22"/>
        </w:rPr>
        <w:t xml:space="preserve">over the longer term. </w:t>
      </w:r>
      <w:r w:rsidRPr="00F44F2C">
        <w:rPr>
          <w:rFonts w:cs="Times New Roman"/>
          <w:sz w:val="22"/>
        </w:rPr>
        <w:t>First, much of the import surge from the CU appears to be thanks to a doubling of transport equipment to 12 percent of total imports (HS-2 import category).</w:t>
      </w:r>
      <w:r w:rsidR="00786508">
        <w:rPr>
          <w:rFonts w:cs="Times New Roman"/>
          <w:sz w:val="22"/>
        </w:rPr>
        <w:t xml:space="preserve"> </w:t>
      </w:r>
      <w:r w:rsidRPr="00F44F2C">
        <w:rPr>
          <w:rFonts w:cs="Times New Roman"/>
          <w:sz w:val="22"/>
        </w:rPr>
        <w:t xml:space="preserve">Second, there was a rather pronounced shift </w:t>
      </w:r>
      <w:r w:rsidR="00766B25">
        <w:rPr>
          <w:rFonts w:cs="Times New Roman"/>
          <w:sz w:val="22"/>
        </w:rPr>
        <w:t>in</w:t>
      </w:r>
      <w:r w:rsidRPr="00F44F2C">
        <w:rPr>
          <w:rFonts w:cs="Times New Roman"/>
          <w:sz w:val="22"/>
        </w:rPr>
        <w:t xml:space="preserve"> import partners from the EU to China as far back as 2005. This shift was accentuated after the creation of the CU:</w:t>
      </w:r>
      <w:r w:rsidR="005C6754">
        <w:rPr>
          <w:rFonts w:cs="Times New Roman"/>
          <w:sz w:val="22"/>
        </w:rPr>
        <w:t xml:space="preserve">  </w:t>
      </w:r>
      <w:r w:rsidRPr="00F44F2C">
        <w:rPr>
          <w:rFonts w:cs="Times New Roman"/>
          <w:sz w:val="22"/>
        </w:rPr>
        <w:t xml:space="preserve">it impacted negatively the EU-27 exports to Kazakhstan in almost all HS-2 import categories, while China made inroads in almost all the same sectoral markets. This shift is a </w:t>
      </w:r>
      <w:r w:rsidR="00657009">
        <w:rPr>
          <w:rFonts w:cs="Times New Roman"/>
          <w:sz w:val="22"/>
        </w:rPr>
        <w:t>reflection</w:t>
      </w:r>
      <w:r w:rsidRPr="00F44F2C">
        <w:rPr>
          <w:rFonts w:cs="Times New Roman"/>
          <w:sz w:val="22"/>
        </w:rPr>
        <w:t xml:space="preserve"> of how competitive China remained in view of new CU tariffs affecting its imports compared to the EU. Finally, the role of smaller </w:t>
      </w:r>
      <w:r w:rsidR="00793A85">
        <w:rPr>
          <w:rFonts w:cs="Times New Roman"/>
          <w:sz w:val="22"/>
        </w:rPr>
        <w:t xml:space="preserve">exporters, </w:t>
      </w:r>
      <w:r w:rsidRPr="00F44F2C">
        <w:rPr>
          <w:rFonts w:cs="Times New Roman"/>
          <w:sz w:val="22"/>
        </w:rPr>
        <w:t xml:space="preserve">such as North America and the rest of Asia, remains steady. </w:t>
      </w:r>
    </w:p>
    <w:p w:rsidR="006542B7" w:rsidRPr="006D10A5" w:rsidRDefault="006542B7" w:rsidP="006D10A5">
      <w:pPr>
        <w:pStyle w:val="ListParagraph"/>
        <w:numPr>
          <w:ilvl w:val="0"/>
          <w:numId w:val="1"/>
        </w:numPr>
        <w:tabs>
          <w:tab w:val="left" w:pos="720"/>
        </w:tabs>
        <w:spacing w:line="240" w:lineRule="auto"/>
        <w:ind w:left="0" w:firstLine="0"/>
        <w:contextualSpacing w:val="0"/>
        <w:rPr>
          <w:rFonts w:cs="Times New Roman"/>
          <w:sz w:val="22"/>
        </w:rPr>
      </w:pPr>
      <w:r w:rsidRPr="006D10A5">
        <w:rPr>
          <w:rFonts w:cs="Times New Roman"/>
          <w:b/>
          <w:sz w:val="22"/>
        </w:rPr>
        <w:t xml:space="preserve">Accession to the WTO </w:t>
      </w:r>
      <w:r w:rsidRPr="00022C05">
        <w:rPr>
          <w:rFonts w:cs="Times New Roman"/>
          <w:b/>
          <w:sz w:val="22"/>
        </w:rPr>
        <w:t>using the Russia tariff schedule</w:t>
      </w:r>
      <w:r w:rsidRPr="00022C05" w:rsidDel="006542B7">
        <w:rPr>
          <w:rFonts w:cs="Times New Roman"/>
          <w:b/>
          <w:sz w:val="22"/>
        </w:rPr>
        <w:t xml:space="preserve"> </w:t>
      </w:r>
      <w:r w:rsidR="005B60CB" w:rsidRPr="006D10A5">
        <w:rPr>
          <w:rFonts w:cs="Times New Roman"/>
          <w:b/>
          <w:sz w:val="22"/>
        </w:rPr>
        <w:t xml:space="preserve">will benefit </w:t>
      </w:r>
      <w:r w:rsidRPr="006D10A5">
        <w:rPr>
          <w:rFonts w:cs="Times New Roman"/>
          <w:b/>
          <w:sz w:val="22"/>
        </w:rPr>
        <w:t>Kazakhstan</w:t>
      </w:r>
      <w:r w:rsidR="005B60CB" w:rsidRPr="006D10A5">
        <w:rPr>
          <w:rFonts w:cs="Times New Roman"/>
          <w:b/>
          <w:sz w:val="22"/>
        </w:rPr>
        <w:t>, especially if the implementation timeline is short</w:t>
      </w:r>
      <w:r w:rsidR="005B60CB" w:rsidRPr="006D10A5">
        <w:rPr>
          <w:rFonts w:cs="Times New Roman"/>
          <w:sz w:val="22"/>
        </w:rPr>
        <w:t>.</w:t>
      </w:r>
      <w:r w:rsidR="00786508">
        <w:rPr>
          <w:rFonts w:cs="Times New Roman"/>
          <w:sz w:val="22"/>
        </w:rPr>
        <w:t xml:space="preserve"> </w:t>
      </w:r>
      <w:r w:rsidR="00F333FB" w:rsidRPr="006D10A5">
        <w:rPr>
          <w:rFonts w:cs="Times New Roman"/>
          <w:sz w:val="22"/>
        </w:rPr>
        <w:t xml:space="preserve">The analysis assumes implementation to start in 2012, and finds that by 2016, the </w:t>
      </w:r>
      <w:r w:rsidR="005B60CB" w:rsidRPr="006D10A5">
        <w:rPr>
          <w:rFonts w:cs="Times New Roman"/>
          <w:sz w:val="22"/>
        </w:rPr>
        <w:t xml:space="preserve">average weighted </w:t>
      </w:r>
      <w:r w:rsidR="00F333FB" w:rsidRPr="006D10A5">
        <w:rPr>
          <w:rFonts w:cs="Times New Roman"/>
          <w:sz w:val="22"/>
        </w:rPr>
        <w:t xml:space="preserve">tariff </w:t>
      </w:r>
      <w:r w:rsidR="005B60CB" w:rsidRPr="006D10A5">
        <w:rPr>
          <w:rFonts w:cs="Times New Roman"/>
          <w:sz w:val="22"/>
        </w:rPr>
        <w:t xml:space="preserve">rates will </w:t>
      </w:r>
      <w:r w:rsidR="00F333FB" w:rsidRPr="006D10A5">
        <w:rPr>
          <w:rFonts w:cs="Times New Roman"/>
          <w:sz w:val="22"/>
        </w:rPr>
        <w:t xml:space="preserve">fall back close to </w:t>
      </w:r>
      <w:r w:rsidR="005B60CB" w:rsidRPr="006D10A5">
        <w:rPr>
          <w:rFonts w:cs="Times New Roman"/>
          <w:sz w:val="22"/>
        </w:rPr>
        <w:t>2009 pre-CU levels</w:t>
      </w:r>
      <w:r w:rsidR="00F333FB" w:rsidRPr="006D10A5">
        <w:rPr>
          <w:rFonts w:cs="Times New Roman"/>
          <w:sz w:val="22"/>
        </w:rPr>
        <w:t>, reversing the CU related tariff increases and consequent trade diversion.</w:t>
      </w:r>
      <w:r w:rsidR="00F333FB" w:rsidRPr="006D10A5">
        <w:rPr>
          <w:rFonts w:cs="Times New Roman"/>
          <w:b/>
          <w:sz w:val="22"/>
        </w:rPr>
        <w:t xml:space="preserve"> </w:t>
      </w:r>
      <w:r w:rsidR="009542F0" w:rsidRPr="002870BE">
        <w:rPr>
          <w:rFonts w:cs="Times New Roman"/>
          <w:sz w:val="22"/>
        </w:rPr>
        <w:t xml:space="preserve">Accession </w:t>
      </w:r>
      <w:r w:rsidR="009542F0">
        <w:rPr>
          <w:rFonts w:cs="Times New Roman"/>
          <w:sz w:val="22"/>
        </w:rPr>
        <w:t xml:space="preserve">to the </w:t>
      </w:r>
      <w:r w:rsidR="005B60CB" w:rsidRPr="006D10A5">
        <w:rPr>
          <w:rFonts w:cs="Times New Roman"/>
          <w:sz w:val="22"/>
        </w:rPr>
        <w:t xml:space="preserve">WTO will lead </w:t>
      </w:r>
      <w:r w:rsidR="008A48B2" w:rsidRPr="006D10A5">
        <w:rPr>
          <w:rFonts w:cs="Times New Roman"/>
          <w:sz w:val="22"/>
        </w:rPr>
        <w:t xml:space="preserve">to aggregate </w:t>
      </w:r>
      <w:r w:rsidR="005B60CB" w:rsidRPr="006D10A5">
        <w:rPr>
          <w:rFonts w:cs="Times New Roman"/>
          <w:sz w:val="22"/>
        </w:rPr>
        <w:t>welfare gains</w:t>
      </w:r>
      <w:r w:rsidR="008A48B2" w:rsidRPr="006D10A5">
        <w:rPr>
          <w:rFonts w:cs="Times New Roman"/>
          <w:sz w:val="22"/>
        </w:rPr>
        <w:t xml:space="preserve"> of 0.1 percent of GDP per year</w:t>
      </w:r>
      <w:r w:rsidR="001E5E43" w:rsidRPr="006D10A5">
        <w:rPr>
          <w:rFonts w:cs="Times New Roman"/>
          <w:sz w:val="22"/>
        </w:rPr>
        <w:t>.</w:t>
      </w:r>
      <w:r w:rsidR="004C1B07">
        <w:rPr>
          <w:rFonts w:cs="Times New Roman"/>
          <w:sz w:val="22"/>
        </w:rPr>
        <w:t xml:space="preserve">  </w:t>
      </w:r>
      <w:r w:rsidR="001E5E43" w:rsidRPr="006D10A5">
        <w:rPr>
          <w:rFonts w:cs="Times New Roman"/>
          <w:sz w:val="22"/>
        </w:rPr>
        <w:t>Sectoral impacts on output and employment are</w:t>
      </w:r>
      <w:r w:rsidR="008A48B2" w:rsidRPr="006D10A5">
        <w:rPr>
          <w:rFonts w:cs="Times New Roman"/>
          <w:sz w:val="22"/>
        </w:rPr>
        <w:t xml:space="preserve"> </w:t>
      </w:r>
      <w:r w:rsidR="001E5E43" w:rsidRPr="006D10A5">
        <w:rPr>
          <w:rFonts w:cs="Times New Roman"/>
          <w:sz w:val="22"/>
        </w:rPr>
        <w:t>varied: t</w:t>
      </w:r>
      <w:r w:rsidR="008A48B2" w:rsidRPr="006D10A5">
        <w:rPr>
          <w:rFonts w:cs="Times New Roman"/>
          <w:sz w:val="22"/>
        </w:rPr>
        <w:t>radable goods industries will tend to lose while services will gain.</w:t>
      </w:r>
      <w:r w:rsidR="00786508">
        <w:rPr>
          <w:rFonts w:cs="Times New Roman"/>
          <w:sz w:val="22"/>
        </w:rPr>
        <w:t xml:space="preserve"> </w:t>
      </w:r>
      <w:r w:rsidR="008A48B2" w:rsidRPr="006D10A5">
        <w:rPr>
          <w:rFonts w:cs="Times New Roman"/>
          <w:sz w:val="22"/>
        </w:rPr>
        <w:t>Regardless of these sectoral differences, labor and capital earnings will increase modestly (</w:t>
      </w:r>
      <w:r w:rsidR="009542F0">
        <w:rPr>
          <w:rFonts w:cs="Times New Roman"/>
          <w:sz w:val="22"/>
        </w:rPr>
        <w:t xml:space="preserve">by </w:t>
      </w:r>
      <w:r w:rsidR="008A48B2" w:rsidRPr="006D10A5">
        <w:rPr>
          <w:rFonts w:cs="Times New Roman"/>
          <w:sz w:val="22"/>
        </w:rPr>
        <w:t>about</w:t>
      </w:r>
      <w:r w:rsidR="001E5E43" w:rsidRPr="006D10A5">
        <w:rPr>
          <w:rFonts w:cs="Times New Roman"/>
          <w:sz w:val="22"/>
        </w:rPr>
        <w:t xml:space="preserve"> 0.5 to 0.6 percent per year). </w:t>
      </w:r>
      <w:r w:rsidR="008A48B2" w:rsidRPr="006D10A5">
        <w:rPr>
          <w:rFonts w:cs="Times New Roman"/>
          <w:sz w:val="22"/>
        </w:rPr>
        <w:t>While aggregate trade increases modestly (0.6 percent per year), tariff revenues fall due to tariff liberalization.</w:t>
      </w:r>
      <w:r w:rsidR="00786508">
        <w:rPr>
          <w:rFonts w:cs="Times New Roman"/>
          <w:sz w:val="22"/>
        </w:rPr>
        <w:t xml:space="preserve"> </w:t>
      </w:r>
      <w:r w:rsidR="008A48B2" w:rsidRPr="006D10A5">
        <w:rPr>
          <w:rFonts w:cs="Times New Roman"/>
          <w:sz w:val="22"/>
        </w:rPr>
        <w:t xml:space="preserve">If implementation of the tariff schedule is accompanied by a 30 percent decrease in the costs of trade facilitation, the impact on </w:t>
      </w:r>
      <w:r w:rsidR="001E5E43" w:rsidRPr="006D10A5">
        <w:rPr>
          <w:rFonts w:cs="Times New Roman"/>
          <w:sz w:val="22"/>
        </w:rPr>
        <w:t xml:space="preserve">overall </w:t>
      </w:r>
      <w:r w:rsidR="008A48B2" w:rsidRPr="006D10A5">
        <w:rPr>
          <w:rFonts w:cs="Times New Roman"/>
          <w:sz w:val="22"/>
        </w:rPr>
        <w:lastRenderedPageBreak/>
        <w:t xml:space="preserve">welfare will </w:t>
      </w:r>
      <w:r w:rsidR="004C1B07">
        <w:rPr>
          <w:rFonts w:cs="Times New Roman"/>
          <w:sz w:val="22"/>
        </w:rPr>
        <w:t>increase</w:t>
      </w:r>
      <w:r w:rsidR="004C1B07" w:rsidRPr="006D10A5">
        <w:rPr>
          <w:rFonts w:cs="Times New Roman"/>
          <w:sz w:val="22"/>
        </w:rPr>
        <w:t xml:space="preserve"> </w:t>
      </w:r>
      <w:r w:rsidR="008A48B2" w:rsidRPr="006D10A5">
        <w:rPr>
          <w:rFonts w:cs="Times New Roman"/>
          <w:sz w:val="22"/>
        </w:rPr>
        <w:t>to 0.9 percent of G</w:t>
      </w:r>
      <w:r w:rsidR="001E5E43" w:rsidRPr="006D10A5">
        <w:rPr>
          <w:rFonts w:cs="Times New Roman"/>
          <w:sz w:val="22"/>
        </w:rPr>
        <w:t xml:space="preserve">PD per year, </w:t>
      </w:r>
      <w:r w:rsidR="008A48B2" w:rsidRPr="006D10A5">
        <w:rPr>
          <w:rFonts w:cs="Times New Roman"/>
          <w:sz w:val="22"/>
        </w:rPr>
        <w:t xml:space="preserve">while labor </w:t>
      </w:r>
      <w:r w:rsidR="001E5E43" w:rsidRPr="006D10A5">
        <w:rPr>
          <w:rFonts w:cs="Times New Roman"/>
          <w:sz w:val="22"/>
        </w:rPr>
        <w:t>and capital incomes will increase by 1.8</w:t>
      </w:r>
      <w:r w:rsidR="00856671">
        <w:rPr>
          <w:rFonts w:cs="Times New Roman"/>
          <w:sz w:val="22"/>
        </w:rPr>
        <w:t> </w:t>
      </w:r>
      <w:r w:rsidR="001E5E43" w:rsidRPr="006D10A5">
        <w:rPr>
          <w:rFonts w:cs="Times New Roman"/>
          <w:sz w:val="22"/>
        </w:rPr>
        <w:t>percent and 1.1 percent per year, respectively.</w:t>
      </w:r>
      <w:r w:rsidR="00786508">
        <w:rPr>
          <w:rFonts w:cs="Times New Roman"/>
          <w:sz w:val="22"/>
        </w:rPr>
        <w:t xml:space="preserve"> </w:t>
      </w:r>
    </w:p>
    <w:p w:rsidR="00667F28" w:rsidRPr="00022C05" w:rsidRDefault="006126E0" w:rsidP="00022C05">
      <w:pPr>
        <w:pStyle w:val="ListParagraph"/>
        <w:numPr>
          <w:ilvl w:val="0"/>
          <w:numId w:val="1"/>
        </w:numPr>
        <w:tabs>
          <w:tab w:val="left" w:pos="720"/>
        </w:tabs>
        <w:spacing w:line="240" w:lineRule="auto"/>
        <w:ind w:left="0" w:firstLine="0"/>
        <w:contextualSpacing w:val="0"/>
        <w:rPr>
          <w:rFonts w:cs="Times New Roman"/>
          <w:sz w:val="22"/>
        </w:rPr>
      </w:pPr>
      <w:r w:rsidRPr="001E5E43">
        <w:rPr>
          <w:rFonts w:cs="Times New Roman"/>
          <w:b/>
          <w:sz w:val="22"/>
        </w:rPr>
        <w:t xml:space="preserve">Accession to the WTO </w:t>
      </w:r>
      <w:r>
        <w:rPr>
          <w:rFonts w:cs="Times New Roman"/>
          <w:b/>
          <w:sz w:val="22"/>
        </w:rPr>
        <w:t xml:space="preserve">using the Russia tariff schedule </w:t>
      </w:r>
      <w:r w:rsidRPr="001E5E43">
        <w:rPr>
          <w:rFonts w:cs="Times New Roman"/>
          <w:b/>
          <w:sz w:val="22"/>
        </w:rPr>
        <w:t xml:space="preserve">will </w:t>
      </w:r>
      <w:r>
        <w:rPr>
          <w:rFonts w:cs="Times New Roman"/>
          <w:b/>
          <w:sz w:val="22"/>
        </w:rPr>
        <w:t>alleviate the</w:t>
      </w:r>
      <w:r w:rsidRPr="00D03284">
        <w:rPr>
          <w:rFonts w:cs="Times New Roman"/>
          <w:sz w:val="22"/>
        </w:rPr>
        <w:t xml:space="preserve"> </w:t>
      </w:r>
      <w:r w:rsidRPr="00F44F2C">
        <w:rPr>
          <w:rFonts w:cs="Times New Roman"/>
          <w:b/>
          <w:sz w:val="22"/>
        </w:rPr>
        <w:t xml:space="preserve">impact of higher CU tariff schedules on intermediate </w:t>
      </w:r>
      <w:r w:rsidR="00F44F2C" w:rsidRPr="00F44F2C">
        <w:rPr>
          <w:rFonts w:cs="Times New Roman"/>
          <w:b/>
          <w:sz w:val="22"/>
        </w:rPr>
        <w:t>imports</w:t>
      </w:r>
      <w:r w:rsidR="00657009">
        <w:rPr>
          <w:rFonts w:cs="Times New Roman"/>
          <w:sz w:val="22"/>
        </w:rPr>
        <w:t>. Th</w:t>
      </w:r>
      <w:r w:rsidR="00F44F2C">
        <w:rPr>
          <w:rFonts w:cs="Times New Roman"/>
          <w:sz w:val="22"/>
        </w:rPr>
        <w:t>is</w:t>
      </w:r>
      <w:r>
        <w:rPr>
          <w:rFonts w:cs="Times New Roman"/>
          <w:sz w:val="22"/>
        </w:rPr>
        <w:t xml:space="preserve"> </w:t>
      </w:r>
      <w:r w:rsidR="00022C05">
        <w:rPr>
          <w:rFonts w:cs="Times New Roman"/>
          <w:sz w:val="22"/>
        </w:rPr>
        <w:t xml:space="preserve">should ease the </w:t>
      </w:r>
      <w:r>
        <w:rPr>
          <w:rFonts w:cs="Times New Roman"/>
          <w:sz w:val="22"/>
        </w:rPr>
        <w:t xml:space="preserve">concern that </w:t>
      </w:r>
      <w:r w:rsidR="00022C05">
        <w:rPr>
          <w:rFonts w:cs="Times New Roman"/>
          <w:sz w:val="22"/>
        </w:rPr>
        <w:t xml:space="preserve">the higher CU tariff may in the long run affect the knowledge and technology content of intermediate inputs and by extension the productivity growth in </w:t>
      </w:r>
      <w:r w:rsidR="0046751F">
        <w:rPr>
          <w:rFonts w:cs="Times New Roman"/>
          <w:sz w:val="22"/>
        </w:rPr>
        <w:t xml:space="preserve">Kazakhstani </w:t>
      </w:r>
      <w:r w:rsidR="00022C05">
        <w:rPr>
          <w:rFonts w:cs="Times New Roman"/>
          <w:sz w:val="22"/>
        </w:rPr>
        <w:t>sectors that use them.</w:t>
      </w:r>
      <w:r w:rsidR="00786508">
        <w:rPr>
          <w:rFonts w:cs="Times New Roman"/>
          <w:sz w:val="22"/>
        </w:rPr>
        <w:t xml:space="preserve"> </w:t>
      </w:r>
      <w:r w:rsidR="00022C05">
        <w:rPr>
          <w:rFonts w:cs="Times New Roman"/>
          <w:sz w:val="22"/>
        </w:rPr>
        <w:t xml:space="preserve">Nevertheless, the authorities </w:t>
      </w:r>
      <w:r w:rsidR="00022C05" w:rsidRPr="00022C05">
        <w:rPr>
          <w:rFonts w:cs="Times New Roman"/>
          <w:sz w:val="22"/>
        </w:rPr>
        <w:t>should r</w:t>
      </w:r>
      <w:r w:rsidR="00667F28" w:rsidRPr="00F44F2C">
        <w:rPr>
          <w:rFonts w:cs="Times New Roman"/>
          <w:sz w:val="22"/>
        </w:rPr>
        <w:t>emain vigilant regarding the knowledge content of imports to facilitate technological upgrading and increased productivity in the economy</w:t>
      </w:r>
      <w:r w:rsidR="00022C05" w:rsidRPr="00F44F2C">
        <w:rPr>
          <w:rFonts w:cs="Times New Roman"/>
          <w:sz w:val="22"/>
        </w:rPr>
        <w:t>.</w:t>
      </w:r>
      <w:r w:rsidR="00786508">
        <w:rPr>
          <w:rFonts w:cs="Times New Roman"/>
          <w:sz w:val="22"/>
        </w:rPr>
        <w:t xml:space="preserve"> </w:t>
      </w:r>
      <w:r w:rsidR="00667F28" w:rsidRPr="00F44F2C">
        <w:rPr>
          <w:rFonts w:cs="Times New Roman"/>
          <w:sz w:val="22"/>
        </w:rPr>
        <w:t>This can be done by developing and implementing regular in-depth trade reviews, combined with business surveys.</w:t>
      </w:r>
      <w:r w:rsidR="00786508">
        <w:rPr>
          <w:rFonts w:cs="Times New Roman"/>
          <w:sz w:val="22"/>
        </w:rPr>
        <w:t xml:space="preserve"> </w:t>
      </w:r>
    </w:p>
    <w:p w:rsidR="00D6391F" w:rsidRDefault="00022C05" w:rsidP="000002D1">
      <w:pPr>
        <w:pStyle w:val="ListParagraph"/>
        <w:numPr>
          <w:ilvl w:val="0"/>
          <w:numId w:val="1"/>
        </w:numPr>
        <w:tabs>
          <w:tab w:val="left" w:pos="720"/>
        </w:tabs>
        <w:spacing w:line="240" w:lineRule="auto"/>
        <w:ind w:left="0" w:firstLine="0"/>
        <w:contextualSpacing w:val="0"/>
        <w:rPr>
          <w:rFonts w:cs="Times New Roman"/>
          <w:sz w:val="22"/>
        </w:rPr>
      </w:pPr>
      <w:r>
        <w:rPr>
          <w:rFonts w:cs="Times New Roman"/>
          <w:b/>
          <w:sz w:val="22"/>
        </w:rPr>
        <w:t xml:space="preserve">In fact, </w:t>
      </w:r>
      <w:r w:rsidR="006F20F2">
        <w:rPr>
          <w:rFonts w:cs="Times New Roman"/>
          <w:b/>
          <w:sz w:val="22"/>
        </w:rPr>
        <w:t>the authorities</w:t>
      </w:r>
      <w:r w:rsidR="006D10A5" w:rsidRPr="008863C8">
        <w:rPr>
          <w:rFonts w:cs="Times New Roman"/>
          <w:b/>
          <w:sz w:val="22"/>
        </w:rPr>
        <w:t xml:space="preserve"> </w:t>
      </w:r>
      <w:r w:rsidR="006D10A5" w:rsidRPr="00F44F2C">
        <w:rPr>
          <w:rFonts w:cs="Times New Roman"/>
          <w:b/>
          <w:sz w:val="22"/>
        </w:rPr>
        <w:t>should consider joining the WTO on a more liberal tariff schedule than Russia</w:t>
      </w:r>
      <w:r w:rsidR="006F20F2">
        <w:rPr>
          <w:rFonts w:cs="Times New Roman"/>
          <w:b/>
          <w:sz w:val="22"/>
        </w:rPr>
        <w:t>’s schedule</w:t>
      </w:r>
      <w:r w:rsidR="006D10A5" w:rsidRPr="008863C8">
        <w:rPr>
          <w:rFonts w:cs="Times New Roman"/>
          <w:sz w:val="22"/>
        </w:rPr>
        <w:t>.</w:t>
      </w:r>
      <w:r w:rsidR="00786508">
        <w:rPr>
          <w:rFonts w:cs="Times New Roman"/>
          <w:sz w:val="22"/>
        </w:rPr>
        <w:t xml:space="preserve"> </w:t>
      </w:r>
      <w:r w:rsidR="006D10A5" w:rsidRPr="008863C8">
        <w:rPr>
          <w:rFonts w:cs="Times New Roman"/>
          <w:sz w:val="22"/>
        </w:rPr>
        <w:t xml:space="preserve">A more liberal schedule would </w:t>
      </w:r>
      <w:r w:rsidR="006F20F2">
        <w:rPr>
          <w:rFonts w:cs="Times New Roman"/>
          <w:sz w:val="22"/>
        </w:rPr>
        <w:t xml:space="preserve">give </w:t>
      </w:r>
      <w:r w:rsidR="0046751F">
        <w:rPr>
          <w:rFonts w:cs="Times New Roman"/>
          <w:sz w:val="22"/>
        </w:rPr>
        <w:t xml:space="preserve">Kazakhstan </w:t>
      </w:r>
      <w:r w:rsidR="00F44F2C">
        <w:rPr>
          <w:rFonts w:cs="Times New Roman"/>
          <w:sz w:val="22"/>
        </w:rPr>
        <w:t>producers</w:t>
      </w:r>
      <w:r w:rsidR="006F20F2">
        <w:rPr>
          <w:rFonts w:cs="Times New Roman"/>
          <w:sz w:val="22"/>
        </w:rPr>
        <w:t xml:space="preserve"> </w:t>
      </w:r>
      <w:r w:rsidR="009542F0">
        <w:rPr>
          <w:rFonts w:cs="Times New Roman"/>
          <w:sz w:val="22"/>
        </w:rPr>
        <w:t xml:space="preserve">improved </w:t>
      </w:r>
      <w:r w:rsidR="006D10A5" w:rsidRPr="008863C8">
        <w:rPr>
          <w:rFonts w:cs="Times New Roman"/>
          <w:sz w:val="22"/>
        </w:rPr>
        <w:t>access to global inputs and its consumers a larger choice of products.</w:t>
      </w:r>
      <w:r w:rsidR="00786508">
        <w:rPr>
          <w:rFonts w:cs="Times New Roman"/>
          <w:sz w:val="22"/>
        </w:rPr>
        <w:t xml:space="preserve"> </w:t>
      </w:r>
      <w:r w:rsidR="006F20F2">
        <w:rPr>
          <w:rFonts w:cs="Times New Roman"/>
          <w:sz w:val="22"/>
        </w:rPr>
        <w:t>The Russia WTO tariff schedule translate</w:t>
      </w:r>
      <w:r w:rsidR="009542F0">
        <w:rPr>
          <w:rFonts w:cs="Times New Roman"/>
          <w:sz w:val="22"/>
        </w:rPr>
        <w:t>s</w:t>
      </w:r>
      <w:r w:rsidR="006F20F2">
        <w:rPr>
          <w:rFonts w:cs="Times New Roman"/>
          <w:sz w:val="22"/>
        </w:rPr>
        <w:t xml:space="preserve"> into </w:t>
      </w:r>
      <w:r w:rsidR="006F20F2" w:rsidRPr="00460AE0">
        <w:rPr>
          <w:rFonts w:cs="Times New Roman"/>
          <w:sz w:val="22"/>
        </w:rPr>
        <w:t xml:space="preserve">weighted tariffs </w:t>
      </w:r>
      <w:r w:rsidR="006F20F2">
        <w:rPr>
          <w:rFonts w:cs="Times New Roman"/>
          <w:sz w:val="22"/>
        </w:rPr>
        <w:t>on</w:t>
      </w:r>
      <w:r w:rsidR="006F20F2" w:rsidRPr="00460AE0">
        <w:rPr>
          <w:rFonts w:cs="Times New Roman"/>
          <w:sz w:val="22"/>
        </w:rPr>
        <w:t xml:space="preserve"> capital goods and intermediate goods </w:t>
      </w:r>
      <w:r w:rsidR="006F20F2">
        <w:rPr>
          <w:rFonts w:cs="Times New Roman"/>
          <w:sz w:val="22"/>
        </w:rPr>
        <w:t xml:space="preserve">that are higher than pre-CU levels: </w:t>
      </w:r>
      <w:r w:rsidR="006F20F2" w:rsidRPr="008863C8">
        <w:rPr>
          <w:rFonts w:cs="Times New Roman"/>
          <w:sz w:val="22"/>
        </w:rPr>
        <w:t>by 2020 the mean trade weighted tariffs on intermediate goods</w:t>
      </w:r>
      <w:r w:rsidR="00786508">
        <w:rPr>
          <w:rFonts w:cs="Times New Roman"/>
          <w:sz w:val="22"/>
        </w:rPr>
        <w:t xml:space="preserve"> </w:t>
      </w:r>
      <w:r w:rsidR="006F20F2" w:rsidRPr="008863C8">
        <w:rPr>
          <w:rFonts w:cs="Times New Roman"/>
          <w:sz w:val="22"/>
        </w:rPr>
        <w:t>and capital goo</w:t>
      </w:r>
      <w:r w:rsidR="006F20F2">
        <w:rPr>
          <w:rFonts w:cs="Times New Roman"/>
          <w:sz w:val="22"/>
        </w:rPr>
        <w:t>ds</w:t>
      </w:r>
      <w:r w:rsidR="006F20F2" w:rsidRPr="008863C8">
        <w:rPr>
          <w:rFonts w:cs="Times New Roman"/>
          <w:sz w:val="22"/>
        </w:rPr>
        <w:t xml:space="preserve"> will still be higher than </w:t>
      </w:r>
      <w:r w:rsidR="009542F0">
        <w:rPr>
          <w:rFonts w:cs="Times New Roman"/>
          <w:sz w:val="22"/>
        </w:rPr>
        <w:t xml:space="preserve">in </w:t>
      </w:r>
      <w:r w:rsidR="006F20F2" w:rsidRPr="008863C8">
        <w:rPr>
          <w:rFonts w:cs="Times New Roman"/>
          <w:sz w:val="22"/>
        </w:rPr>
        <w:t>2009 by 0.5</w:t>
      </w:r>
      <w:r w:rsidR="008E2424">
        <w:rPr>
          <w:rFonts w:cs="Times New Roman"/>
          <w:sz w:val="22"/>
        </w:rPr>
        <w:t> </w:t>
      </w:r>
      <w:r w:rsidR="006F20F2" w:rsidRPr="008863C8">
        <w:rPr>
          <w:rFonts w:cs="Times New Roman"/>
          <w:sz w:val="22"/>
        </w:rPr>
        <w:t>percent and 2.0 percent respectively.</w:t>
      </w:r>
      <w:r w:rsidR="00786508">
        <w:rPr>
          <w:rFonts w:cs="Times New Roman"/>
          <w:sz w:val="22"/>
        </w:rPr>
        <w:t xml:space="preserve"> </w:t>
      </w:r>
      <w:r w:rsidR="006D10A5" w:rsidRPr="008863C8">
        <w:rPr>
          <w:rFonts w:cs="Times New Roman"/>
          <w:sz w:val="22"/>
        </w:rPr>
        <w:t>Also, the Russian tariff schedule has some 1200 lines of bound tariffs (WTO commitments) that are higher than their applied tariffs.</w:t>
      </w:r>
      <w:r w:rsidR="00786508">
        <w:rPr>
          <w:rFonts w:cs="Times New Roman"/>
          <w:sz w:val="22"/>
        </w:rPr>
        <w:t xml:space="preserve"> </w:t>
      </w:r>
      <w:r w:rsidR="006D10A5" w:rsidRPr="008863C8">
        <w:rPr>
          <w:rFonts w:cs="Times New Roman"/>
          <w:sz w:val="22"/>
        </w:rPr>
        <w:t xml:space="preserve">This can be a negotiation lever for Kazakhstan to use in discussions with Russia/CU as well as other negotiating parties. </w:t>
      </w:r>
    </w:p>
    <w:p w:rsidR="00D6391F" w:rsidRPr="00D6391F" w:rsidRDefault="00D6391F" w:rsidP="00D6391F">
      <w:pPr>
        <w:pStyle w:val="ListParagraph"/>
        <w:numPr>
          <w:ilvl w:val="0"/>
          <w:numId w:val="1"/>
        </w:numPr>
        <w:tabs>
          <w:tab w:val="left" w:pos="720"/>
        </w:tabs>
        <w:spacing w:line="240" w:lineRule="auto"/>
        <w:ind w:left="0" w:firstLine="0"/>
        <w:contextualSpacing w:val="0"/>
        <w:rPr>
          <w:rFonts w:cs="Times New Roman"/>
          <w:sz w:val="22"/>
        </w:rPr>
      </w:pPr>
      <w:r w:rsidRPr="000002D1">
        <w:rPr>
          <w:rFonts w:cs="Times New Roman"/>
          <w:b/>
          <w:color w:val="000000"/>
          <w:sz w:val="22"/>
        </w:rPr>
        <w:t>Finalizing WTO negotiations in the disciplines not related to market access (tariffs) will help advance the accession process</w:t>
      </w:r>
      <w:r w:rsidRPr="000002D1">
        <w:rPr>
          <w:rFonts w:cs="Times New Roman"/>
          <w:color w:val="000000"/>
          <w:sz w:val="22"/>
        </w:rPr>
        <w:t>. These include:  the services agreement; regulations and practices governing sanitary and phytosanitary (SPS) measures and technical regulations; the pending issues related to state-owned enterprises,</w:t>
      </w:r>
      <w:r>
        <w:rPr>
          <w:rFonts w:cs="Times New Roman"/>
          <w:color w:val="000000"/>
          <w:sz w:val="22"/>
        </w:rPr>
        <w:t xml:space="preserve"> subsidies, </w:t>
      </w:r>
      <w:r w:rsidRPr="000002D1">
        <w:rPr>
          <w:rFonts w:cs="Times New Roman"/>
          <w:color w:val="000000"/>
          <w:sz w:val="22"/>
        </w:rPr>
        <w:t xml:space="preserve">local content requirements and discriminatory VAT preferences; and trading rights and treatment of natural persons.  </w:t>
      </w:r>
    </w:p>
    <w:p w:rsidR="00722384" w:rsidRDefault="00667F28" w:rsidP="00F44F2C">
      <w:pPr>
        <w:pStyle w:val="ListParagraph"/>
        <w:numPr>
          <w:ilvl w:val="0"/>
          <w:numId w:val="1"/>
        </w:numPr>
        <w:tabs>
          <w:tab w:val="left" w:pos="720"/>
        </w:tabs>
        <w:spacing w:line="240" w:lineRule="auto"/>
        <w:ind w:left="0" w:firstLine="0"/>
        <w:contextualSpacing w:val="0"/>
        <w:rPr>
          <w:rFonts w:cs="Times New Roman"/>
          <w:sz w:val="22"/>
        </w:rPr>
      </w:pPr>
      <w:r w:rsidRPr="00F44F2C">
        <w:rPr>
          <w:rFonts w:cs="Times New Roman"/>
          <w:b/>
          <w:sz w:val="22"/>
        </w:rPr>
        <w:t>Kazakhstan should take time to carefully study any proposal to negotiate a new FTA.</w:t>
      </w:r>
      <w:r w:rsidRPr="00722384">
        <w:rPr>
          <w:rFonts w:cs="Times New Roman"/>
          <w:sz w:val="22"/>
        </w:rPr>
        <w:t xml:space="preserve"> Regional and bilateral agreements can be complex and are prone to failure.</w:t>
      </w:r>
      <w:r w:rsidR="00786508">
        <w:rPr>
          <w:rFonts w:cs="Times New Roman"/>
          <w:sz w:val="22"/>
        </w:rPr>
        <w:t xml:space="preserve"> </w:t>
      </w:r>
      <w:r w:rsidR="00E056BE" w:rsidRPr="00722384">
        <w:rPr>
          <w:rFonts w:cs="Times New Roman"/>
          <w:sz w:val="22"/>
        </w:rPr>
        <w:t>Before</w:t>
      </w:r>
      <w:r w:rsidRPr="00722384">
        <w:rPr>
          <w:rFonts w:cs="Times New Roman"/>
          <w:sz w:val="22"/>
        </w:rPr>
        <w:t xml:space="preserve"> negotiating, Kazakhstan should heed th</w:t>
      </w:r>
      <w:r w:rsidR="0063041A">
        <w:rPr>
          <w:rFonts w:cs="Times New Roman"/>
          <w:sz w:val="22"/>
        </w:rPr>
        <w:t xml:space="preserve">e </w:t>
      </w:r>
      <w:r w:rsidRPr="00722384">
        <w:rPr>
          <w:rFonts w:cs="Times New Roman"/>
          <w:sz w:val="22"/>
        </w:rPr>
        <w:t xml:space="preserve">experience </w:t>
      </w:r>
      <w:r w:rsidR="0063041A">
        <w:rPr>
          <w:rFonts w:cs="Times New Roman"/>
          <w:sz w:val="22"/>
        </w:rPr>
        <w:t xml:space="preserve">of other countries </w:t>
      </w:r>
      <w:r w:rsidRPr="00722384">
        <w:rPr>
          <w:rFonts w:cs="Times New Roman"/>
          <w:sz w:val="22"/>
        </w:rPr>
        <w:t xml:space="preserve">and take time to </w:t>
      </w:r>
      <w:r w:rsidR="00E056BE" w:rsidRPr="00722384">
        <w:rPr>
          <w:rFonts w:cs="Times New Roman"/>
          <w:sz w:val="22"/>
        </w:rPr>
        <w:t>assess t</w:t>
      </w:r>
      <w:r w:rsidR="00722384" w:rsidRPr="00722384">
        <w:rPr>
          <w:rFonts w:cs="Times New Roman"/>
          <w:sz w:val="22"/>
        </w:rPr>
        <w:t>he benefit</w:t>
      </w:r>
      <w:r w:rsidR="009542F0">
        <w:rPr>
          <w:rFonts w:cs="Times New Roman"/>
          <w:sz w:val="22"/>
        </w:rPr>
        <w:t>s</w:t>
      </w:r>
      <w:r w:rsidR="00722384" w:rsidRPr="00722384">
        <w:rPr>
          <w:rFonts w:cs="Times New Roman"/>
          <w:sz w:val="22"/>
        </w:rPr>
        <w:t xml:space="preserve"> and costs of such a membership. This would include analyzing </w:t>
      </w:r>
      <w:r w:rsidRPr="00722384">
        <w:rPr>
          <w:rFonts w:cs="Times New Roman"/>
          <w:sz w:val="22"/>
        </w:rPr>
        <w:t xml:space="preserve">proposals </w:t>
      </w:r>
      <w:r w:rsidR="00722384" w:rsidRPr="00722384">
        <w:rPr>
          <w:rFonts w:cs="Times New Roman"/>
          <w:sz w:val="22"/>
        </w:rPr>
        <w:t xml:space="preserve">fully and </w:t>
      </w:r>
      <w:r w:rsidRPr="00722384">
        <w:rPr>
          <w:rFonts w:cs="Times New Roman"/>
          <w:sz w:val="22"/>
        </w:rPr>
        <w:t>buildi</w:t>
      </w:r>
      <w:r w:rsidR="00722384" w:rsidRPr="00722384">
        <w:rPr>
          <w:rFonts w:cs="Times New Roman"/>
          <w:sz w:val="22"/>
        </w:rPr>
        <w:t>ng cap</w:t>
      </w:r>
      <w:r w:rsidRPr="00722384">
        <w:rPr>
          <w:rFonts w:cs="Times New Roman"/>
          <w:sz w:val="22"/>
        </w:rPr>
        <w:t xml:space="preserve">acity to </w:t>
      </w:r>
      <w:r w:rsidR="00722384" w:rsidRPr="00722384">
        <w:rPr>
          <w:rFonts w:cs="Times New Roman"/>
          <w:sz w:val="22"/>
        </w:rPr>
        <w:t>implement them properly.</w:t>
      </w:r>
      <w:r w:rsidR="00786508">
        <w:rPr>
          <w:rFonts w:cs="Times New Roman"/>
          <w:sz w:val="22"/>
        </w:rPr>
        <w:t xml:space="preserve"> </w:t>
      </w:r>
    </w:p>
    <w:p w:rsidR="00051BF1" w:rsidRPr="00CA4713" w:rsidRDefault="00051BF1" w:rsidP="00A03E71">
      <w:pPr>
        <w:pStyle w:val="ListParagraph"/>
        <w:numPr>
          <w:ilvl w:val="0"/>
          <w:numId w:val="1"/>
        </w:numPr>
        <w:tabs>
          <w:tab w:val="left" w:pos="720"/>
        </w:tabs>
        <w:spacing w:line="240" w:lineRule="auto"/>
        <w:ind w:left="0" w:firstLine="0"/>
        <w:contextualSpacing w:val="0"/>
        <w:rPr>
          <w:rFonts w:cs="Times New Roman"/>
          <w:sz w:val="22"/>
        </w:rPr>
      </w:pPr>
      <w:r w:rsidRPr="00CA4713">
        <w:rPr>
          <w:rFonts w:cs="Times New Roman"/>
          <w:sz w:val="22"/>
        </w:rPr>
        <w:t xml:space="preserve">In the short term, </w:t>
      </w:r>
      <w:r w:rsidR="00856671" w:rsidRPr="00CA4713">
        <w:rPr>
          <w:rFonts w:cs="Times New Roman"/>
          <w:sz w:val="22"/>
        </w:rPr>
        <w:t>four</w:t>
      </w:r>
      <w:r w:rsidRPr="00CA4713">
        <w:rPr>
          <w:rFonts w:cs="Times New Roman"/>
          <w:sz w:val="22"/>
        </w:rPr>
        <w:t xml:space="preserve"> priority actions can strengthen the trade policy framework</w:t>
      </w:r>
      <w:r w:rsidR="00A03E71" w:rsidRPr="00CA4713">
        <w:rPr>
          <w:rFonts w:cs="Times New Roman"/>
          <w:sz w:val="22"/>
        </w:rPr>
        <w:t>:</w:t>
      </w:r>
    </w:p>
    <w:p w:rsidR="001E1A0B" w:rsidRPr="00CA4713" w:rsidRDefault="00CA1724" w:rsidP="00847C1C">
      <w:pPr>
        <w:pStyle w:val="ListParagraph"/>
        <w:numPr>
          <w:ilvl w:val="0"/>
          <w:numId w:val="33"/>
        </w:numPr>
        <w:tabs>
          <w:tab w:val="left" w:pos="720"/>
        </w:tabs>
        <w:spacing w:line="240" w:lineRule="auto"/>
        <w:ind w:left="1080"/>
        <w:contextualSpacing w:val="0"/>
        <w:rPr>
          <w:rFonts w:cs="Times New Roman"/>
          <w:sz w:val="22"/>
        </w:rPr>
      </w:pPr>
      <w:r w:rsidRPr="00CA4713">
        <w:rPr>
          <w:rFonts w:cs="Times New Roman"/>
          <w:sz w:val="22"/>
        </w:rPr>
        <w:t>Finalize</w:t>
      </w:r>
      <w:r w:rsidR="00051BF1" w:rsidRPr="00CA4713">
        <w:rPr>
          <w:rFonts w:cs="Times New Roman"/>
          <w:sz w:val="22"/>
        </w:rPr>
        <w:t xml:space="preserve"> the WTO accession process.  </w:t>
      </w:r>
      <w:r w:rsidR="007F1F7A" w:rsidRPr="00CA4713">
        <w:rPr>
          <w:rFonts w:cs="Times New Roman"/>
          <w:sz w:val="22"/>
        </w:rPr>
        <w:t xml:space="preserve">For tariff negotiations, the Kazakhstani authorities may wish </w:t>
      </w:r>
      <w:r w:rsidR="00165223" w:rsidRPr="00CA4713">
        <w:rPr>
          <w:rFonts w:cs="Times New Roman"/>
          <w:sz w:val="22"/>
        </w:rPr>
        <w:t>to</w:t>
      </w:r>
      <w:r w:rsidR="009674A2" w:rsidRPr="00CA4713">
        <w:rPr>
          <w:rFonts w:cs="Times New Roman"/>
          <w:sz w:val="22"/>
        </w:rPr>
        <w:t xml:space="preserve"> try to</w:t>
      </w:r>
      <w:r w:rsidR="007F1F7A" w:rsidRPr="00CA4713">
        <w:rPr>
          <w:rFonts w:cs="Times New Roman"/>
          <w:sz w:val="22"/>
        </w:rPr>
        <w:t xml:space="preserve"> lock in a tariff schedule more liberal than the one used by Russia at accession, especially as it relates to intermediate and capital goods.    </w:t>
      </w:r>
    </w:p>
    <w:p w:rsidR="007F1F7A" w:rsidRPr="00CA4713" w:rsidRDefault="007F1F7A" w:rsidP="00847C1C">
      <w:pPr>
        <w:pStyle w:val="ListParagraph"/>
        <w:numPr>
          <w:ilvl w:val="0"/>
          <w:numId w:val="33"/>
        </w:numPr>
        <w:tabs>
          <w:tab w:val="left" w:pos="720"/>
        </w:tabs>
        <w:spacing w:line="240" w:lineRule="auto"/>
        <w:ind w:left="1080"/>
        <w:contextualSpacing w:val="0"/>
        <w:rPr>
          <w:rFonts w:cs="Times New Roman"/>
          <w:sz w:val="22"/>
        </w:rPr>
      </w:pPr>
      <w:r w:rsidRPr="00CA4713">
        <w:rPr>
          <w:rFonts w:cs="Times New Roman"/>
          <w:sz w:val="22"/>
        </w:rPr>
        <w:t xml:space="preserve">Finalize the WTO accession process.  </w:t>
      </w:r>
      <w:r w:rsidR="00CA4713" w:rsidRPr="00CA4713">
        <w:rPr>
          <w:rFonts w:cs="Times New Roman"/>
          <w:sz w:val="22"/>
        </w:rPr>
        <w:t>Negotiations on a number</w:t>
      </w:r>
      <w:r w:rsidRPr="00CA4713">
        <w:rPr>
          <w:rFonts w:cs="Times New Roman"/>
          <w:sz w:val="22"/>
        </w:rPr>
        <w:t xml:space="preserve"> topics </w:t>
      </w:r>
      <w:r w:rsidR="00CA4713" w:rsidRPr="00CA4713">
        <w:rPr>
          <w:rFonts w:cs="Times New Roman"/>
          <w:sz w:val="22"/>
        </w:rPr>
        <w:t>still needs to be</w:t>
      </w:r>
      <w:r w:rsidRPr="00CA4713">
        <w:rPr>
          <w:rFonts w:cs="Times New Roman"/>
          <w:sz w:val="22"/>
        </w:rPr>
        <w:t xml:space="preserve"> finalized.  These topics include the services agreement, SPS, TBTs, issues related to local content rules, state-owned enterprises</w:t>
      </w:r>
      <w:r w:rsidR="00D6391F" w:rsidRPr="00CA4713">
        <w:rPr>
          <w:rFonts w:cs="Times New Roman"/>
          <w:sz w:val="22"/>
        </w:rPr>
        <w:t xml:space="preserve"> </w:t>
      </w:r>
      <w:r w:rsidRPr="00CA4713">
        <w:rPr>
          <w:rFonts w:cs="Times New Roman"/>
          <w:sz w:val="22"/>
        </w:rPr>
        <w:t>subsidies</w:t>
      </w:r>
      <w:r w:rsidR="00D6391F" w:rsidRPr="00CA4713">
        <w:rPr>
          <w:rFonts w:cs="Times New Roman"/>
          <w:sz w:val="22"/>
        </w:rPr>
        <w:t xml:space="preserve">, </w:t>
      </w:r>
      <w:r w:rsidR="00D6391F" w:rsidRPr="00CA4713">
        <w:rPr>
          <w:rFonts w:cs="Times New Roman"/>
          <w:color w:val="000000"/>
          <w:sz w:val="22"/>
        </w:rPr>
        <w:t xml:space="preserve">discriminatory VAT preferences; and trading rights and treatment of natural persons.  </w:t>
      </w:r>
    </w:p>
    <w:p w:rsidR="00A03E71" w:rsidRPr="00CA4713" w:rsidRDefault="001B1074" w:rsidP="00847C1C">
      <w:pPr>
        <w:pStyle w:val="ListParagraph"/>
        <w:numPr>
          <w:ilvl w:val="0"/>
          <w:numId w:val="33"/>
        </w:numPr>
        <w:tabs>
          <w:tab w:val="left" w:pos="720"/>
        </w:tabs>
        <w:spacing w:line="240" w:lineRule="auto"/>
        <w:ind w:left="1080"/>
        <w:contextualSpacing w:val="0"/>
        <w:rPr>
          <w:rFonts w:cs="Times New Roman"/>
          <w:sz w:val="22"/>
        </w:rPr>
      </w:pPr>
      <w:r w:rsidRPr="00CA4713">
        <w:rPr>
          <w:rFonts w:cs="Times New Roman"/>
          <w:sz w:val="22"/>
        </w:rPr>
        <w:t>Assess</w:t>
      </w:r>
      <w:r w:rsidR="00F0278D" w:rsidRPr="00CA4713">
        <w:rPr>
          <w:rFonts w:cs="Times New Roman"/>
          <w:sz w:val="22"/>
        </w:rPr>
        <w:t xml:space="preserve"> comprehensively the potential economic impacts of </w:t>
      </w:r>
      <w:r w:rsidRPr="00CA4713">
        <w:rPr>
          <w:rFonts w:cs="Times New Roman"/>
          <w:sz w:val="22"/>
        </w:rPr>
        <w:t>an FTA</w:t>
      </w:r>
      <w:r w:rsidR="00F0278D" w:rsidRPr="00CA4713">
        <w:rPr>
          <w:rFonts w:cs="Times New Roman"/>
          <w:sz w:val="22"/>
        </w:rPr>
        <w:t xml:space="preserve"> before engaging in negotiations. </w:t>
      </w:r>
    </w:p>
    <w:p w:rsidR="00D6391F" w:rsidRPr="00CA4713" w:rsidRDefault="00A03E71" w:rsidP="00847C1C">
      <w:pPr>
        <w:pStyle w:val="ListParagraph"/>
        <w:numPr>
          <w:ilvl w:val="0"/>
          <w:numId w:val="33"/>
        </w:numPr>
        <w:tabs>
          <w:tab w:val="left" w:pos="720"/>
        </w:tabs>
        <w:spacing w:line="240" w:lineRule="auto"/>
        <w:ind w:left="1080"/>
        <w:contextualSpacing w:val="0"/>
        <w:rPr>
          <w:rFonts w:cs="Times New Roman"/>
          <w:sz w:val="22"/>
        </w:rPr>
      </w:pPr>
      <w:r w:rsidRPr="00CA4713">
        <w:rPr>
          <w:rFonts w:cs="Times New Roman"/>
          <w:sz w:val="22"/>
        </w:rPr>
        <w:t xml:space="preserve">If </w:t>
      </w:r>
      <w:r w:rsidR="00165223" w:rsidRPr="00CA4713">
        <w:rPr>
          <w:rFonts w:cs="Times New Roman"/>
          <w:sz w:val="22"/>
        </w:rPr>
        <w:t>negotiating an FTA, the authorities should adopt a design that includes (i) low external MFN tariffs; (ii) few sectoral and product exemptions; (iii) nonrestrictive rules of origin; and (iv)</w:t>
      </w:r>
      <w:r w:rsidR="00856671" w:rsidRPr="00CA4713">
        <w:rPr>
          <w:rFonts w:cs="Times New Roman"/>
          <w:sz w:val="22"/>
        </w:rPr>
        <w:t> </w:t>
      </w:r>
      <w:r w:rsidR="00165223" w:rsidRPr="00CA4713">
        <w:rPr>
          <w:rFonts w:cs="Times New Roman"/>
          <w:sz w:val="22"/>
        </w:rPr>
        <w:t xml:space="preserve">measures to facilitate trade.  </w:t>
      </w:r>
    </w:p>
    <w:p w:rsidR="00177590" w:rsidRDefault="00177590">
      <w:pPr>
        <w:spacing w:line="276" w:lineRule="auto"/>
        <w:jc w:val="left"/>
        <w:rPr>
          <w:rFonts w:cs="Times New Roman"/>
          <w:b/>
          <w:sz w:val="22"/>
        </w:rPr>
      </w:pPr>
      <w:r>
        <w:rPr>
          <w:rFonts w:cs="Times New Roman"/>
          <w:b/>
          <w:sz w:val="22"/>
        </w:rPr>
        <w:br w:type="page"/>
      </w:r>
    </w:p>
    <w:p w:rsidR="00D6391F" w:rsidRPr="000002D1" w:rsidRDefault="00D6391F" w:rsidP="000002D1">
      <w:pPr>
        <w:pStyle w:val="ListParagraph"/>
        <w:numPr>
          <w:ilvl w:val="0"/>
          <w:numId w:val="1"/>
        </w:numPr>
        <w:tabs>
          <w:tab w:val="left" w:pos="720"/>
        </w:tabs>
        <w:spacing w:line="240" w:lineRule="auto"/>
        <w:ind w:left="0" w:firstLine="0"/>
        <w:contextualSpacing w:val="0"/>
        <w:rPr>
          <w:rFonts w:cs="Times New Roman"/>
          <w:sz w:val="22"/>
        </w:rPr>
      </w:pPr>
      <w:r>
        <w:rPr>
          <w:rFonts w:cs="Times New Roman"/>
          <w:b/>
          <w:sz w:val="22"/>
        </w:rPr>
        <w:lastRenderedPageBreak/>
        <w:t xml:space="preserve">Taking full advantage of membership in the </w:t>
      </w:r>
      <w:r w:rsidRPr="0063041A">
        <w:rPr>
          <w:rFonts w:cs="Times New Roman"/>
          <w:b/>
          <w:sz w:val="22"/>
        </w:rPr>
        <w:t xml:space="preserve">WTO and other preferential trade agreements </w:t>
      </w:r>
      <w:r>
        <w:rPr>
          <w:rFonts w:cs="Times New Roman"/>
          <w:b/>
          <w:sz w:val="22"/>
        </w:rPr>
        <w:t xml:space="preserve">requires </w:t>
      </w:r>
      <w:r w:rsidRPr="0063041A">
        <w:rPr>
          <w:rFonts w:cs="Times New Roman"/>
          <w:b/>
          <w:sz w:val="22"/>
        </w:rPr>
        <w:t>full understanding and proper implementation of their disciplines</w:t>
      </w:r>
      <w:r w:rsidRPr="000002D1">
        <w:rPr>
          <w:rFonts w:cs="Times New Roman"/>
          <w:b/>
          <w:sz w:val="22"/>
        </w:rPr>
        <w:t xml:space="preserve">. </w:t>
      </w:r>
      <w:r w:rsidRPr="00D6391F">
        <w:rPr>
          <w:rFonts w:cs="Times New Roman"/>
          <w:sz w:val="22"/>
        </w:rPr>
        <w:t xml:space="preserve">This will in turn </w:t>
      </w:r>
      <w:r w:rsidRPr="006A56CE">
        <w:rPr>
          <w:rFonts w:cs="Times New Roman"/>
          <w:sz w:val="22"/>
        </w:rPr>
        <w:t>require building analytical and institutional capacities across the board in the country.</w:t>
      </w:r>
      <w:r w:rsidRPr="001E1A0B">
        <w:rPr>
          <w:rFonts w:cs="Times New Roman"/>
          <w:sz w:val="22"/>
        </w:rPr>
        <w:t xml:space="preserve"> Trade policy institutions are discussed in Note </w:t>
      </w:r>
      <w:r w:rsidRPr="000002D1">
        <w:rPr>
          <w:rFonts w:cs="Times New Roman"/>
          <w:sz w:val="22"/>
        </w:rPr>
        <w:t>2 of this report.</w:t>
      </w:r>
    </w:p>
    <w:p w:rsidR="00177590" w:rsidRPr="00177590" w:rsidRDefault="00D6391F" w:rsidP="00177590">
      <w:pPr>
        <w:pStyle w:val="ListParagraph"/>
        <w:numPr>
          <w:ilvl w:val="0"/>
          <w:numId w:val="1"/>
        </w:numPr>
        <w:tabs>
          <w:tab w:val="left" w:pos="720"/>
        </w:tabs>
        <w:spacing w:after="360" w:line="240" w:lineRule="auto"/>
        <w:ind w:left="0" w:firstLine="0"/>
        <w:contextualSpacing w:val="0"/>
        <w:rPr>
          <w:rFonts w:cs="Times New Roman"/>
          <w:sz w:val="22"/>
        </w:rPr>
      </w:pPr>
      <w:r w:rsidRPr="0063041A">
        <w:rPr>
          <w:rFonts w:cs="Times New Roman"/>
          <w:b/>
          <w:sz w:val="22"/>
        </w:rPr>
        <w:t xml:space="preserve">Once tariff commitments have been locked into a WTO agreement, addressing second generation issues, such as non-tariff measures </w:t>
      </w:r>
      <w:r>
        <w:rPr>
          <w:rFonts w:cs="Times New Roman"/>
          <w:b/>
          <w:sz w:val="22"/>
        </w:rPr>
        <w:t xml:space="preserve">(NTMs) </w:t>
      </w:r>
      <w:r w:rsidRPr="0063041A">
        <w:rPr>
          <w:rFonts w:cs="Times New Roman"/>
          <w:b/>
          <w:sz w:val="22"/>
        </w:rPr>
        <w:t>and trade</w:t>
      </w:r>
      <w:r>
        <w:rPr>
          <w:rFonts w:cs="Times New Roman"/>
          <w:b/>
          <w:sz w:val="22"/>
        </w:rPr>
        <w:t xml:space="preserve"> </w:t>
      </w:r>
      <w:r w:rsidRPr="0063041A">
        <w:rPr>
          <w:rFonts w:cs="Times New Roman"/>
          <w:b/>
          <w:sz w:val="22"/>
        </w:rPr>
        <w:t>facilitation</w:t>
      </w:r>
      <w:r>
        <w:rPr>
          <w:rFonts w:cs="Times New Roman"/>
          <w:b/>
          <w:sz w:val="22"/>
        </w:rPr>
        <w:t xml:space="preserve"> </w:t>
      </w:r>
      <w:r w:rsidRPr="0063041A">
        <w:rPr>
          <w:rFonts w:cs="Times New Roman"/>
          <w:b/>
          <w:sz w:val="22"/>
        </w:rPr>
        <w:t>should become the central focus of trade policy.</w:t>
      </w:r>
      <w:r>
        <w:rPr>
          <w:rFonts w:cs="Times New Roman"/>
          <w:b/>
          <w:sz w:val="22"/>
        </w:rPr>
        <w:t xml:space="preserve"> </w:t>
      </w:r>
      <w:r w:rsidRPr="00D6391F">
        <w:rPr>
          <w:rFonts w:cs="Times New Roman"/>
          <w:sz w:val="22"/>
        </w:rPr>
        <w:t xml:space="preserve">It is in fact the </w:t>
      </w:r>
      <w:r w:rsidRPr="006A56CE">
        <w:rPr>
          <w:rFonts w:cs="Times New Roman"/>
          <w:sz w:val="22"/>
        </w:rPr>
        <w:t xml:space="preserve">tackling of these potential costs that will contribute to making </w:t>
      </w:r>
      <w:r w:rsidRPr="001E1A0B">
        <w:rPr>
          <w:rFonts w:cs="Times New Roman"/>
          <w:sz w:val="22"/>
        </w:rPr>
        <w:t>Kazakhstan producers more competitive across the region and beyond.</w:t>
      </w:r>
      <w:r w:rsidRPr="000002D1">
        <w:rPr>
          <w:rFonts w:cs="Times New Roman"/>
          <w:sz w:val="22"/>
        </w:rPr>
        <w:t xml:space="preserve"> NTMs are discussed in Note 3 of this report.</w:t>
      </w:r>
    </w:p>
    <w:p w:rsidR="00177590" w:rsidRPr="000137AC" w:rsidRDefault="00A546A3" w:rsidP="000137AC">
      <w:pPr>
        <w:pStyle w:val="Heading2"/>
      </w:pPr>
      <w:bookmarkStart w:id="4" w:name="_Toc371607423"/>
      <w:bookmarkStart w:id="5" w:name="_Toc366241486"/>
      <w:bookmarkStart w:id="6" w:name="_Toc378151199"/>
      <w:r>
        <w:t xml:space="preserve">How </w:t>
      </w:r>
      <w:r w:rsidR="005F2099">
        <w:t xml:space="preserve">Has Trade Performed </w:t>
      </w:r>
      <w:r w:rsidR="005F2099" w:rsidRPr="00000C87">
        <w:t>Since Early</w:t>
      </w:r>
      <w:r w:rsidR="005F2099">
        <w:t xml:space="preserve"> 2011?</w:t>
      </w:r>
      <w:bookmarkEnd w:id="4"/>
      <w:bookmarkEnd w:id="5"/>
      <w:bookmarkEnd w:id="6"/>
      <w:r w:rsidR="00786508">
        <w:t xml:space="preserve"> </w:t>
      </w:r>
    </w:p>
    <w:p w:rsidR="001F0A4E" w:rsidRPr="00374D29" w:rsidRDefault="009A1D79" w:rsidP="00374D29">
      <w:pPr>
        <w:pStyle w:val="ListParagraph"/>
        <w:numPr>
          <w:ilvl w:val="0"/>
          <w:numId w:val="1"/>
        </w:numPr>
        <w:tabs>
          <w:tab w:val="left" w:pos="720"/>
        </w:tabs>
        <w:spacing w:line="240" w:lineRule="auto"/>
        <w:ind w:left="0" w:firstLine="0"/>
        <w:contextualSpacing w:val="0"/>
        <w:rPr>
          <w:rFonts w:cs="Times New Roman"/>
          <w:sz w:val="22"/>
        </w:rPr>
      </w:pPr>
      <w:r>
        <w:rPr>
          <w:rFonts w:cs="Times New Roman"/>
          <w:b/>
          <w:sz w:val="22"/>
        </w:rPr>
        <w:t xml:space="preserve">Kazakhstan experienced trade diversion for two years after joining the Customs Union – and this </w:t>
      </w:r>
      <w:r w:rsidR="00924F1C" w:rsidRPr="005F4762">
        <w:rPr>
          <w:rFonts w:cs="Times New Roman"/>
          <w:b/>
          <w:sz w:val="22"/>
        </w:rPr>
        <w:t>effect may be abating.</w:t>
      </w:r>
      <w:r w:rsidR="00786508">
        <w:rPr>
          <w:rFonts w:cs="Times New Roman"/>
          <w:b/>
          <w:sz w:val="22"/>
        </w:rPr>
        <w:t xml:space="preserve"> </w:t>
      </w:r>
      <w:r w:rsidR="0046751F">
        <w:rPr>
          <w:rFonts w:cs="Times New Roman"/>
          <w:sz w:val="22"/>
        </w:rPr>
        <w:t xml:space="preserve">Kazakhstan </w:t>
      </w:r>
      <w:r w:rsidR="00924F1C" w:rsidRPr="005F4762">
        <w:rPr>
          <w:rFonts w:cs="Times New Roman"/>
          <w:sz w:val="22"/>
        </w:rPr>
        <w:t>exports are still driven by demand f</w:t>
      </w:r>
      <w:r>
        <w:rPr>
          <w:rFonts w:cs="Times New Roman"/>
          <w:sz w:val="22"/>
        </w:rPr>
        <w:t xml:space="preserve">or </w:t>
      </w:r>
      <w:r w:rsidR="00737579" w:rsidRPr="00737579">
        <w:rPr>
          <w:rFonts w:cs="Times New Roman"/>
          <w:sz w:val="22"/>
        </w:rPr>
        <w:t>hydrocarbons</w:t>
      </w:r>
      <w:r w:rsidR="00737579" w:rsidRPr="005F4762" w:rsidDel="00737579">
        <w:rPr>
          <w:rFonts w:cs="Times New Roman"/>
          <w:sz w:val="22"/>
        </w:rPr>
        <w:t xml:space="preserve"> </w:t>
      </w:r>
      <w:r w:rsidR="00924F1C" w:rsidRPr="005F4762">
        <w:rPr>
          <w:rFonts w:cs="Times New Roman"/>
          <w:sz w:val="22"/>
        </w:rPr>
        <w:t xml:space="preserve">and by a rebound in EU demand and increased exports to </w:t>
      </w:r>
      <w:r>
        <w:rPr>
          <w:rFonts w:cs="Times New Roman"/>
          <w:sz w:val="22"/>
        </w:rPr>
        <w:t>the r</w:t>
      </w:r>
      <w:r w:rsidRPr="005F4762">
        <w:rPr>
          <w:rFonts w:cs="Times New Roman"/>
          <w:sz w:val="22"/>
        </w:rPr>
        <w:t xml:space="preserve">est </w:t>
      </w:r>
      <w:r w:rsidR="00924F1C" w:rsidRPr="005F4762">
        <w:rPr>
          <w:rFonts w:cs="Times New Roman"/>
          <w:sz w:val="22"/>
        </w:rPr>
        <w:t>of Europe and ECA, including Turkey.</w:t>
      </w:r>
      <w:r w:rsidR="00786508">
        <w:rPr>
          <w:rFonts w:cs="Times New Roman"/>
          <w:sz w:val="22"/>
        </w:rPr>
        <w:t xml:space="preserve"> </w:t>
      </w:r>
      <w:r w:rsidR="000E13D9" w:rsidRPr="005F4762">
        <w:rPr>
          <w:rFonts w:cs="Times New Roman"/>
          <w:sz w:val="22"/>
        </w:rPr>
        <w:t>China remains a solid client.</w:t>
      </w:r>
      <w:r w:rsidR="00786508">
        <w:rPr>
          <w:rFonts w:cs="Times New Roman"/>
          <w:sz w:val="22"/>
        </w:rPr>
        <w:t xml:space="preserve"> </w:t>
      </w:r>
      <w:r w:rsidR="000E13D9">
        <w:rPr>
          <w:rFonts w:cs="Times New Roman"/>
          <w:sz w:val="22"/>
        </w:rPr>
        <w:t xml:space="preserve">Analysis suggests that </w:t>
      </w:r>
      <w:r w:rsidR="009D79C6">
        <w:rPr>
          <w:rFonts w:cs="Times New Roman"/>
          <w:sz w:val="22"/>
        </w:rPr>
        <w:t xml:space="preserve">Kazakhstan’s </w:t>
      </w:r>
      <w:r w:rsidR="000E13D9">
        <w:rPr>
          <w:rFonts w:cs="Times New Roman"/>
          <w:sz w:val="22"/>
        </w:rPr>
        <w:t>export performance is almost entirely due to higher petroleum prices and some compositional changes rather than improved competitiveness of its products</w:t>
      </w:r>
      <w:r w:rsidR="005C6754">
        <w:rPr>
          <w:rFonts w:cs="Times New Roman"/>
          <w:sz w:val="22"/>
        </w:rPr>
        <w:t xml:space="preserve">.  After a surge in 2010, </w:t>
      </w:r>
      <w:r w:rsidR="005C6754" w:rsidRPr="00F44F2C">
        <w:rPr>
          <w:rFonts w:cs="Times New Roman"/>
          <w:sz w:val="22"/>
        </w:rPr>
        <w:t xml:space="preserve">Kazakhstan’s exports to Customs Union (CU) partners </w:t>
      </w:r>
      <w:r w:rsidR="005C6754">
        <w:rPr>
          <w:rFonts w:cs="Times New Roman"/>
          <w:sz w:val="22"/>
        </w:rPr>
        <w:t xml:space="preserve">were declining through most of 2012, a trend </w:t>
      </w:r>
      <w:r w:rsidR="005C6754" w:rsidRPr="00F44F2C">
        <w:rPr>
          <w:rFonts w:cs="Times New Roman"/>
          <w:sz w:val="22"/>
        </w:rPr>
        <w:t xml:space="preserve">likely </w:t>
      </w:r>
      <w:r w:rsidR="005C6754">
        <w:rPr>
          <w:rFonts w:cs="Times New Roman"/>
          <w:sz w:val="22"/>
        </w:rPr>
        <w:t xml:space="preserve">reflecting the </w:t>
      </w:r>
      <w:r w:rsidR="005C6754" w:rsidRPr="00F44F2C">
        <w:rPr>
          <w:rFonts w:cs="Times New Roman"/>
          <w:sz w:val="22"/>
        </w:rPr>
        <w:t xml:space="preserve">adjustments to new regional regulations. </w:t>
      </w:r>
      <w:r w:rsidR="005C6754">
        <w:rPr>
          <w:rFonts w:cs="Times New Roman"/>
          <w:sz w:val="22"/>
        </w:rPr>
        <w:t>D</w:t>
      </w:r>
      <w:r w:rsidR="005C6754" w:rsidRPr="00766B25">
        <w:rPr>
          <w:rFonts w:cs="Times New Roman"/>
          <w:sz w:val="22"/>
        </w:rPr>
        <w:t xml:space="preserve">ata </w:t>
      </w:r>
      <w:r w:rsidR="005C6754">
        <w:rPr>
          <w:rFonts w:cs="Times New Roman"/>
          <w:sz w:val="22"/>
        </w:rPr>
        <w:t xml:space="preserve">for </w:t>
      </w:r>
      <w:r w:rsidR="005C6754" w:rsidRPr="00766B25">
        <w:rPr>
          <w:rFonts w:cs="Times New Roman"/>
          <w:sz w:val="22"/>
        </w:rPr>
        <w:t>January</w:t>
      </w:r>
      <w:r w:rsidR="005C6754">
        <w:rPr>
          <w:rFonts w:cs="Times New Roman"/>
          <w:sz w:val="22"/>
        </w:rPr>
        <w:t>-</w:t>
      </w:r>
      <w:r w:rsidR="005C6754" w:rsidRPr="00766B25">
        <w:rPr>
          <w:rFonts w:cs="Times New Roman"/>
          <w:sz w:val="22"/>
        </w:rPr>
        <w:t>August 2013 suggest a slight recovery in</w:t>
      </w:r>
      <w:r w:rsidR="005C6754">
        <w:rPr>
          <w:rFonts w:cs="Times New Roman"/>
          <w:sz w:val="22"/>
        </w:rPr>
        <w:t xml:space="preserve"> exports to the CU partners</w:t>
      </w:r>
      <w:r w:rsidR="00D356D9">
        <w:rPr>
          <w:rFonts w:cs="Times New Roman"/>
          <w:sz w:val="22"/>
        </w:rPr>
        <w:t xml:space="preserve"> (Table 1)</w:t>
      </w:r>
      <w:r w:rsidR="00D356D9" w:rsidRPr="00766B25">
        <w:rPr>
          <w:rFonts w:cs="Times New Roman"/>
          <w:sz w:val="22"/>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32"/>
      </w:tblGrid>
      <w:tr w:rsidR="005E3590" w:rsidTr="006F6B93">
        <w:trPr>
          <w:jc w:val="center"/>
        </w:trPr>
        <w:tc>
          <w:tcPr>
            <w:tcW w:w="7632" w:type="dxa"/>
          </w:tcPr>
          <w:p w:rsidR="005E3590" w:rsidRDefault="004702C4" w:rsidP="004702C4">
            <w:pPr>
              <w:pStyle w:val="Caption"/>
            </w:pPr>
            <w:bookmarkStart w:id="7" w:name="_Toc371607731"/>
            <w:bookmarkStart w:id="8" w:name="_Toc371607815"/>
            <w:bookmarkStart w:id="9" w:name="_Toc378151225"/>
            <w:r>
              <w:t xml:space="preserve">Figure </w:t>
            </w:r>
            <w:fldSimple w:instr=" SEQ Figure \* ARABIC ">
              <w:r w:rsidR="00CE6F8C">
                <w:rPr>
                  <w:noProof/>
                </w:rPr>
                <w:t>1</w:t>
              </w:r>
            </w:fldSimple>
            <w:r>
              <w:t>:</w:t>
            </w:r>
            <w:r w:rsidR="005E3590" w:rsidRPr="00652A32">
              <w:t xml:space="preserve"> Exports </w:t>
            </w:r>
            <w:r w:rsidR="007D3AA4">
              <w:t>a</w:t>
            </w:r>
            <w:r w:rsidR="007D3AA4" w:rsidRPr="00652A32">
              <w:t xml:space="preserve">re Still Driven </w:t>
            </w:r>
            <w:r w:rsidR="007D3AA4">
              <w:t>by Petroleum Products a</w:t>
            </w:r>
            <w:r w:rsidR="007D3AA4" w:rsidRPr="00652A32">
              <w:t xml:space="preserve">nd Dominated </w:t>
            </w:r>
            <w:r w:rsidR="007D3AA4">
              <w:t>b</w:t>
            </w:r>
            <w:r w:rsidR="007D3AA4" w:rsidRPr="00652A32">
              <w:t xml:space="preserve">y </w:t>
            </w:r>
            <w:r w:rsidR="005E3590" w:rsidRPr="00652A32">
              <w:t xml:space="preserve">EU </w:t>
            </w:r>
            <w:r w:rsidR="007D3AA4">
              <w:t>a</w:t>
            </w:r>
            <w:r w:rsidR="007D3AA4" w:rsidRPr="00652A32">
              <w:t>nd</w:t>
            </w:r>
            <w:r w:rsidR="007D3AA4" w:rsidRPr="002A3982">
              <w:t xml:space="preserve"> </w:t>
            </w:r>
            <w:r w:rsidR="005E3590" w:rsidRPr="002A3982">
              <w:t>China</w:t>
            </w:r>
            <w:bookmarkEnd w:id="7"/>
            <w:bookmarkEnd w:id="8"/>
            <w:bookmarkEnd w:id="9"/>
          </w:p>
          <w:p w:rsidR="002472AA" w:rsidRPr="00D52069" w:rsidRDefault="00D52069" w:rsidP="00743658">
            <w:pPr>
              <w:jc w:val="center"/>
              <w:rPr>
                <w:sz w:val="20"/>
                <w:szCs w:val="20"/>
              </w:rPr>
            </w:pPr>
            <w:r w:rsidRPr="00D52069">
              <w:rPr>
                <w:sz w:val="20"/>
                <w:szCs w:val="20"/>
              </w:rPr>
              <w:t>(Share of exports, percent)</w:t>
            </w:r>
          </w:p>
        </w:tc>
      </w:tr>
      <w:tr w:rsidR="005E3590" w:rsidTr="006F6B93">
        <w:trPr>
          <w:jc w:val="center"/>
        </w:trPr>
        <w:tc>
          <w:tcPr>
            <w:tcW w:w="7632" w:type="dxa"/>
          </w:tcPr>
          <w:p w:rsidR="005E3590" w:rsidRPr="00913A88" w:rsidRDefault="005E3590" w:rsidP="006F6B93">
            <w:pPr>
              <w:spacing w:line="276" w:lineRule="auto"/>
              <w:rPr>
                <w:rFonts w:cs="Times New Roman"/>
                <w:b/>
                <w:sz w:val="22"/>
              </w:rPr>
            </w:pPr>
            <w:r w:rsidRPr="009118AC">
              <w:rPr>
                <w:rFonts w:cs="Times New Roman"/>
                <w:noProof/>
              </w:rPr>
              <w:drawing>
                <wp:inline distT="0" distB="0" distL="0" distR="0" wp14:anchorId="4F6DC4B4" wp14:editId="41200AE7">
                  <wp:extent cx="4713249" cy="2579649"/>
                  <wp:effectExtent l="0" t="0" r="11430" b="11430"/>
                  <wp:docPr id="19" name="Chart 19" title="Kazakhstan'sexport destination by marke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E3590" w:rsidTr="006F6B93">
        <w:trPr>
          <w:jc w:val="center"/>
        </w:trPr>
        <w:tc>
          <w:tcPr>
            <w:tcW w:w="7632" w:type="dxa"/>
          </w:tcPr>
          <w:p w:rsidR="005E3590" w:rsidRPr="003D3AD2" w:rsidRDefault="005E3590" w:rsidP="00000C87">
            <w:pPr>
              <w:spacing w:before="120" w:line="240" w:lineRule="auto"/>
              <w:jc w:val="left"/>
              <w:rPr>
                <w:rFonts w:cs="Times New Roman"/>
                <w:b/>
                <w:sz w:val="22"/>
              </w:rPr>
            </w:pPr>
            <w:r w:rsidRPr="00700E3D">
              <w:rPr>
                <w:rFonts w:cs="Times New Roman"/>
                <w:i/>
                <w:sz w:val="18"/>
                <w:szCs w:val="18"/>
              </w:rPr>
              <w:t>Source:</w:t>
            </w:r>
            <w:r w:rsidRPr="00AF3806">
              <w:rPr>
                <w:rFonts w:cs="Times New Roman"/>
                <w:sz w:val="18"/>
                <w:szCs w:val="18"/>
              </w:rPr>
              <w:t xml:space="preserve"> </w:t>
            </w:r>
            <w:r w:rsidR="00F44F2C">
              <w:rPr>
                <w:rFonts w:cs="Times New Roman"/>
                <w:sz w:val="18"/>
                <w:szCs w:val="18"/>
              </w:rPr>
              <w:t xml:space="preserve">Official data and </w:t>
            </w:r>
            <w:r w:rsidR="00F44F2C" w:rsidRPr="007B00FF">
              <w:rPr>
                <w:rFonts w:cs="Times New Roman"/>
                <w:sz w:val="18"/>
                <w:szCs w:val="18"/>
              </w:rPr>
              <w:t>World Bank staff</w:t>
            </w:r>
            <w:r w:rsidR="00F44F2C">
              <w:rPr>
                <w:rFonts w:cs="Times New Roman"/>
                <w:sz w:val="18"/>
                <w:szCs w:val="18"/>
              </w:rPr>
              <w:t xml:space="preserve"> calculations</w:t>
            </w:r>
            <w:r w:rsidR="00000C87">
              <w:rPr>
                <w:rFonts w:cs="Times New Roman"/>
                <w:sz w:val="18"/>
                <w:szCs w:val="18"/>
              </w:rPr>
              <w:t>.</w:t>
            </w:r>
          </w:p>
        </w:tc>
      </w:tr>
    </w:tbl>
    <w:p w:rsidR="00D96FD1" w:rsidRDefault="00D96FD1" w:rsidP="00000C87">
      <w:pPr>
        <w:pStyle w:val="ListParagraph"/>
        <w:tabs>
          <w:tab w:val="left" w:pos="720"/>
        </w:tabs>
        <w:spacing w:after="0" w:line="240" w:lineRule="auto"/>
        <w:ind w:left="0"/>
        <w:contextualSpacing w:val="0"/>
        <w:rPr>
          <w:rFonts w:cs="Times New Roman"/>
          <w:b/>
          <w:sz w:val="22"/>
        </w:rPr>
      </w:pPr>
    </w:p>
    <w:p w:rsidR="007D3AA4" w:rsidRDefault="00D96FD1" w:rsidP="00177590">
      <w:pPr>
        <w:pStyle w:val="ListParagraph"/>
        <w:numPr>
          <w:ilvl w:val="0"/>
          <w:numId w:val="1"/>
        </w:numPr>
        <w:tabs>
          <w:tab w:val="left" w:pos="720"/>
        </w:tabs>
        <w:spacing w:after="240" w:line="240" w:lineRule="auto"/>
        <w:ind w:left="0" w:firstLine="0"/>
        <w:contextualSpacing w:val="0"/>
        <w:rPr>
          <w:rFonts w:cs="Times New Roman"/>
          <w:sz w:val="22"/>
        </w:rPr>
      </w:pPr>
      <w:r w:rsidRPr="00606DCD">
        <w:rPr>
          <w:rFonts w:cs="Times New Roman"/>
          <w:b/>
          <w:sz w:val="22"/>
        </w:rPr>
        <w:t>Kazakhstan’s exports have a relatively low</w:t>
      </w:r>
      <w:r>
        <w:rPr>
          <w:rFonts w:cs="Times New Roman"/>
          <w:b/>
          <w:sz w:val="22"/>
        </w:rPr>
        <w:t xml:space="preserve"> </w:t>
      </w:r>
      <w:r w:rsidRPr="00606DCD">
        <w:rPr>
          <w:rFonts w:cs="Times New Roman"/>
          <w:b/>
          <w:sz w:val="22"/>
        </w:rPr>
        <w:t>market penetration</w:t>
      </w:r>
      <w:r w:rsidR="009A1D79">
        <w:rPr>
          <w:rFonts w:cs="Times New Roman"/>
          <w:b/>
          <w:sz w:val="22"/>
        </w:rPr>
        <w:t xml:space="preserve">, which worsened after the </w:t>
      </w:r>
      <w:r w:rsidRPr="00197438">
        <w:rPr>
          <w:rFonts w:cs="Times New Roman"/>
          <w:b/>
          <w:sz w:val="22"/>
        </w:rPr>
        <w:t xml:space="preserve">2008 </w:t>
      </w:r>
      <w:r w:rsidR="009A1D79">
        <w:rPr>
          <w:rFonts w:cs="Times New Roman"/>
          <w:b/>
          <w:sz w:val="22"/>
        </w:rPr>
        <w:t xml:space="preserve">global economic </w:t>
      </w:r>
      <w:r w:rsidRPr="00197438">
        <w:rPr>
          <w:rFonts w:cs="Times New Roman"/>
          <w:b/>
          <w:sz w:val="22"/>
        </w:rPr>
        <w:t>crisis</w:t>
      </w:r>
      <w:r w:rsidR="009A1D79">
        <w:rPr>
          <w:rFonts w:cs="Times New Roman"/>
          <w:b/>
          <w:sz w:val="22"/>
        </w:rPr>
        <w:t xml:space="preserve"> much as in other countries in ECA</w:t>
      </w:r>
      <w:r w:rsidRPr="00197438">
        <w:rPr>
          <w:rFonts w:cs="Times New Roman"/>
          <w:b/>
          <w:sz w:val="22"/>
        </w:rPr>
        <w:t>.</w:t>
      </w:r>
      <w:r w:rsidR="00786508">
        <w:rPr>
          <w:rFonts w:cs="Times New Roman"/>
          <w:b/>
          <w:sz w:val="22"/>
        </w:rPr>
        <w:t xml:space="preserve"> </w:t>
      </w:r>
      <w:r w:rsidR="00DD5F66" w:rsidRPr="005F4762">
        <w:rPr>
          <w:rFonts w:eastAsia="SimSun" w:cs="Mangal"/>
          <w:kern w:val="1"/>
          <w:sz w:val="22"/>
          <w:lang w:eastAsia="hi-IN" w:bidi="hi-IN"/>
        </w:rPr>
        <w:t>Kazakhstan exported to 91 markets in 2006-</w:t>
      </w:r>
      <w:r w:rsidR="00DD5F66">
        <w:rPr>
          <w:rFonts w:eastAsia="SimSun" w:cs="Mangal"/>
          <w:kern w:val="1"/>
          <w:sz w:val="22"/>
          <w:lang w:eastAsia="hi-IN" w:bidi="hi-IN"/>
        </w:rPr>
        <w:t>0</w:t>
      </w:r>
      <w:r w:rsidR="00DD5F66" w:rsidRPr="005F4762">
        <w:rPr>
          <w:rFonts w:eastAsia="SimSun" w:cs="Mangal"/>
          <w:kern w:val="1"/>
          <w:sz w:val="22"/>
          <w:lang w:eastAsia="hi-IN" w:bidi="hi-IN"/>
        </w:rPr>
        <w:t>7</w:t>
      </w:r>
      <w:r w:rsidR="009A1D79">
        <w:rPr>
          <w:rFonts w:eastAsia="SimSun" w:cs="Mangal"/>
          <w:kern w:val="1"/>
          <w:sz w:val="22"/>
          <w:lang w:eastAsia="hi-IN" w:bidi="hi-IN"/>
        </w:rPr>
        <w:t xml:space="preserve"> and to </w:t>
      </w:r>
      <w:r w:rsidR="00DD5F66" w:rsidRPr="005F4762">
        <w:rPr>
          <w:rFonts w:eastAsia="SimSun" w:cs="Mangal"/>
          <w:kern w:val="1"/>
          <w:sz w:val="22"/>
          <w:lang w:eastAsia="hi-IN" w:bidi="hi-IN"/>
        </w:rPr>
        <w:t xml:space="preserve">75 </w:t>
      </w:r>
      <w:r w:rsidR="009A1D79">
        <w:rPr>
          <w:rFonts w:eastAsia="SimSun" w:cs="Mangal"/>
          <w:kern w:val="1"/>
          <w:sz w:val="22"/>
          <w:lang w:eastAsia="hi-IN" w:bidi="hi-IN"/>
        </w:rPr>
        <w:t xml:space="preserve">markets </w:t>
      </w:r>
      <w:r w:rsidR="00DD5F66" w:rsidRPr="005F4762">
        <w:rPr>
          <w:rFonts w:eastAsia="SimSun" w:cs="Mangal"/>
          <w:kern w:val="1"/>
          <w:sz w:val="22"/>
          <w:lang w:eastAsia="hi-IN" w:bidi="hi-IN"/>
        </w:rPr>
        <w:t>in 2010-11 while Russia exported to 133 countries before the crisis and 113 after the crisis</w:t>
      </w:r>
      <w:r w:rsidR="00F455AD">
        <w:rPr>
          <w:rFonts w:eastAsia="SimSun" w:cs="Mangal"/>
          <w:kern w:val="1"/>
          <w:sz w:val="22"/>
          <w:lang w:eastAsia="hi-IN" w:bidi="hi-IN"/>
        </w:rPr>
        <w:t xml:space="preserve"> </w:t>
      </w:r>
      <w:r w:rsidR="00F455AD" w:rsidRPr="009D79C6">
        <w:rPr>
          <w:rFonts w:cs="Times New Roman"/>
          <w:sz w:val="22"/>
        </w:rPr>
        <w:t>(Varela, 2013a</w:t>
      </w:r>
      <w:r w:rsidR="00F455AD">
        <w:rPr>
          <w:rFonts w:cs="Times New Roman"/>
          <w:sz w:val="22"/>
        </w:rPr>
        <w:t>)</w:t>
      </w:r>
      <w:r w:rsidR="00DD5F66" w:rsidRPr="005F4762">
        <w:rPr>
          <w:rFonts w:eastAsia="SimSun" w:cs="Mangal"/>
          <w:kern w:val="1"/>
          <w:sz w:val="22"/>
          <w:lang w:eastAsia="hi-IN" w:bidi="hi-IN"/>
        </w:rPr>
        <w:t>.</w:t>
      </w:r>
      <w:r w:rsidR="00786508">
        <w:rPr>
          <w:rFonts w:eastAsia="SimSun" w:cs="Mangal"/>
          <w:kern w:val="1"/>
          <w:sz w:val="22"/>
          <w:lang w:eastAsia="hi-IN" w:bidi="hi-IN"/>
        </w:rPr>
        <w:t xml:space="preserve"> </w:t>
      </w:r>
      <w:r w:rsidR="007C4E2A" w:rsidRPr="009D79C6">
        <w:rPr>
          <w:rFonts w:cs="Times New Roman"/>
          <w:sz w:val="22"/>
        </w:rPr>
        <w:t xml:space="preserve">Between 2008 and 2010, </w:t>
      </w:r>
      <w:r w:rsidR="007C4E2A">
        <w:rPr>
          <w:rFonts w:cs="Times New Roman"/>
          <w:sz w:val="22"/>
        </w:rPr>
        <w:t xml:space="preserve">the </w:t>
      </w:r>
      <w:r w:rsidR="007C4E2A" w:rsidRPr="009D79C6">
        <w:rPr>
          <w:rFonts w:cs="Times New Roman"/>
          <w:sz w:val="22"/>
        </w:rPr>
        <w:t xml:space="preserve">share of the top </w:t>
      </w:r>
      <w:r w:rsidR="007D3AA4">
        <w:rPr>
          <w:rFonts w:cs="Times New Roman"/>
          <w:sz w:val="22"/>
        </w:rPr>
        <w:t>three</w:t>
      </w:r>
      <w:r w:rsidR="007C4E2A" w:rsidRPr="009D79C6">
        <w:rPr>
          <w:rFonts w:cs="Times New Roman"/>
          <w:sz w:val="22"/>
        </w:rPr>
        <w:t xml:space="preserve"> markets for all top </w:t>
      </w:r>
      <w:r w:rsidR="007D3AA4">
        <w:rPr>
          <w:rFonts w:cs="Times New Roman"/>
          <w:sz w:val="22"/>
        </w:rPr>
        <w:t>10</w:t>
      </w:r>
      <w:r w:rsidR="007C4E2A" w:rsidRPr="009D79C6">
        <w:rPr>
          <w:rFonts w:cs="Times New Roman"/>
          <w:sz w:val="22"/>
        </w:rPr>
        <w:t xml:space="preserve"> exports of the country was above 55 percent.</w:t>
      </w:r>
      <w:r w:rsidR="00786508">
        <w:rPr>
          <w:rFonts w:cs="Times New Roman"/>
          <w:sz w:val="22"/>
        </w:rPr>
        <w:t xml:space="preserve"> </w:t>
      </w:r>
      <w:r w:rsidR="00D356D9">
        <w:rPr>
          <w:rFonts w:cs="Times New Roman"/>
          <w:sz w:val="22"/>
        </w:rPr>
        <w:t xml:space="preserve">EU, China and Canada purchased </w:t>
      </w:r>
      <w:r w:rsidR="007C4E2A" w:rsidRPr="00FD134F">
        <w:rPr>
          <w:rFonts w:cs="Times New Roman"/>
          <w:sz w:val="22"/>
        </w:rPr>
        <w:t>8</w:t>
      </w:r>
      <w:r w:rsidR="009A1D79">
        <w:rPr>
          <w:rFonts w:cs="Times New Roman"/>
          <w:sz w:val="22"/>
        </w:rPr>
        <w:t>8</w:t>
      </w:r>
      <w:r w:rsidR="007C4E2A" w:rsidRPr="00FD134F">
        <w:rPr>
          <w:rFonts w:cs="Times New Roman"/>
          <w:sz w:val="22"/>
        </w:rPr>
        <w:t xml:space="preserve"> percent</w:t>
      </w:r>
      <w:r w:rsidR="007C4E2A" w:rsidRPr="009D79C6">
        <w:rPr>
          <w:rFonts w:cs="Times New Roman"/>
          <w:sz w:val="22"/>
        </w:rPr>
        <w:t xml:space="preserve"> of </w:t>
      </w:r>
      <w:r w:rsidR="009A1D79">
        <w:rPr>
          <w:rFonts w:cs="Times New Roman"/>
          <w:sz w:val="22"/>
        </w:rPr>
        <w:t xml:space="preserve">Kazakhstan’s </w:t>
      </w:r>
      <w:r w:rsidR="007C4E2A" w:rsidRPr="009D79C6">
        <w:rPr>
          <w:rFonts w:cs="Times New Roman"/>
          <w:sz w:val="22"/>
        </w:rPr>
        <w:t>petroleum</w:t>
      </w:r>
      <w:r w:rsidR="009A1D79">
        <w:rPr>
          <w:rFonts w:cs="Times New Roman"/>
          <w:sz w:val="22"/>
        </w:rPr>
        <w:t xml:space="preserve"> </w:t>
      </w:r>
      <w:r w:rsidR="00473C2A">
        <w:rPr>
          <w:rFonts w:cs="Times New Roman"/>
          <w:sz w:val="22"/>
        </w:rPr>
        <w:t xml:space="preserve">oil </w:t>
      </w:r>
      <w:r w:rsidR="00D356D9">
        <w:rPr>
          <w:rFonts w:cs="Times New Roman"/>
          <w:sz w:val="22"/>
        </w:rPr>
        <w:lastRenderedPageBreak/>
        <w:t>export</w:t>
      </w:r>
      <w:r w:rsidR="009A1D79">
        <w:rPr>
          <w:rFonts w:cs="Times New Roman"/>
          <w:sz w:val="22"/>
        </w:rPr>
        <w:t>s</w:t>
      </w:r>
      <w:r w:rsidR="007C4E2A" w:rsidRPr="009D79C6">
        <w:rPr>
          <w:rFonts w:cs="Times New Roman"/>
          <w:sz w:val="22"/>
        </w:rPr>
        <w:t xml:space="preserve">, the top export of the country; </w:t>
      </w:r>
      <w:r w:rsidR="009A1D79">
        <w:rPr>
          <w:rFonts w:cs="Times New Roman"/>
          <w:sz w:val="22"/>
        </w:rPr>
        <w:t xml:space="preserve">70 </w:t>
      </w:r>
      <w:r w:rsidR="007C4E2A" w:rsidRPr="009D79C6">
        <w:rPr>
          <w:rFonts w:cs="Times New Roman"/>
          <w:sz w:val="22"/>
        </w:rPr>
        <w:t xml:space="preserve">percent of the export of </w:t>
      </w:r>
      <w:r w:rsidR="007C4E2A" w:rsidRPr="009D79C6">
        <w:rPr>
          <w:rFonts w:eastAsia="SimSun" w:cs="Times New Roman"/>
          <w:color w:val="000000"/>
          <w:kern w:val="1"/>
          <w:sz w:val="22"/>
          <w:lang w:eastAsia="hi-IN" w:bidi="hi-IN"/>
        </w:rPr>
        <w:t xml:space="preserve">unwrought zinc, </w:t>
      </w:r>
      <w:r w:rsidR="007C4E2A" w:rsidRPr="009D79C6">
        <w:rPr>
          <w:rFonts w:cs="Times New Roman"/>
          <w:sz w:val="22"/>
        </w:rPr>
        <w:t>the tenth top export went to EU, China and Turkey</w:t>
      </w:r>
      <w:r w:rsidR="00F455AD">
        <w:rPr>
          <w:rFonts w:cs="Times New Roman"/>
          <w:sz w:val="22"/>
        </w:rPr>
        <w:t xml:space="preserve"> (World Bank, 2013; </w:t>
      </w:r>
      <w:r w:rsidR="007C4E2A" w:rsidRPr="009D79C6">
        <w:rPr>
          <w:rFonts w:cs="Times New Roman"/>
          <w:sz w:val="22"/>
        </w:rPr>
        <w:t>Annex 1).</w:t>
      </w:r>
      <w:r w:rsidR="007C4E2A" w:rsidRPr="00606DCD">
        <w:rPr>
          <w:rStyle w:val="FootnoteReference"/>
          <w:sz w:val="22"/>
        </w:rPr>
        <w:footnoteReference w:id="1"/>
      </w:r>
      <w:r w:rsidR="00786508">
        <w:rPr>
          <w:rFonts w:cs="Times New Roman"/>
          <w:sz w:val="22"/>
        </w:rPr>
        <w:t xml:space="preserve"> </w:t>
      </w:r>
    </w:p>
    <w:tbl>
      <w:tblPr>
        <w:tblW w:w="7953" w:type="dxa"/>
        <w:jc w:val="center"/>
        <w:tblLayout w:type="fixed"/>
        <w:tblLook w:val="04A0" w:firstRow="1" w:lastRow="0" w:firstColumn="1" w:lastColumn="0" w:noHBand="0" w:noVBand="1"/>
      </w:tblPr>
      <w:tblGrid>
        <w:gridCol w:w="3633"/>
        <w:gridCol w:w="1080"/>
        <w:gridCol w:w="1080"/>
        <w:gridCol w:w="1080"/>
        <w:gridCol w:w="1080"/>
      </w:tblGrid>
      <w:tr w:rsidR="007D3AA4" w:rsidRPr="003F3EA3" w:rsidTr="00334D0B">
        <w:trPr>
          <w:trHeight w:val="610"/>
          <w:jc w:val="center"/>
        </w:trPr>
        <w:tc>
          <w:tcPr>
            <w:tcW w:w="7953" w:type="dxa"/>
            <w:gridSpan w:val="5"/>
            <w:tcBorders>
              <w:bottom w:val="single" w:sz="4" w:space="0" w:color="auto"/>
            </w:tcBorders>
            <w:shd w:val="clear" w:color="auto" w:fill="auto"/>
            <w:noWrap/>
            <w:vAlign w:val="bottom"/>
            <w:hideMark/>
          </w:tcPr>
          <w:p w:rsidR="007D3AA4" w:rsidRPr="003F3EA3" w:rsidRDefault="007D3AA4" w:rsidP="007D3AA4">
            <w:pPr>
              <w:pStyle w:val="Caption"/>
              <w:rPr>
                <w:rFonts w:eastAsia="Times New Roman" w:cs="Times New Roman"/>
                <w:color w:val="000000"/>
                <w:szCs w:val="20"/>
              </w:rPr>
            </w:pPr>
            <w:bookmarkStart w:id="10" w:name="_Toc378151209"/>
            <w:r>
              <w:t xml:space="preserve">Table </w:t>
            </w:r>
            <w:fldSimple w:instr=" SEQ Table \* ARABIC ">
              <w:r w:rsidR="0056192E">
                <w:rPr>
                  <w:noProof/>
                </w:rPr>
                <w:t>1</w:t>
              </w:r>
            </w:fldSimple>
            <w:r>
              <w:t>:</w:t>
            </w:r>
            <w:r>
              <w:rPr>
                <w:rFonts w:eastAsia="Times New Roman" w:cs="Times New Roman"/>
                <w:color w:val="000000"/>
                <w:szCs w:val="20"/>
              </w:rPr>
              <w:t xml:space="preserve"> E</w:t>
            </w:r>
            <w:r w:rsidRPr="003F3EA3">
              <w:rPr>
                <w:rFonts w:eastAsia="Times New Roman" w:cs="Times New Roman"/>
                <w:color w:val="000000"/>
                <w:szCs w:val="20"/>
              </w:rPr>
              <w:t>xports to Select Partners</w:t>
            </w:r>
            <w:bookmarkEnd w:id="10"/>
          </w:p>
          <w:p w:rsidR="007D3AA4" w:rsidRPr="007D3AA4" w:rsidRDefault="007D3AA4" w:rsidP="009A1D79">
            <w:pPr>
              <w:spacing w:after="60" w:line="240" w:lineRule="auto"/>
              <w:jc w:val="center"/>
              <w:rPr>
                <w:rFonts w:eastAsia="Times New Roman" w:cs="Times New Roman"/>
                <w:b/>
                <w:bCs/>
                <w:color w:val="000000"/>
                <w:sz w:val="18"/>
                <w:szCs w:val="18"/>
              </w:rPr>
            </w:pPr>
            <w:r w:rsidRPr="007D3AA4">
              <w:rPr>
                <w:rFonts w:eastAsia="Times New Roman" w:cs="Times New Roman"/>
                <w:color w:val="000000"/>
                <w:sz w:val="18"/>
                <w:szCs w:val="18"/>
              </w:rPr>
              <w:t>(</w:t>
            </w:r>
            <w:r w:rsidR="009A1D79">
              <w:rPr>
                <w:rFonts w:eastAsia="Times New Roman" w:cs="Times New Roman"/>
                <w:color w:val="000000"/>
                <w:sz w:val="18"/>
                <w:szCs w:val="18"/>
              </w:rPr>
              <w:t>In percent of total exports</w:t>
            </w:r>
            <w:r w:rsidRPr="007D3AA4">
              <w:rPr>
                <w:rFonts w:eastAsia="Times New Roman" w:cs="Times New Roman"/>
                <w:color w:val="000000"/>
                <w:sz w:val="18"/>
                <w:szCs w:val="18"/>
              </w:rPr>
              <w:t>)</w:t>
            </w:r>
          </w:p>
        </w:tc>
      </w:tr>
      <w:tr w:rsidR="003F3EA3" w:rsidRPr="003F3EA3" w:rsidTr="00334D0B">
        <w:trPr>
          <w:trHeight w:val="300"/>
          <w:jc w:val="center"/>
        </w:trPr>
        <w:tc>
          <w:tcPr>
            <w:tcW w:w="3633" w:type="dxa"/>
            <w:tcBorders>
              <w:top w:val="single" w:sz="4" w:space="0" w:color="auto"/>
            </w:tcBorders>
            <w:shd w:val="clear" w:color="auto" w:fill="auto"/>
            <w:vAlign w:val="center"/>
            <w:hideMark/>
          </w:tcPr>
          <w:p w:rsidR="003F3EA3" w:rsidRPr="003F3EA3" w:rsidRDefault="009A1D79" w:rsidP="00334D0B">
            <w:pPr>
              <w:spacing w:after="0" w:line="240" w:lineRule="auto"/>
              <w:jc w:val="left"/>
              <w:rPr>
                <w:rFonts w:eastAsia="Times New Roman" w:cs="Times New Roman"/>
                <w:color w:val="000000"/>
                <w:sz w:val="20"/>
                <w:szCs w:val="20"/>
              </w:rPr>
            </w:pPr>
            <w:r>
              <w:rPr>
                <w:rFonts w:eastAsia="Times New Roman" w:cs="Times New Roman"/>
                <w:color w:val="000000"/>
                <w:sz w:val="20"/>
                <w:szCs w:val="20"/>
              </w:rPr>
              <w:t>Trading partner</w:t>
            </w:r>
          </w:p>
        </w:tc>
        <w:tc>
          <w:tcPr>
            <w:tcW w:w="1080" w:type="dxa"/>
            <w:tcBorders>
              <w:top w:val="single" w:sz="4" w:space="0" w:color="auto"/>
            </w:tcBorders>
            <w:shd w:val="clear" w:color="auto" w:fill="auto"/>
            <w:noWrap/>
            <w:vAlign w:val="center"/>
            <w:hideMark/>
          </w:tcPr>
          <w:p w:rsidR="003F3EA3" w:rsidRPr="003F3EA3" w:rsidRDefault="003F3EA3" w:rsidP="00334D0B">
            <w:pPr>
              <w:spacing w:before="60" w:after="60" w:line="240" w:lineRule="auto"/>
              <w:jc w:val="center"/>
              <w:rPr>
                <w:rFonts w:eastAsia="Times New Roman" w:cs="Times New Roman"/>
                <w:color w:val="000000"/>
                <w:sz w:val="20"/>
                <w:szCs w:val="20"/>
              </w:rPr>
            </w:pPr>
            <w:r w:rsidRPr="003F3EA3">
              <w:rPr>
                <w:rFonts w:eastAsia="Times New Roman" w:cs="Times New Roman"/>
                <w:color w:val="000000"/>
                <w:sz w:val="20"/>
                <w:szCs w:val="20"/>
              </w:rPr>
              <w:t>2011</w:t>
            </w:r>
          </w:p>
        </w:tc>
        <w:tc>
          <w:tcPr>
            <w:tcW w:w="1080" w:type="dxa"/>
            <w:tcBorders>
              <w:top w:val="single" w:sz="4" w:space="0" w:color="auto"/>
            </w:tcBorders>
            <w:shd w:val="clear" w:color="auto" w:fill="auto"/>
            <w:noWrap/>
            <w:vAlign w:val="center"/>
            <w:hideMark/>
          </w:tcPr>
          <w:p w:rsidR="003F3EA3" w:rsidRPr="003F3EA3" w:rsidRDefault="003F3EA3" w:rsidP="00334D0B">
            <w:pPr>
              <w:spacing w:before="60" w:after="60" w:line="240" w:lineRule="auto"/>
              <w:jc w:val="center"/>
              <w:rPr>
                <w:rFonts w:eastAsia="Times New Roman" w:cs="Times New Roman"/>
                <w:color w:val="000000"/>
                <w:sz w:val="20"/>
                <w:szCs w:val="20"/>
              </w:rPr>
            </w:pPr>
            <w:r w:rsidRPr="003F3EA3">
              <w:rPr>
                <w:rFonts w:eastAsia="Times New Roman" w:cs="Times New Roman"/>
                <w:color w:val="000000"/>
                <w:sz w:val="20"/>
                <w:szCs w:val="20"/>
              </w:rPr>
              <w:t>2012</w:t>
            </w:r>
          </w:p>
        </w:tc>
        <w:tc>
          <w:tcPr>
            <w:tcW w:w="1080" w:type="dxa"/>
            <w:tcBorders>
              <w:top w:val="single" w:sz="4" w:space="0" w:color="auto"/>
            </w:tcBorders>
            <w:shd w:val="clear" w:color="auto" w:fill="auto"/>
            <w:noWrap/>
            <w:vAlign w:val="center"/>
            <w:hideMark/>
          </w:tcPr>
          <w:p w:rsidR="003F3EA3" w:rsidRPr="003F3EA3" w:rsidRDefault="003F3EA3" w:rsidP="00334D0B">
            <w:pPr>
              <w:spacing w:before="60" w:after="60" w:line="240" w:lineRule="auto"/>
              <w:jc w:val="center"/>
              <w:rPr>
                <w:rFonts w:eastAsia="Times New Roman" w:cs="Times New Roman"/>
                <w:color w:val="000000"/>
                <w:sz w:val="20"/>
                <w:szCs w:val="20"/>
              </w:rPr>
            </w:pPr>
            <w:r w:rsidRPr="003F3EA3">
              <w:rPr>
                <w:rFonts w:eastAsia="Times New Roman" w:cs="Times New Roman"/>
                <w:color w:val="000000"/>
                <w:sz w:val="20"/>
                <w:szCs w:val="20"/>
              </w:rPr>
              <w:t>Jan-Aug 2012</w:t>
            </w:r>
          </w:p>
        </w:tc>
        <w:tc>
          <w:tcPr>
            <w:tcW w:w="1080" w:type="dxa"/>
            <w:tcBorders>
              <w:top w:val="single" w:sz="4" w:space="0" w:color="auto"/>
            </w:tcBorders>
            <w:shd w:val="clear" w:color="auto" w:fill="auto"/>
            <w:noWrap/>
            <w:vAlign w:val="center"/>
            <w:hideMark/>
          </w:tcPr>
          <w:p w:rsidR="009644A9" w:rsidRDefault="003F3EA3" w:rsidP="00334D0B">
            <w:pPr>
              <w:spacing w:before="60" w:after="60" w:line="240" w:lineRule="auto"/>
              <w:jc w:val="center"/>
              <w:rPr>
                <w:rFonts w:eastAsia="Times New Roman" w:cs="Times New Roman"/>
                <w:color w:val="000000"/>
                <w:sz w:val="20"/>
                <w:szCs w:val="20"/>
              </w:rPr>
            </w:pPr>
            <w:r w:rsidRPr="003F3EA3">
              <w:rPr>
                <w:rFonts w:eastAsia="Times New Roman" w:cs="Times New Roman"/>
                <w:color w:val="000000"/>
                <w:sz w:val="20"/>
                <w:szCs w:val="20"/>
              </w:rPr>
              <w:t>Jan-Aug 2013</w:t>
            </w:r>
          </w:p>
          <w:p w:rsidR="003F3EA3" w:rsidRPr="003F3EA3" w:rsidRDefault="009644A9" w:rsidP="00334D0B">
            <w:pPr>
              <w:spacing w:before="60" w:after="60" w:line="240" w:lineRule="auto"/>
              <w:jc w:val="center"/>
              <w:rPr>
                <w:rFonts w:eastAsia="Times New Roman" w:cs="Times New Roman"/>
                <w:color w:val="000000"/>
                <w:sz w:val="20"/>
                <w:szCs w:val="20"/>
              </w:rPr>
            </w:pPr>
            <w:r w:rsidRPr="003F3EA3">
              <w:rPr>
                <w:rFonts w:eastAsia="Times New Roman" w:cs="Times New Roman"/>
                <w:color w:val="000000"/>
                <w:sz w:val="20"/>
                <w:szCs w:val="20"/>
              </w:rPr>
              <w:t>(prelim.)</w:t>
            </w:r>
          </w:p>
        </w:tc>
      </w:tr>
      <w:tr w:rsidR="003F3EA3" w:rsidRPr="003F3EA3" w:rsidTr="00334D0B">
        <w:trPr>
          <w:trHeight w:val="144"/>
          <w:jc w:val="center"/>
        </w:trPr>
        <w:tc>
          <w:tcPr>
            <w:tcW w:w="3633" w:type="dxa"/>
            <w:tcBorders>
              <w:top w:val="single" w:sz="4" w:space="0" w:color="auto"/>
            </w:tcBorders>
            <w:shd w:val="clear" w:color="auto" w:fill="auto"/>
            <w:vAlign w:val="bottom"/>
            <w:hideMark/>
          </w:tcPr>
          <w:p w:rsidR="003F3EA3" w:rsidRPr="003F3EA3" w:rsidRDefault="003F3EA3" w:rsidP="003F3EA3">
            <w:pPr>
              <w:spacing w:after="0" w:line="240" w:lineRule="auto"/>
              <w:jc w:val="left"/>
              <w:rPr>
                <w:rFonts w:eastAsia="Times New Roman" w:cs="Times New Roman"/>
                <w:color w:val="000000"/>
                <w:sz w:val="20"/>
                <w:szCs w:val="20"/>
              </w:rPr>
            </w:pPr>
            <w:r w:rsidRPr="003F3EA3">
              <w:rPr>
                <w:rFonts w:eastAsia="Times New Roman" w:cs="Times New Roman"/>
                <w:color w:val="000000"/>
                <w:sz w:val="20"/>
                <w:szCs w:val="20"/>
              </w:rPr>
              <w:t xml:space="preserve">Total </w:t>
            </w:r>
          </w:p>
        </w:tc>
        <w:tc>
          <w:tcPr>
            <w:tcW w:w="1080" w:type="dxa"/>
            <w:tcBorders>
              <w:top w:val="single" w:sz="4" w:space="0" w:color="auto"/>
            </w:tcBorders>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100.0</w:t>
            </w:r>
          </w:p>
        </w:tc>
        <w:tc>
          <w:tcPr>
            <w:tcW w:w="1080" w:type="dxa"/>
            <w:tcBorders>
              <w:top w:val="single" w:sz="4" w:space="0" w:color="auto"/>
            </w:tcBorders>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100.0</w:t>
            </w:r>
          </w:p>
        </w:tc>
        <w:tc>
          <w:tcPr>
            <w:tcW w:w="1080" w:type="dxa"/>
            <w:tcBorders>
              <w:top w:val="single" w:sz="4" w:space="0" w:color="auto"/>
            </w:tcBorders>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100.0</w:t>
            </w:r>
          </w:p>
        </w:tc>
        <w:tc>
          <w:tcPr>
            <w:tcW w:w="1080" w:type="dxa"/>
            <w:tcBorders>
              <w:top w:val="single" w:sz="4" w:space="0" w:color="auto"/>
            </w:tcBorders>
            <w:shd w:val="clear" w:color="auto" w:fill="auto"/>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100.0</w:t>
            </w:r>
          </w:p>
        </w:tc>
      </w:tr>
      <w:tr w:rsidR="003F3EA3" w:rsidRPr="003F3EA3" w:rsidTr="00334D0B">
        <w:trPr>
          <w:trHeight w:val="144"/>
          <w:jc w:val="center"/>
        </w:trPr>
        <w:tc>
          <w:tcPr>
            <w:tcW w:w="3633" w:type="dxa"/>
            <w:shd w:val="clear" w:color="auto" w:fill="auto"/>
            <w:noWrap/>
            <w:vAlign w:val="bottom"/>
            <w:hideMark/>
          </w:tcPr>
          <w:p w:rsidR="003F3EA3" w:rsidRPr="003F3EA3" w:rsidRDefault="003F3EA3" w:rsidP="00F27AF5">
            <w:pPr>
              <w:spacing w:after="0" w:line="240" w:lineRule="auto"/>
              <w:jc w:val="left"/>
              <w:rPr>
                <w:rFonts w:eastAsia="Times New Roman" w:cs="Times New Roman"/>
                <w:color w:val="000000"/>
                <w:sz w:val="20"/>
                <w:szCs w:val="20"/>
              </w:rPr>
            </w:pPr>
            <w:r w:rsidRPr="003F3EA3">
              <w:rPr>
                <w:rFonts w:eastAsia="Times New Roman" w:cs="Times New Roman"/>
                <w:color w:val="000000"/>
                <w:sz w:val="20"/>
                <w:szCs w:val="20"/>
              </w:rPr>
              <w:t xml:space="preserve">CIS </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13.9</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13.2</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12.8</w:t>
            </w:r>
          </w:p>
        </w:tc>
        <w:tc>
          <w:tcPr>
            <w:tcW w:w="1080" w:type="dxa"/>
            <w:shd w:val="clear" w:color="auto" w:fill="auto"/>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13.3</w:t>
            </w:r>
          </w:p>
        </w:tc>
      </w:tr>
      <w:tr w:rsidR="003F3EA3" w:rsidRPr="003F3EA3" w:rsidTr="00334D0B">
        <w:trPr>
          <w:trHeight w:val="144"/>
          <w:jc w:val="center"/>
        </w:trPr>
        <w:tc>
          <w:tcPr>
            <w:tcW w:w="3633" w:type="dxa"/>
            <w:shd w:val="clear" w:color="auto" w:fill="auto"/>
            <w:noWrap/>
            <w:vAlign w:val="bottom"/>
            <w:hideMark/>
          </w:tcPr>
          <w:p w:rsidR="003F3EA3" w:rsidRPr="003F3EA3" w:rsidRDefault="00F27AF5" w:rsidP="00F27AF5">
            <w:pPr>
              <w:spacing w:after="0" w:line="240" w:lineRule="auto"/>
              <w:ind w:left="216"/>
              <w:jc w:val="left"/>
              <w:rPr>
                <w:rFonts w:eastAsia="Times New Roman" w:cs="Times New Roman"/>
                <w:color w:val="000000"/>
                <w:sz w:val="20"/>
                <w:szCs w:val="20"/>
              </w:rPr>
            </w:pPr>
            <w:r>
              <w:rPr>
                <w:rFonts w:eastAsia="Times New Roman" w:cs="Times New Roman"/>
                <w:color w:val="000000"/>
                <w:sz w:val="20"/>
                <w:szCs w:val="20"/>
              </w:rPr>
              <w:t>o</w:t>
            </w:r>
            <w:r w:rsidR="003F3EA3" w:rsidRPr="003F3EA3">
              <w:rPr>
                <w:rFonts w:eastAsia="Times New Roman" w:cs="Times New Roman"/>
                <w:color w:val="000000"/>
                <w:sz w:val="20"/>
                <w:szCs w:val="20"/>
              </w:rPr>
              <w:t>f which Customs Union</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8.1</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7.2</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7.2</w:t>
            </w:r>
          </w:p>
        </w:tc>
        <w:tc>
          <w:tcPr>
            <w:tcW w:w="1080" w:type="dxa"/>
            <w:shd w:val="clear" w:color="auto" w:fill="auto"/>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7.5</w:t>
            </w:r>
          </w:p>
        </w:tc>
      </w:tr>
      <w:tr w:rsidR="003F3EA3" w:rsidRPr="003F3EA3" w:rsidTr="00334D0B">
        <w:trPr>
          <w:trHeight w:val="144"/>
          <w:jc w:val="center"/>
        </w:trPr>
        <w:tc>
          <w:tcPr>
            <w:tcW w:w="3633" w:type="dxa"/>
            <w:shd w:val="clear" w:color="auto" w:fill="auto"/>
            <w:noWrap/>
            <w:vAlign w:val="bottom"/>
            <w:hideMark/>
          </w:tcPr>
          <w:p w:rsidR="003F3EA3" w:rsidRPr="003F3EA3" w:rsidRDefault="003F3EA3" w:rsidP="007D3AA4">
            <w:pPr>
              <w:spacing w:after="0" w:line="240" w:lineRule="auto"/>
              <w:ind w:left="432"/>
              <w:jc w:val="left"/>
              <w:rPr>
                <w:rFonts w:eastAsia="Times New Roman" w:cs="Times New Roman"/>
                <w:color w:val="000000"/>
                <w:sz w:val="20"/>
                <w:szCs w:val="20"/>
              </w:rPr>
            </w:pPr>
            <w:r w:rsidRPr="003F3EA3">
              <w:rPr>
                <w:rFonts w:eastAsia="Times New Roman" w:cs="Times New Roman"/>
                <w:color w:val="000000"/>
                <w:sz w:val="20"/>
                <w:szCs w:val="20"/>
              </w:rPr>
              <w:t xml:space="preserve">Belarus </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0.1</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0.1</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0.1</w:t>
            </w:r>
          </w:p>
        </w:tc>
        <w:tc>
          <w:tcPr>
            <w:tcW w:w="1080" w:type="dxa"/>
            <w:shd w:val="clear" w:color="auto" w:fill="auto"/>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0.1</w:t>
            </w:r>
          </w:p>
        </w:tc>
      </w:tr>
      <w:tr w:rsidR="003F3EA3" w:rsidRPr="003F3EA3" w:rsidTr="00334D0B">
        <w:trPr>
          <w:trHeight w:val="144"/>
          <w:jc w:val="center"/>
        </w:trPr>
        <w:tc>
          <w:tcPr>
            <w:tcW w:w="3633" w:type="dxa"/>
            <w:shd w:val="clear" w:color="auto" w:fill="auto"/>
            <w:noWrap/>
            <w:vAlign w:val="bottom"/>
            <w:hideMark/>
          </w:tcPr>
          <w:p w:rsidR="003F3EA3" w:rsidRPr="003F3EA3" w:rsidRDefault="003F3EA3" w:rsidP="00334D0B">
            <w:pPr>
              <w:spacing w:after="0" w:line="240" w:lineRule="auto"/>
              <w:ind w:left="432"/>
              <w:jc w:val="left"/>
              <w:rPr>
                <w:rFonts w:eastAsia="Times New Roman" w:cs="Times New Roman"/>
                <w:color w:val="000000"/>
                <w:sz w:val="20"/>
                <w:szCs w:val="20"/>
              </w:rPr>
            </w:pPr>
            <w:r w:rsidRPr="003F3EA3">
              <w:rPr>
                <w:rFonts w:eastAsia="Times New Roman" w:cs="Times New Roman"/>
                <w:color w:val="000000"/>
                <w:sz w:val="20"/>
                <w:szCs w:val="20"/>
              </w:rPr>
              <w:t>Russia</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8.0</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7.1</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7.1</w:t>
            </w:r>
          </w:p>
        </w:tc>
        <w:tc>
          <w:tcPr>
            <w:tcW w:w="1080" w:type="dxa"/>
            <w:shd w:val="clear" w:color="auto" w:fill="auto"/>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7.4</w:t>
            </w:r>
          </w:p>
        </w:tc>
      </w:tr>
      <w:tr w:rsidR="003F3EA3" w:rsidRPr="003F3EA3" w:rsidTr="00334D0B">
        <w:trPr>
          <w:trHeight w:val="144"/>
          <w:jc w:val="center"/>
        </w:trPr>
        <w:tc>
          <w:tcPr>
            <w:tcW w:w="3633" w:type="dxa"/>
            <w:shd w:val="clear" w:color="auto" w:fill="auto"/>
            <w:noWrap/>
            <w:vAlign w:val="bottom"/>
            <w:hideMark/>
          </w:tcPr>
          <w:p w:rsidR="003F3EA3" w:rsidRPr="003F3EA3" w:rsidRDefault="003F3EA3" w:rsidP="003F3EA3">
            <w:pPr>
              <w:spacing w:after="0" w:line="240" w:lineRule="auto"/>
              <w:jc w:val="left"/>
              <w:rPr>
                <w:rFonts w:eastAsia="Times New Roman" w:cs="Times New Roman"/>
                <w:color w:val="000000"/>
                <w:sz w:val="20"/>
                <w:szCs w:val="20"/>
              </w:rPr>
            </w:pPr>
            <w:r w:rsidRPr="003F3EA3">
              <w:rPr>
                <w:rFonts w:eastAsia="Times New Roman" w:cs="Times New Roman"/>
                <w:color w:val="000000"/>
                <w:sz w:val="20"/>
                <w:szCs w:val="20"/>
              </w:rPr>
              <w:t>EU Countries</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48.8</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52.4</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53.7</w:t>
            </w:r>
          </w:p>
        </w:tc>
        <w:tc>
          <w:tcPr>
            <w:tcW w:w="1080" w:type="dxa"/>
            <w:shd w:val="clear" w:color="auto" w:fill="auto"/>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54.0</w:t>
            </w:r>
          </w:p>
        </w:tc>
      </w:tr>
      <w:tr w:rsidR="003F3EA3" w:rsidRPr="003F3EA3" w:rsidTr="00334D0B">
        <w:trPr>
          <w:trHeight w:val="144"/>
          <w:jc w:val="center"/>
        </w:trPr>
        <w:tc>
          <w:tcPr>
            <w:tcW w:w="3633" w:type="dxa"/>
            <w:shd w:val="clear" w:color="auto" w:fill="auto"/>
            <w:noWrap/>
            <w:vAlign w:val="bottom"/>
            <w:hideMark/>
          </w:tcPr>
          <w:p w:rsidR="003F3EA3" w:rsidRPr="003F3EA3" w:rsidRDefault="003F3EA3" w:rsidP="003F3EA3">
            <w:pPr>
              <w:spacing w:after="0" w:line="240" w:lineRule="auto"/>
              <w:jc w:val="left"/>
              <w:rPr>
                <w:rFonts w:eastAsia="Times New Roman" w:cs="Times New Roman"/>
                <w:color w:val="000000"/>
                <w:sz w:val="20"/>
                <w:szCs w:val="20"/>
              </w:rPr>
            </w:pPr>
            <w:r w:rsidRPr="003F3EA3">
              <w:rPr>
                <w:rFonts w:eastAsia="Times New Roman" w:cs="Times New Roman"/>
                <w:color w:val="000000"/>
                <w:sz w:val="20"/>
                <w:szCs w:val="20"/>
              </w:rPr>
              <w:t>Europe outside EU</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5.7</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5.9</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6.1</w:t>
            </w:r>
          </w:p>
        </w:tc>
        <w:tc>
          <w:tcPr>
            <w:tcW w:w="1080" w:type="dxa"/>
            <w:shd w:val="clear" w:color="auto" w:fill="auto"/>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5.8</w:t>
            </w:r>
          </w:p>
        </w:tc>
      </w:tr>
      <w:tr w:rsidR="003F3EA3" w:rsidRPr="003F3EA3" w:rsidTr="00334D0B">
        <w:trPr>
          <w:trHeight w:val="144"/>
          <w:jc w:val="center"/>
        </w:trPr>
        <w:tc>
          <w:tcPr>
            <w:tcW w:w="3633" w:type="dxa"/>
            <w:shd w:val="clear" w:color="auto" w:fill="auto"/>
            <w:noWrap/>
            <w:vAlign w:val="bottom"/>
            <w:hideMark/>
          </w:tcPr>
          <w:p w:rsidR="003F3EA3" w:rsidRPr="003F3EA3" w:rsidRDefault="003F3EA3" w:rsidP="003F3EA3">
            <w:pPr>
              <w:spacing w:after="0" w:line="240" w:lineRule="auto"/>
              <w:jc w:val="left"/>
              <w:rPr>
                <w:rFonts w:eastAsia="Times New Roman" w:cs="Times New Roman"/>
                <w:color w:val="000000"/>
                <w:sz w:val="20"/>
                <w:szCs w:val="20"/>
              </w:rPr>
            </w:pPr>
            <w:r w:rsidRPr="003F3EA3">
              <w:rPr>
                <w:rFonts w:eastAsia="Times New Roman" w:cs="Times New Roman"/>
                <w:color w:val="000000"/>
                <w:sz w:val="20"/>
                <w:szCs w:val="20"/>
              </w:rPr>
              <w:t>Asia</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26.6</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24.1</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22.7</w:t>
            </w:r>
          </w:p>
        </w:tc>
        <w:tc>
          <w:tcPr>
            <w:tcW w:w="1080" w:type="dxa"/>
            <w:shd w:val="clear" w:color="auto" w:fill="auto"/>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23.1</w:t>
            </w:r>
          </w:p>
        </w:tc>
      </w:tr>
      <w:tr w:rsidR="003F3EA3" w:rsidRPr="003F3EA3" w:rsidTr="00334D0B">
        <w:trPr>
          <w:trHeight w:val="144"/>
          <w:jc w:val="center"/>
        </w:trPr>
        <w:tc>
          <w:tcPr>
            <w:tcW w:w="3633" w:type="dxa"/>
            <w:shd w:val="clear" w:color="auto" w:fill="auto"/>
            <w:noWrap/>
            <w:vAlign w:val="bottom"/>
            <w:hideMark/>
          </w:tcPr>
          <w:p w:rsidR="003F3EA3" w:rsidRPr="003F3EA3" w:rsidRDefault="003F3EA3" w:rsidP="00334D0B">
            <w:pPr>
              <w:spacing w:after="0" w:line="240" w:lineRule="auto"/>
              <w:ind w:left="432"/>
              <w:jc w:val="left"/>
              <w:rPr>
                <w:rFonts w:eastAsia="Times New Roman" w:cs="Times New Roman"/>
                <w:color w:val="000000"/>
                <w:sz w:val="20"/>
                <w:szCs w:val="20"/>
              </w:rPr>
            </w:pPr>
            <w:r w:rsidRPr="003F3EA3">
              <w:rPr>
                <w:rFonts w:eastAsia="Times New Roman" w:cs="Times New Roman"/>
                <w:color w:val="000000"/>
                <w:sz w:val="20"/>
                <w:szCs w:val="20"/>
              </w:rPr>
              <w:t>China</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18.6</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16.5</w:t>
            </w:r>
          </w:p>
        </w:tc>
        <w:tc>
          <w:tcPr>
            <w:tcW w:w="1080" w:type="dxa"/>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14.5</w:t>
            </w:r>
          </w:p>
        </w:tc>
        <w:tc>
          <w:tcPr>
            <w:tcW w:w="1080" w:type="dxa"/>
            <w:shd w:val="clear" w:color="auto" w:fill="auto"/>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16.4</w:t>
            </w:r>
          </w:p>
        </w:tc>
      </w:tr>
      <w:tr w:rsidR="003F3EA3" w:rsidRPr="003F3EA3" w:rsidTr="00334D0B">
        <w:trPr>
          <w:trHeight w:val="144"/>
          <w:jc w:val="center"/>
        </w:trPr>
        <w:tc>
          <w:tcPr>
            <w:tcW w:w="3633" w:type="dxa"/>
            <w:tcBorders>
              <w:bottom w:val="single" w:sz="4" w:space="0" w:color="auto"/>
            </w:tcBorders>
            <w:shd w:val="clear" w:color="auto" w:fill="auto"/>
            <w:noWrap/>
            <w:vAlign w:val="bottom"/>
            <w:hideMark/>
          </w:tcPr>
          <w:p w:rsidR="003F3EA3" w:rsidRPr="003F3EA3" w:rsidRDefault="003F3EA3" w:rsidP="003F3EA3">
            <w:pPr>
              <w:spacing w:after="0" w:line="240" w:lineRule="auto"/>
              <w:jc w:val="left"/>
              <w:rPr>
                <w:rFonts w:eastAsia="Times New Roman" w:cs="Times New Roman"/>
                <w:color w:val="000000"/>
                <w:sz w:val="20"/>
                <w:szCs w:val="20"/>
              </w:rPr>
            </w:pPr>
            <w:r w:rsidRPr="003F3EA3">
              <w:rPr>
                <w:rFonts w:eastAsia="Times New Roman" w:cs="Times New Roman"/>
                <w:color w:val="000000"/>
                <w:sz w:val="20"/>
                <w:szCs w:val="20"/>
              </w:rPr>
              <w:t xml:space="preserve">America </w:t>
            </w:r>
          </w:p>
        </w:tc>
        <w:tc>
          <w:tcPr>
            <w:tcW w:w="1080" w:type="dxa"/>
            <w:tcBorders>
              <w:bottom w:val="single" w:sz="4" w:space="0" w:color="auto"/>
            </w:tcBorders>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4.7</w:t>
            </w:r>
          </w:p>
        </w:tc>
        <w:tc>
          <w:tcPr>
            <w:tcW w:w="1080" w:type="dxa"/>
            <w:tcBorders>
              <w:bottom w:val="single" w:sz="4" w:space="0" w:color="auto"/>
            </w:tcBorders>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4.2</w:t>
            </w:r>
          </w:p>
        </w:tc>
        <w:tc>
          <w:tcPr>
            <w:tcW w:w="1080" w:type="dxa"/>
            <w:tcBorders>
              <w:bottom w:val="single" w:sz="4" w:space="0" w:color="auto"/>
            </w:tcBorders>
            <w:shd w:val="clear" w:color="auto" w:fill="auto"/>
            <w:noWrap/>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4.4</w:t>
            </w:r>
          </w:p>
        </w:tc>
        <w:tc>
          <w:tcPr>
            <w:tcW w:w="1080" w:type="dxa"/>
            <w:tcBorders>
              <w:bottom w:val="single" w:sz="4" w:space="0" w:color="auto"/>
            </w:tcBorders>
            <w:shd w:val="clear" w:color="auto" w:fill="auto"/>
            <w:vAlign w:val="bottom"/>
            <w:hideMark/>
          </w:tcPr>
          <w:p w:rsidR="003F3EA3" w:rsidRPr="003F3EA3" w:rsidRDefault="003F3EA3" w:rsidP="00334D0B">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3.7</w:t>
            </w:r>
          </w:p>
        </w:tc>
      </w:tr>
      <w:tr w:rsidR="00334D0B" w:rsidRPr="003F3EA3" w:rsidTr="00334D0B">
        <w:trPr>
          <w:trHeight w:val="300"/>
          <w:jc w:val="center"/>
        </w:trPr>
        <w:tc>
          <w:tcPr>
            <w:tcW w:w="7953" w:type="dxa"/>
            <w:gridSpan w:val="5"/>
            <w:tcBorders>
              <w:top w:val="single" w:sz="4" w:space="0" w:color="auto"/>
            </w:tcBorders>
            <w:shd w:val="clear" w:color="auto" w:fill="auto"/>
            <w:noWrap/>
            <w:vAlign w:val="bottom"/>
            <w:hideMark/>
          </w:tcPr>
          <w:p w:rsidR="00334D0B" w:rsidRPr="003F3EA3" w:rsidRDefault="00334D0B" w:rsidP="00334D0B">
            <w:pPr>
              <w:spacing w:after="0" w:line="240" w:lineRule="auto"/>
              <w:jc w:val="left"/>
              <w:rPr>
                <w:rFonts w:ascii="Arial CYR" w:eastAsia="Times New Roman" w:hAnsi="Arial CYR" w:cs="Times New Roman"/>
                <w:sz w:val="16"/>
                <w:szCs w:val="16"/>
              </w:rPr>
            </w:pPr>
            <w:r w:rsidRPr="00334D0B">
              <w:rPr>
                <w:rFonts w:eastAsia="Times New Roman" w:cs="Times New Roman"/>
                <w:i/>
                <w:sz w:val="18"/>
                <w:szCs w:val="18"/>
              </w:rPr>
              <w:t>Source:</w:t>
            </w:r>
            <w:r w:rsidRPr="003F3EA3">
              <w:rPr>
                <w:rFonts w:eastAsia="Times New Roman" w:cs="Times New Roman"/>
                <w:sz w:val="18"/>
                <w:szCs w:val="18"/>
              </w:rPr>
              <w:t xml:space="preserve"> </w:t>
            </w:r>
            <w:r>
              <w:rPr>
                <w:rFonts w:eastAsia="Times New Roman" w:cs="Times New Roman"/>
                <w:sz w:val="18"/>
                <w:szCs w:val="18"/>
              </w:rPr>
              <w:t>D</w:t>
            </w:r>
            <w:r w:rsidRPr="003F3EA3">
              <w:rPr>
                <w:rFonts w:eastAsia="Times New Roman" w:cs="Times New Roman"/>
                <w:sz w:val="18"/>
                <w:szCs w:val="18"/>
              </w:rPr>
              <w:t>ata from Kazakhstan Statistical Agency, World Bank staff calculations.</w:t>
            </w:r>
          </w:p>
        </w:tc>
      </w:tr>
    </w:tbl>
    <w:p w:rsidR="00334D0B" w:rsidRPr="00177590" w:rsidRDefault="00334D0B" w:rsidP="00334D0B">
      <w:pPr>
        <w:pStyle w:val="ListParagraph"/>
        <w:tabs>
          <w:tab w:val="left" w:pos="720"/>
        </w:tabs>
        <w:spacing w:after="0" w:line="240" w:lineRule="auto"/>
        <w:ind w:left="0"/>
        <w:contextualSpacing w:val="0"/>
        <w:rPr>
          <w:rFonts w:cs="Times New Roman"/>
          <w:szCs w:val="24"/>
        </w:rPr>
      </w:pPr>
    </w:p>
    <w:p w:rsidR="00453BAB" w:rsidRPr="00743658" w:rsidRDefault="00D96FD1" w:rsidP="00177590">
      <w:pPr>
        <w:pStyle w:val="ListParagraph"/>
        <w:numPr>
          <w:ilvl w:val="0"/>
          <w:numId w:val="1"/>
        </w:numPr>
        <w:tabs>
          <w:tab w:val="left" w:pos="720"/>
        </w:tabs>
        <w:spacing w:after="240" w:line="240" w:lineRule="auto"/>
        <w:ind w:left="0" w:firstLine="0"/>
        <w:contextualSpacing w:val="0"/>
        <w:rPr>
          <w:rFonts w:cs="Times New Roman"/>
          <w:sz w:val="22"/>
        </w:rPr>
      </w:pPr>
      <w:r w:rsidRPr="009D79C6">
        <w:rPr>
          <w:rFonts w:cs="Times New Roman"/>
          <w:b/>
          <w:sz w:val="22"/>
        </w:rPr>
        <w:t>Furthermore, Kazakhstan</w:t>
      </w:r>
      <w:r w:rsidR="009A1D79">
        <w:rPr>
          <w:rFonts w:cs="Times New Roman"/>
          <w:b/>
          <w:sz w:val="22"/>
        </w:rPr>
        <w:t xml:space="preserve">’s exports have become more concentrated since the </w:t>
      </w:r>
      <w:r w:rsidR="002472AA" w:rsidRPr="009D79C6">
        <w:rPr>
          <w:rFonts w:cs="Times New Roman"/>
          <w:b/>
          <w:sz w:val="22"/>
        </w:rPr>
        <w:t>2008 crisis</w:t>
      </w:r>
      <w:r w:rsidRPr="009D79C6">
        <w:rPr>
          <w:rFonts w:cs="Times New Roman"/>
          <w:b/>
          <w:sz w:val="22"/>
        </w:rPr>
        <w:t>.</w:t>
      </w:r>
      <w:r w:rsidRPr="009D79C6">
        <w:rPr>
          <w:rFonts w:cs="Times New Roman"/>
          <w:sz w:val="22"/>
        </w:rPr>
        <w:t xml:space="preserve"> </w:t>
      </w:r>
      <w:r w:rsidR="009A1D79">
        <w:rPr>
          <w:rFonts w:cs="Times New Roman"/>
          <w:sz w:val="22"/>
        </w:rPr>
        <w:t>T</w:t>
      </w:r>
      <w:r w:rsidR="00BB33B9">
        <w:rPr>
          <w:rFonts w:cs="Times New Roman"/>
          <w:sz w:val="22"/>
        </w:rPr>
        <w:t>he number of products exported fell from 779 in 2006-07 to 574 in 2010-11</w:t>
      </w:r>
      <w:r w:rsidR="00F455AD">
        <w:rPr>
          <w:rFonts w:cs="Times New Roman"/>
          <w:sz w:val="22"/>
        </w:rPr>
        <w:t xml:space="preserve">, </w:t>
      </w:r>
      <w:r w:rsidR="00E93807">
        <w:rPr>
          <w:rFonts w:cs="Times New Roman"/>
          <w:sz w:val="22"/>
        </w:rPr>
        <w:t xml:space="preserve">comparable to other CIS </w:t>
      </w:r>
      <w:r w:rsidR="00E93807" w:rsidRPr="009644A9">
        <w:rPr>
          <w:rFonts w:cs="Times New Roman"/>
          <w:sz w:val="22"/>
        </w:rPr>
        <w:t>countries (Table</w:t>
      </w:r>
      <w:r w:rsidR="00453BAB" w:rsidRPr="009644A9">
        <w:rPr>
          <w:rFonts w:cs="Times New Roman"/>
          <w:sz w:val="22"/>
        </w:rPr>
        <w:t xml:space="preserve"> 2</w:t>
      </w:r>
      <w:r w:rsidR="00E93807" w:rsidRPr="009644A9">
        <w:rPr>
          <w:rFonts w:cs="Times New Roman"/>
          <w:sz w:val="22"/>
        </w:rPr>
        <w:t>).</w:t>
      </w:r>
      <w:r w:rsidR="00786508">
        <w:rPr>
          <w:rFonts w:cs="Times New Roman"/>
          <w:sz w:val="22"/>
        </w:rPr>
        <w:t xml:space="preserve"> </w:t>
      </w:r>
      <w:r w:rsidR="009D79C6">
        <w:rPr>
          <w:rFonts w:cs="Times New Roman"/>
          <w:sz w:val="22"/>
        </w:rPr>
        <w:t>This concentration of products is also evident in Kazakhstan’s trade with the CU.</w:t>
      </w:r>
      <w:r w:rsidR="00786508">
        <w:rPr>
          <w:rFonts w:cs="Times New Roman"/>
          <w:sz w:val="22"/>
        </w:rPr>
        <w:t xml:space="preserve"> </w:t>
      </w:r>
      <w:r w:rsidR="009A1D79">
        <w:rPr>
          <w:rFonts w:cs="Times New Roman"/>
          <w:sz w:val="22"/>
        </w:rPr>
        <w:t xml:space="preserve">Through </w:t>
      </w:r>
      <w:r w:rsidR="003F3EA3">
        <w:rPr>
          <w:rFonts w:cs="Times New Roman"/>
          <w:sz w:val="22"/>
        </w:rPr>
        <w:t>2012, t</w:t>
      </w:r>
      <w:r w:rsidR="009D79C6" w:rsidRPr="009D79C6">
        <w:rPr>
          <w:rFonts w:cs="Times New Roman"/>
          <w:sz w:val="22"/>
        </w:rPr>
        <w:t xml:space="preserve">he decline in </w:t>
      </w:r>
      <w:r w:rsidR="009D79C6">
        <w:rPr>
          <w:rFonts w:cs="Times New Roman"/>
          <w:sz w:val="22"/>
        </w:rPr>
        <w:t xml:space="preserve">the share of </w:t>
      </w:r>
      <w:r w:rsidR="009D79C6" w:rsidRPr="009D79C6">
        <w:rPr>
          <w:rFonts w:cs="Times New Roman"/>
          <w:sz w:val="22"/>
        </w:rPr>
        <w:t xml:space="preserve">exports to CU partners </w:t>
      </w:r>
      <w:r w:rsidR="009D79C6">
        <w:rPr>
          <w:rFonts w:cs="Times New Roman"/>
          <w:sz w:val="22"/>
        </w:rPr>
        <w:t>in overall export</w:t>
      </w:r>
      <w:r w:rsidR="009A1D79">
        <w:rPr>
          <w:rFonts w:cs="Times New Roman"/>
          <w:sz w:val="22"/>
        </w:rPr>
        <w:t>s</w:t>
      </w:r>
      <w:r w:rsidR="009D79C6">
        <w:rPr>
          <w:rFonts w:cs="Times New Roman"/>
          <w:sz w:val="22"/>
        </w:rPr>
        <w:t xml:space="preserve"> </w:t>
      </w:r>
      <w:r w:rsidR="003F3EA3">
        <w:rPr>
          <w:rFonts w:cs="Times New Roman"/>
          <w:sz w:val="22"/>
        </w:rPr>
        <w:t>was</w:t>
      </w:r>
      <w:r w:rsidR="009D79C6" w:rsidRPr="009D79C6">
        <w:rPr>
          <w:rFonts w:cs="Times New Roman"/>
          <w:sz w:val="22"/>
        </w:rPr>
        <w:t xml:space="preserve"> most likely associated with a period of adjustments to new regional technical and border regulations, as reported by Kazakhstani </w:t>
      </w:r>
      <w:r w:rsidR="009D79C6" w:rsidRPr="009644A9">
        <w:rPr>
          <w:rFonts w:cs="Times New Roman"/>
          <w:sz w:val="22"/>
        </w:rPr>
        <w:t xml:space="preserve">businesses (Figure 1 and Table </w:t>
      </w:r>
      <w:r w:rsidR="00BB33B9" w:rsidRPr="009644A9">
        <w:rPr>
          <w:rFonts w:cs="Times New Roman"/>
          <w:sz w:val="22"/>
        </w:rPr>
        <w:t>3</w:t>
      </w:r>
      <w:r w:rsidR="009D79C6" w:rsidRPr="009644A9">
        <w:rPr>
          <w:rFonts w:cs="Times New Roman"/>
          <w:sz w:val="22"/>
        </w:rPr>
        <w:t>).</w:t>
      </w:r>
      <w:r w:rsidR="00786508">
        <w:rPr>
          <w:rFonts w:cs="Times New Roman"/>
          <w:sz w:val="22"/>
        </w:rPr>
        <w:t xml:space="preserve"> </w:t>
      </w:r>
      <w:r w:rsidR="003F3EA3">
        <w:rPr>
          <w:rFonts w:cs="Times New Roman"/>
          <w:sz w:val="22"/>
        </w:rPr>
        <w:t>Data for</w:t>
      </w:r>
      <w:r w:rsidR="00B626CB">
        <w:rPr>
          <w:rFonts w:cs="Times New Roman"/>
          <w:sz w:val="22"/>
        </w:rPr>
        <w:t xml:space="preserve"> 2013</w:t>
      </w:r>
      <w:r w:rsidR="003F3EA3">
        <w:rPr>
          <w:rFonts w:cs="Times New Roman"/>
          <w:sz w:val="22"/>
        </w:rPr>
        <w:t xml:space="preserve"> </w:t>
      </w:r>
      <w:r w:rsidR="00B626CB">
        <w:rPr>
          <w:rFonts w:cs="Times New Roman"/>
          <w:sz w:val="22"/>
        </w:rPr>
        <w:t>suggests</w:t>
      </w:r>
      <w:r w:rsidR="003F3EA3">
        <w:rPr>
          <w:rFonts w:cs="Times New Roman"/>
          <w:sz w:val="22"/>
        </w:rPr>
        <w:t xml:space="preserve"> a potential recovery, but it is partial and preliminary, and therefore too early to assess</w:t>
      </w:r>
      <w:r w:rsidR="00B626CB">
        <w:rPr>
          <w:rFonts w:cs="Times New Roman"/>
          <w:sz w:val="22"/>
        </w:rPr>
        <w:t>.</w:t>
      </w:r>
      <w:r w:rsidR="00786508">
        <w:rPr>
          <w:rFonts w:cs="Times New Roman"/>
          <w:sz w:val="22"/>
        </w:rPr>
        <w:t xml:space="preserve"> </w:t>
      </w:r>
      <w:r w:rsidR="009D79C6">
        <w:rPr>
          <w:rFonts w:cs="Times New Roman"/>
          <w:sz w:val="22"/>
        </w:rPr>
        <w:t>F</w:t>
      </w:r>
      <w:r w:rsidR="002472AA" w:rsidRPr="009D79C6">
        <w:rPr>
          <w:rFonts w:cs="Times New Roman"/>
          <w:sz w:val="22"/>
        </w:rPr>
        <w:t>our main categories of products (minerals, machinery and electronics, metals and transportation) represent about 94 percent of all Kazakhstani exports to the CU in 2012, unchanged from 2009.</w:t>
      </w:r>
      <w:r w:rsidR="00786508">
        <w:rPr>
          <w:rFonts w:cs="Times New Roman"/>
          <w:sz w:val="22"/>
        </w:rPr>
        <w:t xml:space="preserve"> </w:t>
      </w:r>
      <w:r w:rsidR="009D79C6" w:rsidRPr="00DD5F66">
        <w:rPr>
          <w:rFonts w:cs="Times New Roman"/>
          <w:sz w:val="22"/>
        </w:rPr>
        <w:t>The export performance of Kazakhstan has been analyzed in depth by several recent reports.</w:t>
      </w:r>
      <w:r w:rsidR="009D79C6" w:rsidRPr="002472AA">
        <w:rPr>
          <w:vertAlign w:val="superscript"/>
        </w:rPr>
        <w:footnoteReference w:id="2"/>
      </w:r>
    </w:p>
    <w:tbl>
      <w:tblPr>
        <w:tblW w:w="6745" w:type="dxa"/>
        <w:jc w:val="center"/>
        <w:tblLayout w:type="fixed"/>
        <w:tblLook w:val="04A0" w:firstRow="1" w:lastRow="0" w:firstColumn="1" w:lastColumn="0" w:noHBand="0" w:noVBand="1"/>
      </w:tblPr>
      <w:tblGrid>
        <w:gridCol w:w="1516"/>
        <w:gridCol w:w="871"/>
        <w:gridCol w:w="872"/>
        <w:gridCol w:w="871"/>
        <w:gridCol w:w="872"/>
        <w:gridCol w:w="871"/>
        <w:gridCol w:w="872"/>
      </w:tblGrid>
      <w:tr w:rsidR="00B626CB" w:rsidRPr="00B626CB" w:rsidTr="00D4187C">
        <w:trPr>
          <w:trHeight w:val="300"/>
          <w:jc w:val="center"/>
        </w:trPr>
        <w:tc>
          <w:tcPr>
            <w:tcW w:w="6745" w:type="dxa"/>
            <w:gridSpan w:val="7"/>
            <w:tcBorders>
              <w:bottom w:val="single" w:sz="4" w:space="0" w:color="auto"/>
            </w:tcBorders>
            <w:shd w:val="clear" w:color="auto" w:fill="auto"/>
            <w:noWrap/>
            <w:vAlign w:val="bottom"/>
            <w:hideMark/>
          </w:tcPr>
          <w:p w:rsidR="00334D0B" w:rsidRDefault="00334D0B" w:rsidP="00D4187C">
            <w:pPr>
              <w:pStyle w:val="Caption"/>
              <w:rPr>
                <w:rFonts w:eastAsia="Times New Roman"/>
              </w:rPr>
            </w:pPr>
            <w:bookmarkStart w:id="11" w:name="_Toc378151210"/>
            <w:r>
              <w:t xml:space="preserve">Table </w:t>
            </w:r>
            <w:fldSimple w:instr=" SEQ Table \* ARABIC ">
              <w:r w:rsidR="0056192E">
                <w:rPr>
                  <w:noProof/>
                </w:rPr>
                <w:t>2</w:t>
              </w:r>
            </w:fldSimple>
            <w:r>
              <w:t xml:space="preserve">: </w:t>
            </w:r>
            <w:r w:rsidR="00B626CB" w:rsidRPr="00B626CB">
              <w:rPr>
                <w:rFonts w:eastAsia="Times New Roman"/>
              </w:rPr>
              <w:t>Kazakhstan</w:t>
            </w:r>
            <w:r w:rsidR="009A1D79">
              <w:rPr>
                <w:rFonts w:eastAsia="Times New Roman"/>
              </w:rPr>
              <w:t>’s</w:t>
            </w:r>
            <w:r w:rsidR="00B626CB" w:rsidRPr="00B626CB">
              <w:rPr>
                <w:rFonts w:eastAsia="Times New Roman"/>
              </w:rPr>
              <w:t xml:space="preserve"> </w:t>
            </w:r>
            <w:r w:rsidR="00D4187C">
              <w:rPr>
                <w:rFonts w:eastAsia="Times New Roman"/>
              </w:rPr>
              <w:t>Exports H</w:t>
            </w:r>
            <w:r w:rsidR="00D4187C" w:rsidRPr="00B626CB">
              <w:rPr>
                <w:rFonts w:eastAsia="Times New Roman"/>
              </w:rPr>
              <w:t>ave Become More Concentrated</w:t>
            </w:r>
            <w:r w:rsidR="00D356D9">
              <w:rPr>
                <w:rFonts w:eastAsia="Times New Roman"/>
              </w:rPr>
              <w:t xml:space="preserve"> </w:t>
            </w:r>
            <w:r w:rsidR="009A1D79">
              <w:rPr>
                <w:rFonts w:eastAsia="Times New Roman"/>
              </w:rPr>
              <w:t xml:space="preserve">after </w:t>
            </w:r>
            <w:r w:rsidR="00D4187C">
              <w:rPr>
                <w:rFonts w:eastAsia="Times New Roman"/>
              </w:rPr>
              <w:t>t</w:t>
            </w:r>
            <w:r w:rsidR="00D4187C" w:rsidRPr="00B626CB">
              <w:rPr>
                <w:rFonts w:eastAsia="Times New Roman"/>
              </w:rPr>
              <w:t>he 2008 Crisis</w:t>
            </w:r>
            <w:bookmarkEnd w:id="11"/>
          </w:p>
          <w:p w:rsidR="00B626CB" w:rsidRPr="00D4187C" w:rsidRDefault="00334D0B" w:rsidP="00D4187C">
            <w:pPr>
              <w:spacing w:after="60" w:line="240" w:lineRule="auto"/>
              <w:jc w:val="center"/>
              <w:rPr>
                <w:rFonts w:eastAsia="Times New Roman" w:cs="Times New Roman"/>
                <w:b/>
                <w:color w:val="000000"/>
                <w:sz w:val="18"/>
                <w:szCs w:val="18"/>
              </w:rPr>
            </w:pPr>
            <w:r w:rsidRPr="00D4187C">
              <w:rPr>
                <w:rFonts w:eastAsia="Times New Roman" w:cs="Times New Roman"/>
                <w:color w:val="000000"/>
                <w:sz w:val="18"/>
                <w:szCs w:val="18"/>
              </w:rPr>
              <w:t xml:space="preserve">(Number of </w:t>
            </w:r>
            <w:r w:rsidR="00D4187C">
              <w:rPr>
                <w:rFonts w:eastAsia="Times New Roman" w:cs="Times New Roman"/>
                <w:color w:val="000000"/>
                <w:sz w:val="18"/>
                <w:szCs w:val="18"/>
              </w:rPr>
              <w:t>p</w:t>
            </w:r>
            <w:r w:rsidRPr="00D4187C">
              <w:rPr>
                <w:rFonts w:eastAsia="Times New Roman" w:cs="Times New Roman"/>
                <w:color w:val="000000"/>
                <w:sz w:val="18"/>
                <w:szCs w:val="18"/>
              </w:rPr>
              <w:t>roducts)</w:t>
            </w:r>
          </w:p>
        </w:tc>
      </w:tr>
      <w:tr w:rsidR="00B626CB" w:rsidRPr="00B626CB" w:rsidTr="00D4187C">
        <w:trPr>
          <w:trHeight w:val="300"/>
          <w:jc w:val="center"/>
        </w:trPr>
        <w:tc>
          <w:tcPr>
            <w:tcW w:w="1516" w:type="dxa"/>
            <w:tcBorders>
              <w:top w:val="single" w:sz="4" w:space="0" w:color="auto"/>
              <w:bottom w:val="single" w:sz="4" w:space="0" w:color="auto"/>
              <w:right w:val="single" w:sz="4" w:space="0" w:color="auto"/>
            </w:tcBorders>
            <w:shd w:val="clear" w:color="auto" w:fill="auto"/>
            <w:noWrap/>
            <w:vAlign w:val="bottom"/>
            <w:hideMark/>
          </w:tcPr>
          <w:p w:rsidR="00B626CB" w:rsidRPr="00334D0B" w:rsidRDefault="00B626CB" w:rsidP="00334D0B">
            <w:pPr>
              <w:spacing w:before="60" w:after="60" w:line="240" w:lineRule="auto"/>
              <w:jc w:val="center"/>
              <w:rPr>
                <w:rFonts w:eastAsia="Times New Roman" w:cs="Times New Roman"/>
                <w:bCs/>
                <w:color w:val="000000"/>
                <w:sz w:val="20"/>
                <w:szCs w:val="20"/>
              </w:rPr>
            </w:pPr>
            <w:r w:rsidRPr="00334D0B">
              <w:rPr>
                <w:rFonts w:eastAsia="Times New Roman" w:cs="Times New Roman"/>
                <w:bCs/>
                <w:color w:val="000000"/>
                <w:sz w:val="20"/>
                <w:szCs w:val="20"/>
              </w:rPr>
              <w:t>Period</w:t>
            </w:r>
          </w:p>
        </w:tc>
        <w:tc>
          <w:tcPr>
            <w:tcW w:w="871" w:type="dxa"/>
            <w:tcBorders>
              <w:top w:val="single" w:sz="4" w:space="0" w:color="auto"/>
              <w:left w:val="single" w:sz="4" w:space="0" w:color="auto"/>
              <w:bottom w:val="single" w:sz="4" w:space="0" w:color="auto"/>
            </w:tcBorders>
            <w:shd w:val="clear" w:color="auto" w:fill="auto"/>
            <w:noWrap/>
            <w:vAlign w:val="bottom"/>
            <w:hideMark/>
          </w:tcPr>
          <w:p w:rsidR="00B626CB" w:rsidRPr="00334D0B" w:rsidRDefault="00B626CB" w:rsidP="00334D0B">
            <w:pPr>
              <w:spacing w:before="60" w:after="60" w:line="240" w:lineRule="auto"/>
              <w:jc w:val="center"/>
              <w:rPr>
                <w:rFonts w:eastAsia="Times New Roman" w:cs="Times New Roman"/>
                <w:bCs/>
                <w:color w:val="000000"/>
                <w:sz w:val="20"/>
                <w:szCs w:val="20"/>
              </w:rPr>
            </w:pPr>
            <w:r w:rsidRPr="00334D0B">
              <w:rPr>
                <w:rFonts w:eastAsia="Times New Roman" w:cs="Times New Roman"/>
                <w:bCs/>
                <w:color w:val="000000"/>
                <w:sz w:val="20"/>
                <w:szCs w:val="20"/>
              </w:rPr>
              <w:t>ARM</w:t>
            </w:r>
          </w:p>
        </w:tc>
        <w:tc>
          <w:tcPr>
            <w:tcW w:w="872" w:type="dxa"/>
            <w:tcBorders>
              <w:top w:val="single" w:sz="4" w:space="0" w:color="auto"/>
              <w:bottom w:val="single" w:sz="4" w:space="0" w:color="auto"/>
            </w:tcBorders>
            <w:shd w:val="clear" w:color="auto" w:fill="auto"/>
            <w:noWrap/>
            <w:vAlign w:val="bottom"/>
            <w:hideMark/>
          </w:tcPr>
          <w:p w:rsidR="00B626CB" w:rsidRPr="00334D0B" w:rsidRDefault="00B626CB" w:rsidP="00334D0B">
            <w:pPr>
              <w:spacing w:before="60" w:after="60" w:line="240" w:lineRule="auto"/>
              <w:jc w:val="center"/>
              <w:rPr>
                <w:rFonts w:eastAsia="Times New Roman" w:cs="Times New Roman"/>
                <w:bCs/>
                <w:color w:val="000000"/>
                <w:sz w:val="20"/>
                <w:szCs w:val="20"/>
              </w:rPr>
            </w:pPr>
            <w:r w:rsidRPr="00334D0B">
              <w:rPr>
                <w:rFonts w:eastAsia="Times New Roman" w:cs="Times New Roman"/>
                <w:bCs/>
                <w:color w:val="000000"/>
                <w:sz w:val="20"/>
                <w:szCs w:val="20"/>
              </w:rPr>
              <w:t>AZE</w:t>
            </w:r>
          </w:p>
        </w:tc>
        <w:tc>
          <w:tcPr>
            <w:tcW w:w="871" w:type="dxa"/>
            <w:tcBorders>
              <w:top w:val="single" w:sz="4" w:space="0" w:color="auto"/>
              <w:bottom w:val="single" w:sz="4" w:space="0" w:color="auto"/>
            </w:tcBorders>
            <w:shd w:val="clear" w:color="auto" w:fill="auto"/>
            <w:noWrap/>
            <w:vAlign w:val="bottom"/>
            <w:hideMark/>
          </w:tcPr>
          <w:p w:rsidR="00B626CB" w:rsidRPr="00334D0B" w:rsidRDefault="00B626CB" w:rsidP="00334D0B">
            <w:pPr>
              <w:spacing w:before="60" w:after="60" w:line="240" w:lineRule="auto"/>
              <w:jc w:val="center"/>
              <w:rPr>
                <w:rFonts w:eastAsia="Times New Roman" w:cs="Times New Roman"/>
                <w:bCs/>
                <w:color w:val="000000"/>
                <w:sz w:val="20"/>
                <w:szCs w:val="20"/>
              </w:rPr>
            </w:pPr>
            <w:r w:rsidRPr="00334D0B">
              <w:rPr>
                <w:rFonts w:eastAsia="Times New Roman" w:cs="Times New Roman"/>
                <w:bCs/>
                <w:color w:val="000000"/>
                <w:sz w:val="20"/>
                <w:szCs w:val="20"/>
              </w:rPr>
              <w:t>BLG</w:t>
            </w:r>
          </w:p>
        </w:tc>
        <w:tc>
          <w:tcPr>
            <w:tcW w:w="872" w:type="dxa"/>
            <w:tcBorders>
              <w:top w:val="single" w:sz="4" w:space="0" w:color="auto"/>
              <w:bottom w:val="single" w:sz="4" w:space="0" w:color="auto"/>
            </w:tcBorders>
            <w:shd w:val="clear" w:color="auto" w:fill="auto"/>
            <w:noWrap/>
            <w:vAlign w:val="bottom"/>
            <w:hideMark/>
          </w:tcPr>
          <w:p w:rsidR="00B626CB" w:rsidRPr="00334D0B" w:rsidRDefault="00B626CB" w:rsidP="00334D0B">
            <w:pPr>
              <w:spacing w:before="60" w:after="60" w:line="240" w:lineRule="auto"/>
              <w:jc w:val="center"/>
              <w:rPr>
                <w:rFonts w:eastAsia="Times New Roman" w:cs="Times New Roman"/>
                <w:bCs/>
                <w:color w:val="000000"/>
                <w:sz w:val="20"/>
                <w:szCs w:val="20"/>
              </w:rPr>
            </w:pPr>
            <w:r w:rsidRPr="00334D0B">
              <w:rPr>
                <w:rFonts w:eastAsia="Times New Roman" w:cs="Times New Roman"/>
                <w:bCs/>
                <w:color w:val="000000"/>
                <w:sz w:val="20"/>
                <w:szCs w:val="20"/>
              </w:rPr>
              <w:t>KAZ</w:t>
            </w:r>
          </w:p>
        </w:tc>
        <w:tc>
          <w:tcPr>
            <w:tcW w:w="871" w:type="dxa"/>
            <w:tcBorders>
              <w:top w:val="single" w:sz="4" w:space="0" w:color="auto"/>
              <w:bottom w:val="single" w:sz="4" w:space="0" w:color="auto"/>
            </w:tcBorders>
            <w:shd w:val="clear" w:color="auto" w:fill="auto"/>
            <w:noWrap/>
            <w:vAlign w:val="bottom"/>
            <w:hideMark/>
          </w:tcPr>
          <w:p w:rsidR="00B626CB" w:rsidRPr="00334D0B" w:rsidRDefault="00B626CB" w:rsidP="00334D0B">
            <w:pPr>
              <w:spacing w:before="60" w:after="60" w:line="240" w:lineRule="auto"/>
              <w:jc w:val="center"/>
              <w:rPr>
                <w:rFonts w:eastAsia="Times New Roman" w:cs="Times New Roman"/>
                <w:bCs/>
                <w:color w:val="000000"/>
                <w:sz w:val="20"/>
                <w:szCs w:val="20"/>
              </w:rPr>
            </w:pPr>
            <w:r w:rsidRPr="00334D0B">
              <w:rPr>
                <w:rFonts w:eastAsia="Times New Roman" w:cs="Times New Roman"/>
                <w:bCs/>
                <w:color w:val="000000"/>
                <w:sz w:val="20"/>
                <w:szCs w:val="20"/>
              </w:rPr>
              <w:t>RUS</w:t>
            </w:r>
          </w:p>
        </w:tc>
        <w:tc>
          <w:tcPr>
            <w:tcW w:w="872" w:type="dxa"/>
            <w:tcBorders>
              <w:top w:val="single" w:sz="4" w:space="0" w:color="auto"/>
              <w:bottom w:val="single" w:sz="4" w:space="0" w:color="auto"/>
            </w:tcBorders>
            <w:shd w:val="clear" w:color="auto" w:fill="auto"/>
            <w:noWrap/>
            <w:vAlign w:val="bottom"/>
            <w:hideMark/>
          </w:tcPr>
          <w:p w:rsidR="00B626CB" w:rsidRPr="00334D0B" w:rsidRDefault="00B626CB" w:rsidP="00334D0B">
            <w:pPr>
              <w:spacing w:before="60" w:after="60" w:line="240" w:lineRule="auto"/>
              <w:jc w:val="center"/>
              <w:rPr>
                <w:rFonts w:eastAsia="Times New Roman" w:cs="Times New Roman"/>
                <w:bCs/>
                <w:color w:val="000000"/>
                <w:sz w:val="20"/>
                <w:szCs w:val="20"/>
              </w:rPr>
            </w:pPr>
            <w:r w:rsidRPr="00334D0B">
              <w:rPr>
                <w:rFonts w:eastAsia="Times New Roman" w:cs="Times New Roman"/>
                <w:bCs/>
                <w:color w:val="000000"/>
                <w:sz w:val="20"/>
                <w:szCs w:val="20"/>
              </w:rPr>
              <w:t>UKR</w:t>
            </w:r>
          </w:p>
        </w:tc>
      </w:tr>
      <w:tr w:rsidR="00B626CB" w:rsidRPr="00B626CB" w:rsidTr="00D4187C">
        <w:trPr>
          <w:trHeight w:val="300"/>
          <w:jc w:val="center"/>
        </w:trPr>
        <w:tc>
          <w:tcPr>
            <w:tcW w:w="1516" w:type="dxa"/>
            <w:tcBorders>
              <w:top w:val="single" w:sz="4" w:space="0" w:color="auto"/>
              <w:righ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1996-1997</w:t>
            </w:r>
          </w:p>
        </w:tc>
        <w:tc>
          <w:tcPr>
            <w:tcW w:w="871" w:type="dxa"/>
            <w:tcBorders>
              <w:top w:val="single" w:sz="4" w:space="0" w:color="auto"/>
              <w:lef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234</w:t>
            </w:r>
          </w:p>
        </w:tc>
        <w:tc>
          <w:tcPr>
            <w:tcW w:w="872" w:type="dxa"/>
            <w:tcBorders>
              <w:top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347</w:t>
            </w:r>
          </w:p>
        </w:tc>
        <w:tc>
          <w:tcPr>
            <w:tcW w:w="871" w:type="dxa"/>
            <w:tcBorders>
              <w:top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1055</w:t>
            </w:r>
          </w:p>
        </w:tc>
        <w:tc>
          <w:tcPr>
            <w:tcW w:w="872" w:type="dxa"/>
            <w:tcBorders>
              <w:top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968</w:t>
            </w:r>
          </w:p>
        </w:tc>
        <w:tc>
          <w:tcPr>
            <w:tcW w:w="871" w:type="dxa"/>
            <w:tcBorders>
              <w:top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3278</w:t>
            </w:r>
          </w:p>
        </w:tc>
        <w:tc>
          <w:tcPr>
            <w:tcW w:w="872" w:type="dxa"/>
            <w:tcBorders>
              <w:top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2452</w:t>
            </w:r>
          </w:p>
        </w:tc>
      </w:tr>
      <w:tr w:rsidR="00B626CB" w:rsidRPr="00B626CB" w:rsidTr="00D4187C">
        <w:trPr>
          <w:trHeight w:val="300"/>
          <w:jc w:val="center"/>
        </w:trPr>
        <w:tc>
          <w:tcPr>
            <w:tcW w:w="1516" w:type="dxa"/>
            <w:tcBorders>
              <w:righ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1998-1999</w:t>
            </w:r>
          </w:p>
        </w:tc>
        <w:tc>
          <w:tcPr>
            <w:tcW w:w="871" w:type="dxa"/>
            <w:tcBorders>
              <w:lef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196</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296</w:t>
            </w:r>
          </w:p>
        </w:tc>
        <w:tc>
          <w:tcPr>
            <w:tcW w:w="871"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971</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643</w:t>
            </w:r>
          </w:p>
        </w:tc>
        <w:tc>
          <w:tcPr>
            <w:tcW w:w="871"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3493</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2287</w:t>
            </w:r>
          </w:p>
        </w:tc>
      </w:tr>
      <w:tr w:rsidR="00B626CB" w:rsidRPr="00B626CB" w:rsidTr="00D4187C">
        <w:trPr>
          <w:trHeight w:val="300"/>
          <w:jc w:val="center"/>
        </w:trPr>
        <w:tc>
          <w:tcPr>
            <w:tcW w:w="1516" w:type="dxa"/>
            <w:tcBorders>
              <w:righ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2000-2001</w:t>
            </w:r>
          </w:p>
        </w:tc>
        <w:tc>
          <w:tcPr>
            <w:tcW w:w="871" w:type="dxa"/>
            <w:tcBorders>
              <w:lef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241</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271</w:t>
            </w:r>
          </w:p>
        </w:tc>
        <w:tc>
          <w:tcPr>
            <w:tcW w:w="871"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874</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638</w:t>
            </w:r>
          </w:p>
        </w:tc>
        <w:tc>
          <w:tcPr>
            <w:tcW w:w="871"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3620</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2281</w:t>
            </w:r>
          </w:p>
        </w:tc>
      </w:tr>
      <w:tr w:rsidR="00B626CB" w:rsidRPr="00B626CB" w:rsidTr="00D4187C">
        <w:trPr>
          <w:trHeight w:val="300"/>
          <w:jc w:val="center"/>
        </w:trPr>
        <w:tc>
          <w:tcPr>
            <w:tcW w:w="1516" w:type="dxa"/>
            <w:tcBorders>
              <w:righ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2002-2003</w:t>
            </w:r>
          </w:p>
        </w:tc>
        <w:tc>
          <w:tcPr>
            <w:tcW w:w="871" w:type="dxa"/>
            <w:tcBorders>
              <w:lef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208</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249</w:t>
            </w:r>
          </w:p>
        </w:tc>
        <w:tc>
          <w:tcPr>
            <w:tcW w:w="871"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917</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544</w:t>
            </w:r>
          </w:p>
        </w:tc>
        <w:tc>
          <w:tcPr>
            <w:tcW w:w="871"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3565</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2233</w:t>
            </w:r>
          </w:p>
        </w:tc>
      </w:tr>
      <w:tr w:rsidR="00B626CB" w:rsidRPr="00B626CB" w:rsidTr="00D4187C">
        <w:trPr>
          <w:trHeight w:val="300"/>
          <w:jc w:val="center"/>
        </w:trPr>
        <w:tc>
          <w:tcPr>
            <w:tcW w:w="1516" w:type="dxa"/>
            <w:tcBorders>
              <w:righ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2004-2005</w:t>
            </w:r>
          </w:p>
        </w:tc>
        <w:tc>
          <w:tcPr>
            <w:tcW w:w="871" w:type="dxa"/>
            <w:tcBorders>
              <w:lef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244</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328</w:t>
            </w:r>
          </w:p>
        </w:tc>
        <w:tc>
          <w:tcPr>
            <w:tcW w:w="871"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1078</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691</w:t>
            </w:r>
          </w:p>
        </w:tc>
        <w:tc>
          <w:tcPr>
            <w:tcW w:w="871"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3604</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2500</w:t>
            </w:r>
          </w:p>
        </w:tc>
      </w:tr>
      <w:tr w:rsidR="00B626CB" w:rsidRPr="00B626CB" w:rsidTr="00D4187C">
        <w:trPr>
          <w:trHeight w:val="300"/>
          <w:jc w:val="center"/>
        </w:trPr>
        <w:tc>
          <w:tcPr>
            <w:tcW w:w="1516" w:type="dxa"/>
            <w:tcBorders>
              <w:righ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2006-2007</w:t>
            </w:r>
          </w:p>
        </w:tc>
        <w:tc>
          <w:tcPr>
            <w:tcW w:w="871" w:type="dxa"/>
            <w:tcBorders>
              <w:lef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421</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445</w:t>
            </w:r>
          </w:p>
        </w:tc>
        <w:tc>
          <w:tcPr>
            <w:tcW w:w="871"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1165</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779</w:t>
            </w:r>
          </w:p>
        </w:tc>
        <w:tc>
          <w:tcPr>
            <w:tcW w:w="871"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3558</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2660</w:t>
            </w:r>
          </w:p>
        </w:tc>
      </w:tr>
      <w:tr w:rsidR="00B626CB" w:rsidRPr="00B626CB" w:rsidTr="00D4187C">
        <w:trPr>
          <w:trHeight w:val="300"/>
          <w:jc w:val="center"/>
        </w:trPr>
        <w:tc>
          <w:tcPr>
            <w:tcW w:w="1516" w:type="dxa"/>
            <w:tcBorders>
              <w:righ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2008-2009</w:t>
            </w:r>
          </w:p>
        </w:tc>
        <w:tc>
          <w:tcPr>
            <w:tcW w:w="871" w:type="dxa"/>
            <w:tcBorders>
              <w:lef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301</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415</w:t>
            </w:r>
          </w:p>
        </w:tc>
        <w:tc>
          <w:tcPr>
            <w:tcW w:w="871"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1212</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792</w:t>
            </w:r>
          </w:p>
        </w:tc>
        <w:tc>
          <w:tcPr>
            <w:tcW w:w="871"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3408</w:t>
            </w:r>
          </w:p>
        </w:tc>
        <w:tc>
          <w:tcPr>
            <w:tcW w:w="872" w:type="dxa"/>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2606</w:t>
            </w:r>
          </w:p>
        </w:tc>
      </w:tr>
      <w:tr w:rsidR="00B626CB" w:rsidRPr="00B626CB" w:rsidTr="00D4187C">
        <w:trPr>
          <w:trHeight w:val="300"/>
          <w:jc w:val="center"/>
        </w:trPr>
        <w:tc>
          <w:tcPr>
            <w:tcW w:w="1516" w:type="dxa"/>
            <w:tcBorders>
              <w:bottom w:val="single" w:sz="4" w:space="0" w:color="auto"/>
              <w:right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2010-2011</w:t>
            </w:r>
          </w:p>
        </w:tc>
        <w:tc>
          <w:tcPr>
            <w:tcW w:w="871" w:type="dxa"/>
            <w:tcBorders>
              <w:left w:val="single" w:sz="4" w:space="0" w:color="auto"/>
              <w:bottom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243</w:t>
            </w:r>
          </w:p>
        </w:tc>
        <w:tc>
          <w:tcPr>
            <w:tcW w:w="872" w:type="dxa"/>
            <w:tcBorders>
              <w:bottom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290</w:t>
            </w:r>
          </w:p>
        </w:tc>
        <w:tc>
          <w:tcPr>
            <w:tcW w:w="871" w:type="dxa"/>
            <w:tcBorders>
              <w:bottom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1041</w:t>
            </w:r>
          </w:p>
        </w:tc>
        <w:tc>
          <w:tcPr>
            <w:tcW w:w="872" w:type="dxa"/>
            <w:tcBorders>
              <w:bottom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574</w:t>
            </w:r>
          </w:p>
        </w:tc>
        <w:tc>
          <w:tcPr>
            <w:tcW w:w="871" w:type="dxa"/>
            <w:tcBorders>
              <w:bottom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3104</w:t>
            </w:r>
          </w:p>
        </w:tc>
        <w:tc>
          <w:tcPr>
            <w:tcW w:w="872" w:type="dxa"/>
            <w:tcBorders>
              <w:bottom w:val="single" w:sz="4" w:space="0" w:color="auto"/>
            </w:tcBorders>
            <w:shd w:val="clear" w:color="auto" w:fill="auto"/>
            <w:noWrap/>
            <w:vAlign w:val="bottom"/>
            <w:hideMark/>
          </w:tcPr>
          <w:p w:rsidR="00B626CB" w:rsidRPr="00B626CB" w:rsidRDefault="00B626CB" w:rsidP="00B626CB">
            <w:pPr>
              <w:spacing w:after="0" w:line="240" w:lineRule="auto"/>
              <w:jc w:val="center"/>
              <w:rPr>
                <w:rFonts w:eastAsia="Times New Roman" w:cs="Times New Roman"/>
                <w:color w:val="000000"/>
                <w:sz w:val="20"/>
                <w:szCs w:val="20"/>
              </w:rPr>
            </w:pPr>
            <w:r w:rsidRPr="00B626CB">
              <w:rPr>
                <w:rFonts w:eastAsia="Times New Roman" w:cs="Times New Roman"/>
                <w:color w:val="000000"/>
                <w:sz w:val="20"/>
                <w:szCs w:val="20"/>
              </w:rPr>
              <w:t>2289</w:t>
            </w:r>
          </w:p>
        </w:tc>
      </w:tr>
      <w:tr w:rsidR="00334D0B" w:rsidRPr="00B626CB" w:rsidTr="00D4187C">
        <w:trPr>
          <w:trHeight w:val="300"/>
          <w:jc w:val="center"/>
        </w:trPr>
        <w:tc>
          <w:tcPr>
            <w:tcW w:w="6745" w:type="dxa"/>
            <w:gridSpan w:val="7"/>
            <w:tcBorders>
              <w:top w:val="single" w:sz="4" w:space="0" w:color="auto"/>
            </w:tcBorders>
            <w:shd w:val="clear" w:color="auto" w:fill="auto"/>
            <w:noWrap/>
            <w:vAlign w:val="bottom"/>
            <w:hideMark/>
          </w:tcPr>
          <w:p w:rsidR="00334D0B" w:rsidRPr="009A1D79" w:rsidRDefault="00334D0B" w:rsidP="00334D0B">
            <w:pPr>
              <w:spacing w:after="0" w:line="240" w:lineRule="auto"/>
              <w:jc w:val="left"/>
              <w:rPr>
                <w:rFonts w:ascii="Calibri" w:eastAsia="Times New Roman" w:hAnsi="Calibri" w:cs="Times New Roman"/>
                <w:color w:val="000000"/>
                <w:sz w:val="22"/>
              </w:rPr>
            </w:pPr>
            <w:r w:rsidRPr="00B626CB">
              <w:rPr>
                <w:rFonts w:eastAsia="Times New Roman" w:cs="Times New Roman"/>
                <w:i/>
                <w:iCs/>
                <w:color w:val="000000"/>
                <w:sz w:val="18"/>
                <w:szCs w:val="18"/>
              </w:rPr>
              <w:t>Source</w:t>
            </w:r>
            <w:r w:rsidRPr="00B626CB">
              <w:rPr>
                <w:rFonts w:eastAsia="Times New Roman" w:cs="Times New Roman"/>
                <w:color w:val="000000"/>
                <w:sz w:val="18"/>
                <w:szCs w:val="18"/>
              </w:rPr>
              <w:t xml:space="preserve">: Valera, 2013b. </w:t>
            </w:r>
            <w:r w:rsidR="009A1D79">
              <w:rPr>
                <w:rFonts w:eastAsia="Times New Roman" w:cs="Times New Roman"/>
                <w:i/>
                <w:color w:val="000000"/>
                <w:sz w:val="18"/>
                <w:szCs w:val="18"/>
              </w:rPr>
              <w:t>Note:</w:t>
            </w:r>
            <w:r w:rsidR="009A1D79">
              <w:rPr>
                <w:rFonts w:eastAsia="Times New Roman" w:cs="Times New Roman"/>
                <w:color w:val="000000"/>
                <w:sz w:val="18"/>
                <w:szCs w:val="18"/>
              </w:rPr>
              <w:t xml:space="preserve"> The threshold for counting exports is $100,000.</w:t>
            </w:r>
          </w:p>
        </w:tc>
      </w:tr>
    </w:tbl>
    <w:p w:rsidR="00F27AF5" w:rsidRDefault="00F27AF5" w:rsidP="00D4187C">
      <w:pPr>
        <w:pStyle w:val="ListParagraph"/>
        <w:tabs>
          <w:tab w:val="left" w:pos="720"/>
        </w:tabs>
        <w:spacing w:after="0" w:line="240" w:lineRule="auto"/>
        <w:ind w:left="0"/>
        <w:contextualSpacing w:val="0"/>
        <w:rPr>
          <w:rFonts w:cs="Times New Roman"/>
          <w:sz w:val="22"/>
        </w:rPr>
      </w:pPr>
    </w:p>
    <w:p w:rsidR="003F3EA3" w:rsidRPr="00453BAB" w:rsidRDefault="00700E3D" w:rsidP="00453BAB">
      <w:pPr>
        <w:pStyle w:val="ListParagraph"/>
        <w:numPr>
          <w:ilvl w:val="0"/>
          <w:numId w:val="1"/>
        </w:numPr>
        <w:tabs>
          <w:tab w:val="left" w:pos="720"/>
        </w:tabs>
        <w:spacing w:line="240" w:lineRule="auto"/>
        <w:ind w:left="0" w:firstLine="0"/>
        <w:contextualSpacing w:val="0"/>
        <w:rPr>
          <w:rFonts w:cs="Times New Roman"/>
          <w:sz w:val="22"/>
        </w:rPr>
      </w:pPr>
      <w:r w:rsidRPr="00F27AF5">
        <w:rPr>
          <w:rFonts w:cs="Times New Roman"/>
          <w:b/>
          <w:sz w:val="22"/>
        </w:rPr>
        <w:lastRenderedPageBreak/>
        <w:t>Kazakhstan</w:t>
      </w:r>
      <w:r w:rsidRPr="00F27AF5">
        <w:rPr>
          <w:rFonts w:eastAsia="SimSun" w:cs="Mangal"/>
          <w:b/>
          <w:kern w:val="1"/>
          <w:sz w:val="22"/>
          <w:lang w:eastAsia="hi-IN" w:bidi="hi-IN"/>
        </w:rPr>
        <w:t xml:space="preserve"> has </w:t>
      </w:r>
      <w:r w:rsidR="00485555" w:rsidRPr="00F27AF5">
        <w:rPr>
          <w:rFonts w:eastAsia="SimSun" w:cs="Mangal"/>
          <w:b/>
          <w:kern w:val="1"/>
          <w:sz w:val="22"/>
          <w:lang w:eastAsia="hi-IN" w:bidi="hi-IN"/>
        </w:rPr>
        <w:t>a po</w:t>
      </w:r>
      <w:r w:rsidRPr="006C1601">
        <w:rPr>
          <w:rFonts w:eastAsia="SimSun" w:cs="Mangal"/>
          <w:b/>
          <w:kern w:val="1"/>
          <w:sz w:val="22"/>
          <w:lang w:eastAsia="hi-IN" w:bidi="hi-IN"/>
        </w:rPr>
        <w:t>tential for experimentation and diversification</w:t>
      </w:r>
      <w:r w:rsidR="00453BAB" w:rsidRPr="006C1601">
        <w:rPr>
          <w:rFonts w:eastAsia="SimSun" w:cs="Mangal"/>
          <w:b/>
          <w:kern w:val="1"/>
          <w:sz w:val="22"/>
          <w:lang w:eastAsia="hi-IN" w:bidi="hi-IN"/>
        </w:rPr>
        <w:t xml:space="preserve">, but </w:t>
      </w:r>
      <w:r w:rsidR="009A1D79" w:rsidRPr="006C1601">
        <w:rPr>
          <w:rFonts w:eastAsia="SimSun" w:cs="Mangal"/>
          <w:b/>
          <w:kern w:val="1"/>
          <w:sz w:val="22"/>
          <w:lang w:eastAsia="hi-IN" w:bidi="hi-IN"/>
        </w:rPr>
        <w:t xml:space="preserve">the authorities </w:t>
      </w:r>
      <w:r w:rsidR="00453BAB" w:rsidRPr="006C1601">
        <w:rPr>
          <w:rFonts w:eastAsia="SimSun" w:cs="Mangal"/>
          <w:b/>
          <w:kern w:val="1"/>
          <w:sz w:val="22"/>
          <w:lang w:eastAsia="hi-IN" w:bidi="hi-IN"/>
        </w:rPr>
        <w:t xml:space="preserve">need to address </w:t>
      </w:r>
      <w:r w:rsidR="009A1D79" w:rsidRPr="006C1601">
        <w:rPr>
          <w:rFonts w:eastAsia="SimSun" w:cs="Mangal"/>
          <w:b/>
          <w:kern w:val="1"/>
          <w:sz w:val="22"/>
          <w:lang w:eastAsia="hi-IN" w:bidi="hi-IN"/>
        </w:rPr>
        <w:t xml:space="preserve">the </w:t>
      </w:r>
      <w:r w:rsidR="00453BAB" w:rsidRPr="006C1601">
        <w:rPr>
          <w:rFonts w:eastAsia="SimSun" w:cs="Mangal"/>
          <w:b/>
          <w:kern w:val="1"/>
          <w:sz w:val="22"/>
          <w:lang w:eastAsia="hi-IN" w:bidi="hi-IN"/>
        </w:rPr>
        <w:t xml:space="preserve">reasons behind </w:t>
      </w:r>
      <w:r w:rsidR="009A1D79" w:rsidRPr="006C1601">
        <w:rPr>
          <w:rFonts w:eastAsia="SimSun" w:cs="Mangal"/>
          <w:b/>
          <w:kern w:val="1"/>
          <w:sz w:val="22"/>
          <w:lang w:eastAsia="hi-IN" w:bidi="hi-IN"/>
        </w:rPr>
        <w:t xml:space="preserve">the </w:t>
      </w:r>
      <w:r w:rsidR="00453BAB" w:rsidRPr="006C1601">
        <w:rPr>
          <w:rFonts w:eastAsia="SimSun" w:cs="Mangal"/>
          <w:b/>
          <w:kern w:val="1"/>
          <w:sz w:val="22"/>
          <w:lang w:eastAsia="hi-IN" w:bidi="hi-IN"/>
        </w:rPr>
        <w:t>low export survival rates</w:t>
      </w:r>
      <w:r w:rsidRPr="006C1601">
        <w:rPr>
          <w:rFonts w:eastAsia="SimSun" w:cs="Mangal"/>
          <w:b/>
          <w:kern w:val="1"/>
          <w:sz w:val="22"/>
          <w:lang w:eastAsia="hi-IN" w:bidi="hi-IN"/>
        </w:rPr>
        <w:t xml:space="preserve">. </w:t>
      </w:r>
      <w:r w:rsidR="00453BAB" w:rsidRPr="006C1601">
        <w:rPr>
          <w:rFonts w:eastAsia="SimSun" w:cs="Mangal"/>
          <w:kern w:val="1"/>
          <w:sz w:val="22"/>
          <w:lang w:eastAsia="hi-IN" w:bidi="hi-IN"/>
        </w:rPr>
        <w:t>Kazakhstan has a score</w:t>
      </w:r>
      <w:r w:rsidR="00453BAB" w:rsidRPr="006C1601">
        <w:rPr>
          <w:rFonts w:eastAsia="SimSun" w:cs="Mangal"/>
          <w:b/>
          <w:kern w:val="1"/>
          <w:sz w:val="22"/>
          <w:lang w:eastAsia="hi-IN" w:bidi="hi-IN"/>
        </w:rPr>
        <w:t xml:space="preserve"> </w:t>
      </w:r>
      <w:r w:rsidR="00453BAB" w:rsidRPr="006C1601">
        <w:rPr>
          <w:rFonts w:cs="Times New Roman"/>
          <w:sz w:val="22"/>
        </w:rPr>
        <w:t xml:space="preserve">of 5 percent on the </w:t>
      </w:r>
      <w:r w:rsidR="00453BAB" w:rsidRPr="006C1601">
        <w:rPr>
          <w:sz w:val="22"/>
        </w:rPr>
        <w:t xml:space="preserve">index of export market penetration (IEMP), </w:t>
      </w:r>
      <w:r w:rsidR="00453BAB" w:rsidRPr="00F27AF5">
        <w:rPr>
          <w:rFonts w:cs="Times New Roman"/>
          <w:sz w:val="22"/>
        </w:rPr>
        <w:t>meaning that the country has served about 5 percent of the potential market-product flows available in world markets.</w:t>
      </w:r>
      <w:r w:rsidR="00786508" w:rsidRPr="006C1601">
        <w:rPr>
          <w:rFonts w:cs="Times New Roman"/>
          <w:sz w:val="22"/>
        </w:rPr>
        <w:t xml:space="preserve"> </w:t>
      </w:r>
      <w:r w:rsidR="00453BAB" w:rsidRPr="006C1601">
        <w:rPr>
          <w:rFonts w:cs="Times New Roman"/>
          <w:sz w:val="22"/>
        </w:rPr>
        <w:t>By comparison, Russia has an IEMP score of 10</w:t>
      </w:r>
      <w:r w:rsidR="00453BAB" w:rsidRPr="00DD5F66">
        <w:rPr>
          <w:rFonts w:cs="Times New Roman"/>
          <w:sz w:val="22"/>
        </w:rPr>
        <w:t xml:space="preserve"> percent.</w:t>
      </w:r>
      <w:r w:rsidR="00F455AD" w:rsidRPr="00F455AD">
        <w:rPr>
          <w:rFonts w:cs="Times New Roman"/>
          <w:sz w:val="22"/>
          <w:vertAlign w:val="superscript"/>
        </w:rPr>
        <w:t xml:space="preserve"> </w:t>
      </w:r>
      <w:r w:rsidR="00F455AD" w:rsidRPr="00453BAB">
        <w:rPr>
          <w:rFonts w:cs="Times New Roman"/>
          <w:sz w:val="22"/>
          <w:vertAlign w:val="superscript"/>
        </w:rPr>
        <w:footnoteReference w:id="3"/>
      </w:r>
      <w:r w:rsidR="00F455AD">
        <w:rPr>
          <w:rFonts w:cs="Times New Roman"/>
          <w:sz w:val="22"/>
          <w:vertAlign w:val="superscript"/>
        </w:rPr>
        <w:t xml:space="preserve"> </w:t>
      </w:r>
      <w:r w:rsidR="00786508">
        <w:rPr>
          <w:rFonts w:cs="Times New Roman"/>
          <w:sz w:val="22"/>
        </w:rPr>
        <w:t xml:space="preserve"> </w:t>
      </w:r>
      <w:r w:rsidR="003F3EA3" w:rsidRPr="00453BAB">
        <w:rPr>
          <w:rFonts w:cs="Times New Roman"/>
          <w:sz w:val="22"/>
        </w:rPr>
        <w:t>While it would be desirable to have a higher IEMP, a low score suggests that Kazakhstan has a greater potential for diversification than larger economies.</w:t>
      </w:r>
      <w:r w:rsidR="003F3EA3" w:rsidRPr="00DD5F66">
        <w:rPr>
          <w:vertAlign w:val="superscript"/>
        </w:rPr>
        <w:footnoteReference w:id="4"/>
      </w:r>
      <w:r w:rsidR="003F3EA3" w:rsidRPr="00453BAB">
        <w:rPr>
          <w:rFonts w:cs="Times New Roman"/>
          <w:sz w:val="22"/>
        </w:rPr>
        <w:t xml:space="preserve"> This potential is being further fed by the high experimentation in export, which need to show a higher survival rate.</w:t>
      </w:r>
      <w:r w:rsidR="00786508">
        <w:rPr>
          <w:rFonts w:cs="Times New Roman"/>
          <w:sz w:val="22"/>
        </w:rPr>
        <w:t xml:space="preserve"> </w:t>
      </w:r>
      <w:r w:rsidR="003F3EA3" w:rsidRPr="00453BAB">
        <w:rPr>
          <w:rFonts w:cs="Times New Roman"/>
          <w:sz w:val="22"/>
        </w:rPr>
        <w:t>World Bank (2012) finds that the experimentation rate or the share of potential additional products in a broad product category, which appeared in the export basket, was high, especially in metals, textiles, and manufactured goods.</w:t>
      </w:r>
      <w:r w:rsidR="00786508">
        <w:rPr>
          <w:rFonts w:cs="Times New Roman"/>
          <w:sz w:val="22"/>
        </w:rPr>
        <w:t xml:space="preserve"> </w:t>
      </w:r>
      <w:r w:rsidR="003F3EA3" w:rsidRPr="00453BAB">
        <w:rPr>
          <w:rFonts w:cs="Times New Roman"/>
          <w:sz w:val="22"/>
        </w:rPr>
        <w:t>However as of 2010, new products had a survival rate of 27 percent while existing products had a survival rate of was 79</w:t>
      </w:r>
      <w:r w:rsidR="00856671">
        <w:rPr>
          <w:rFonts w:cs="Times New Roman"/>
          <w:sz w:val="22"/>
        </w:rPr>
        <w:t> </w:t>
      </w:r>
      <w:r w:rsidR="003F3EA3" w:rsidRPr="00453BAB">
        <w:rPr>
          <w:rFonts w:cs="Times New Roman"/>
          <w:sz w:val="22"/>
        </w:rPr>
        <w:t>percent.</w:t>
      </w:r>
      <w:r w:rsidR="003F3EA3">
        <w:rPr>
          <w:rStyle w:val="FootnoteReference"/>
          <w:sz w:val="22"/>
        </w:rPr>
        <w:footnoteReference w:id="5"/>
      </w:r>
      <w:r w:rsidR="003F3EA3" w:rsidRPr="00453BAB">
        <w:rPr>
          <w:rFonts w:cs="Times New Roman"/>
          <w:sz w:val="22"/>
        </w:rPr>
        <w:t xml:space="preserve"> A more in-depth analysis of the drivers of experimentation and survival rates at the firm level would allow more insight into the dynamics of exports and policy that would facilitate them.</w:t>
      </w:r>
    </w:p>
    <w:p w:rsidR="00D4187C" w:rsidRDefault="00913A88" w:rsidP="0057265D">
      <w:pPr>
        <w:pStyle w:val="ListParagraph"/>
        <w:numPr>
          <w:ilvl w:val="0"/>
          <w:numId w:val="1"/>
        </w:numPr>
        <w:tabs>
          <w:tab w:val="left" w:pos="720"/>
        </w:tabs>
        <w:spacing w:line="240" w:lineRule="auto"/>
        <w:ind w:left="0" w:firstLine="0"/>
        <w:contextualSpacing w:val="0"/>
        <w:rPr>
          <w:rFonts w:cs="Times New Roman"/>
          <w:sz w:val="22"/>
        </w:rPr>
      </w:pPr>
      <w:r w:rsidRPr="00913A88">
        <w:rPr>
          <w:rFonts w:cs="Times New Roman"/>
          <w:b/>
          <w:sz w:val="22"/>
        </w:rPr>
        <w:t>Kazakhstan experienced an initial surge of imports from CU partners in 2010-11,</w:t>
      </w:r>
      <w:r w:rsidR="005F4762">
        <w:rPr>
          <w:rFonts w:cs="Times New Roman"/>
          <w:b/>
          <w:sz w:val="22"/>
        </w:rPr>
        <w:t xml:space="preserve"> which appears to be subsiding.</w:t>
      </w:r>
      <w:r w:rsidR="00786508">
        <w:rPr>
          <w:rFonts w:cs="Times New Roman"/>
          <w:sz w:val="22"/>
        </w:rPr>
        <w:t xml:space="preserve"> </w:t>
      </w:r>
      <w:r w:rsidR="00764AED">
        <w:rPr>
          <w:rFonts w:cs="Times New Roman"/>
          <w:sz w:val="22"/>
        </w:rPr>
        <w:t xml:space="preserve">Overall </w:t>
      </w:r>
      <w:r w:rsidR="00764AED" w:rsidRPr="00913A88">
        <w:rPr>
          <w:rFonts w:cs="Times New Roman"/>
          <w:sz w:val="22"/>
        </w:rPr>
        <w:t xml:space="preserve">imports from CU </w:t>
      </w:r>
      <w:r w:rsidR="00764AED">
        <w:rPr>
          <w:rFonts w:cs="Times New Roman"/>
          <w:sz w:val="22"/>
        </w:rPr>
        <w:t xml:space="preserve">rose sharply in </w:t>
      </w:r>
      <w:r w:rsidR="00CF36CF">
        <w:rPr>
          <w:rFonts w:cs="Times New Roman"/>
          <w:sz w:val="22"/>
        </w:rPr>
        <w:t>20</w:t>
      </w:r>
      <w:r w:rsidR="00764AED">
        <w:rPr>
          <w:rFonts w:cs="Times New Roman"/>
          <w:sz w:val="22"/>
        </w:rPr>
        <w:t>11, following a sharp overall increase in tariff structures</w:t>
      </w:r>
      <w:r w:rsidR="00CF36CF">
        <w:rPr>
          <w:rFonts w:cs="Times New Roman"/>
          <w:sz w:val="22"/>
        </w:rPr>
        <w:t xml:space="preserve"> for the rest of the world</w:t>
      </w:r>
      <w:r w:rsidR="00764AED">
        <w:rPr>
          <w:rFonts w:cs="Times New Roman"/>
          <w:sz w:val="22"/>
        </w:rPr>
        <w:t xml:space="preserve"> and new regional regulations (</w:t>
      </w:r>
      <w:r w:rsidR="00CF36CF">
        <w:rPr>
          <w:rFonts w:cs="Times New Roman"/>
          <w:sz w:val="22"/>
        </w:rPr>
        <w:t>Figure 2 and box 1</w:t>
      </w:r>
      <w:r w:rsidR="00764AED">
        <w:rPr>
          <w:rFonts w:cs="Times New Roman"/>
          <w:sz w:val="22"/>
        </w:rPr>
        <w:t xml:space="preserve">). However, </w:t>
      </w:r>
      <w:r w:rsidR="000F64BA">
        <w:rPr>
          <w:rFonts w:cs="Times New Roman"/>
          <w:sz w:val="22"/>
        </w:rPr>
        <w:t xml:space="preserve">in 2012 </w:t>
      </w:r>
      <w:r w:rsidR="005F4762">
        <w:rPr>
          <w:rFonts w:cs="Times New Roman"/>
          <w:sz w:val="22"/>
        </w:rPr>
        <w:t>o</w:t>
      </w:r>
      <w:r w:rsidR="001F0A4E">
        <w:rPr>
          <w:rFonts w:cs="Times New Roman"/>
          <w:sz w:val="22"/>
        </w:rPr>
        <w:t xml:space="preserve">verall </w:t>
      </w:r>
      <w:r w:rsidRPr="00913A88">
        <w:rPr>
          <w:rFonts w:cs="Times New Roman"/>
          <w:sz w:val="22"/>
        </w:rPr>
        <w:t xml:space="preserve">imports from CU dropped back down to about </w:t>
      </w:r>
      <w:r w:rsidR="000F64BA">
        <w:rPr>
          <w:rFonts w:cs="Times New Roman"/>
          <w:sz w:val="22"/>
        </w:rPr>
        <w:t>38</w:t>
      </w:r>
      <w:r w:rsidRPr="00913A88">
        <w:rPr>
          <w:rFonts w:cs="Times New Roman"/>
          <w:sz w:val="22"/>
        </w:rPr>
        <w:t xml:space="preserve"> percent of total imports</w:t>
      </w:r>
      <w:r w:rsidR="00FD763E">
        <w:rPr>
          <w:rFonts w:cs="Times New Roman"/>
          <w:sz w:val="22"/>
        </w:rPr>
        <w:t xml:space="preserve"> </w:t>
      </w:r>
      <w:r w:rsidR="000F7C17">
        <w:rPr>
          <w:rFonts w:cs="Times New Roman"/>
          <w:sz w:val="22"/>
        </w:rPr>
        <w:t xml:space="preserve">– </w:t>
      </w:r>
      <w:r w:rsidR="001F0A4E">
        <w:rPr>
          <w:rFonts w:cs="Times New Roman"/>
          <w:sz w:val="22"/>
        </w:rPr>
        <w:t xml:space="preserve">on </w:t>
      </w:r>
      <w:r w:rsidRPr="00913A88">
        <w:rPr>
          <w:rFonts w:cs="Times New Roman"/>
          <w:sz w:val="22"/>
        </w:rPr>
        <w:t>par with 2010</w:t>
      </w:r>
      <w:r w:rsidR="00FD763E">
        <w:rPr>
          <w:rFonts w:cs="Times New Roman"/>
          <w:sz w:val="22"/>
        </w:rPr>
        <w:t xml:space="preserve"> –</w:t>
      </w:r>
      <w:r w:rsidR="000F7C17">
        <w:rPr>
          <w:rFonts w:cs="Times New Roman"/>
          <w:sz w:val="22"/>
        </w:rPr>
        <w:t xml:space="preserve"> </w:t>
      </w:r>
      <w:r w:rsidR="00FD763E">
        <w:rPr>
          <w:rFonts w:cs="Times New Roman"/>
          <w:sz w:val="22"/>
        </w:rPr>
        <w:t xml:space="preserve">suggesting that the initial impact of CU membership may be </w:t>
      </w:r>
      <w:r w:rsidR="00F23A8C">
        <w:rPr>
          <w:rFonts w:cs="Times New Roman"/>
          <w:sz w:val="22"/>
        </w:rPr>
        <w:t>w</w:t>
      </w:r>
      <w:r w:rsidR="00FD763E">
        <w:rPr>
          <w:rFonts w:cs="Times New Roman"/>
          <w:sz w:val="22"/>
        </w:rPr>
        <w:t>aning (</w:t>
      </w:r>
      <w:r w:rsidR="00CF36CF">
        <w:rPr>
          <w:rFonts w:cs="Times New Roman"/>
          <w:sz w:val="22"/>
        </w:rPr>
        <w:t>Table 3</w:t>
      </w:r>
      <w:r w:rsidR="00FD763E">
        <w:rPr>
          <w:rFonts w:cs="Times New Roman"/>
          <w:sz w:val="22"/>
        </w:rPr>
        <w:t>)</w:t>
      </w:r>
      <w:r w:rsidRPr="00913A88">
        <w:rPr>
          <w:rFonts w:cs="Times New Roman"/>
          <w:sz w:val="22"/>
        </w:rPr>
        <w:t>.</w:t>
      </w:r>
      <w:r w:rsidR="00786508">
        <w:rPr>
          <w:rFonts w:cs="Times New Roman"/>
          <w:sz w:val="22"/>
        </w:rPr>
        <w:t xml:space="preserve"> </w:t>
      </w:r>
      <w:r w:rsidR="000F64BA">
        <w:rPr>
          <w:rFonts w:cs="Times New Roman"/>
          <w:sz w:val="22"/>
        </w:rPr>
        <w:t xml:space="preserve">The partial 2013 data appears to match 2012 data, but it is preliminary and should be assessed with caution. </w:t>
      </w:r>
      <w:r w:rsidR="004C746B" w:rsidRPr="00FD763E">
        <w:rPr>
          <w:rFonts w:cs="Times New Roman"/>
          <w:sz w:val="22"/>
        </w:rPr>
        <w:t xml:space="preserve">A closer look at the </w:t>
      </w:r>
      <w:r w:rsidR="004C746B">
        <w:rPr>
          <w:rFonts w:cs="Times New Roman"/>
          <w:sz w:val="22"/>
        </w:rPr>
        <w:t xml:space="preserve">sourcing of </w:t>
      </w:r>
      <w:r w:rsidR="004C746B" w:rsidRPr="00FD763E">
        <w:rPr>
          <w:rFonts w:cs="Times New Roman"/>
          <w:sz w:val="22"/>
        </w:rPr>
        <w:t xml:space="preserve">sectoral imports </w:t>
      </w:r>
      <w:r w:rsidR="004C746B">
        <w:rPr>
          <w:rFonts w:cs="Times New Roman"/>
          <w:sz w:val="22"/>
        </w:rPr>
        <w:t>(HS-2 product category) reveals a</w:t>
      </w:r>
      <w:r w:rsidR="005F4762">
        <w:rPr>
          <w:rFonts w:cs="Times New Roman"/>
          <w:sz w:val="22"/>
        </w:rPr>
        <w:t>n</w:t>
      </w:r>
      <w:r w:rsidR="004C746B">
        <w:rPr>
          <w:rFonts w:cs="Times New Roman"/>
          <w:sz w:val="22"/>
        </w:rPr>
        <w:t xml:space="preserve"> increase in market share for the CU in </w:t>
      </w:r>
      <w:r w:rsidR="005F4762">
        <w:rPr>
          <w:rFonts w:cs="Times New Roman"/>
          <w:sz w:val="22"/>
        </w:rPr>
        <w:t xml:space="preserve">about </w:t>
      </w:r>
      <w:r w:rsidR="004C746B">
        <w:rPr>
          <w:rFonts w:cs="Times New Roman"/>
          <w:sz w:val="22"/>
        </w:rPr>
        <w:t>90</w:t>
      </w:r>
      <w:r w:rsidR="00856671">
        <w:rPr>
          <w:rFonts w:cs="Times New Roman"/>
          <w:sz w:val="22"/>
        </w:rPr>
        <w:t> </w:t>
      </w:r>
      <w:r w:rsidR="004C746B">
        <w:rPr>
          <w:rFonts w:cs="Times New Roman"/>
          <w:sz w:val="22"/>
        </w:rPr>
        <w:t>percent of product categories compared to other competitors between 2007-2009 and 2010-</w:t>
      </w:r>
      <w:r w:rsidR="004C746B" w:rsidRPr="000C2B64">
        <w:rPr>
          <w:rFonts w:cs="Times New Roman"/>
          <w:sz w:val="22"/>
        </w:rPr>
        <w:t>2012</w:t>
      </w:r>
      <w:r w:rsidR="000C2B64" w:rsidRPr="000C2B64">
        <w:rPr>
          <w:rFonts w:cs="Times New Roman"/>
          <w:sz w:val="22"/>
        </w:rPr>
        <w:t xml:space="preserve"> </w:t>
      </w:r>
      <w:r w:rsidR="000C2B64" w:rsidRPr="00764AED">
        <w:rPr>
          <w:rFonts w:cs="Times New Roman"/>
          <w:sz w:val="22"/>
        </w:rPr>
        <w:t>(</w:t>
      </w:r>
      <w:r w:rsidR="000C2B64" w:rsidRPr="000C2B64">
        <w:t xml:space="preserve">Table </w:t>
      </w:r>
      <w:r w:rsidR="00FD134F">
        <w:t>4</w:t>
      </w:r>
      <w:r w:rsidR="000C2B64" w:rsidRPr="00764AED">
        <w:t>)</w:t>
      </w:r>
      <w:r w:rsidR="000C2B64" w:rsidRPr="000C2B64">
        <w:rPr>
          <w:rFonts w:cs="Times New Roman"/>
          <w:sz w:val="22"/>
        </w:rPr>
        <w:t xml:space="preserve">. </w:t>
      </w:r>
      <w:r w:rsidR="004C746B" w:rsidRPr="00E25DEF">
        <w:rPr>
          <w:rFonts w:cs="Times New Roman"/>
          <w:sz w:val="22"/>
        </w:rPr>
        <w:t>Looking</w:t>
      </w:r>
      <w:r w:rsidR="004C746B">
        <w:rPr>
          <w:rFonts w:cs="Times New Roman"/>
          <w:sz w:val="22"/>
        </w:rPr>
        <w:t xml:space="preserve"> at the composition of the import basket from the CU, four categor</w:t>
      </w:r>
      <w:r w:rsidR="005F4762">
        <w:rPr>
          <w:rFonts w:cs="Times New Roman"/>
          <w:sz w:val="22"/>
        </w:rPr>
        <w:t>ies</w:t>
      </w:r>
      <w:r w:rsidR="004C746B">
        <w:rPr>
          <w:rFonts w:cs="Times New Roman"/>
          <w:sz w:val="22"/>
        </w:rPr>
        <w:t xml:space="preserve"> of products (minerals, machinery and electronics, metals and transportation) constitute 64 percent (2009) to 66 percent (2012).</w:t>
      </w:r>
      <w:r w:rsidR="00786508">
        <w:rPr>
          <w:rFonts w:cs="Times New Roman"/>
          <w:sz w:val="22"/>
        </w:rPr>
        <w:t xml:space="preserve"> </w:t>
      </w:r>
      <w:r w:rsidR="005F4762">
        <w:rPr>
          <w:rFonts w:cs="Times New Roman"/>
          <w:sz w:val="22"/>
        </w:rPr>
        <w:t>T</w:t>
      </w:r>
      <w:r w:rsidR="00DD09F6">
        <w:rPr>
          <w:rFonts w:cs="Times New Roman"/>
          <w:sz w:val="22"/>
        </w:rPr>
        <w:t>hree</w:t>
      </w:r>
      <w:r w:rsidR="004C746B">
        <w:rPr>
          <w:rFonts w:cs="Times New Roman"/>
          <w:sz w:val="22"/>
        </w:rPr>
        <w:t xml:space="preserve"> of these categories show a steady import pattern between 2007 and 2012, with an occasional annual variation. The only noted exception is </w:t>
      </w:r>
      <w:r w:rsidR="004C746B" w:rsidRPr="00FD763E">
        <w:rPr>
          <w:rFonts w:cs="Times New Roman"/>
          <w:sz w:val="22"/>
        </w:rPr>
        <w:t xml:space="preserve">a doubling of imports in the transport subsector </w:t>
      </w:r>
      <w:r w:rsidR="004C746B">
        <w:rPr>
          <w:rFonts w:cs="Times New Roman"/>
          <w:sz w:val="22"/>
        </w:rPr>
        <w:t xml:space="preserve">between 2009 and </w:t>
      </w:r>
      <w:r w:rsidR="004C746B" w:rsidRPr="00F23A8C">
        <w:rPr>
          <w:rFonts w:cs="Times New Roman"/>
          <w:sz w:val="22"/>
        </w:rPr>
        <w:t>2012</w:t>
      </w:r>
      <w:r w:rsidR="004C746B">
        <w:rPr>
          <w:rFonts w:cs="Times New Roman"/>
          <w:sz w:val="22"/>
        </w:rPr>
        <w:t xml:space="preserve"> </w:t>
      </w:r>
      <w:r w:rsidR="004C746B" w:rsidRPr="00AF3806">
        <w:rPr>
          <w:rFonts w:cs="Times New Roman"/>
          <w:sz w:val="22"/>
        </w:rPr>
        <w:t>(</w:t>
      </w:r>
      <w:r w:rsidR="004C746B" w:rsidRPr="00F23A8C">
        <w:t xml:space="preserve">Table </w:t>
      </w:r>
      <w:r w:rsidR="00CF36CF">
        <w:t>5</w:t>
      </w:r>
      <w:r w:rsidR="004C746B" w:rsidRPr="00AF3806">
        <w:rPr>
          <w:rFonts w:cs="Times New Roman"/>
          <w:sz w:val="22"/>
        </w:rPr>
        <w:t>).</w:t>
      </w:r>
      <w:r w:rsidR="00786508">
        <w:rPr>
          <w:rFonts w:cs="Times New Roman"/>
          <w:sz w:val="22"/>
        </w:rPr>
        <w:t xml:space="preserve"> </w:t>
      </w:r>
    </w:p>
    <w:p w:rsidR="00F27AF5" w:rsidRDefault="00F27AF5" w:rsidP="00F27AF5">
      <w:pPr>
        <w:tabs>
          <w:tab w:val="left" w:pos="720"/>
        </w:tabs>
        <w:spacing w:line="240" w:lineRule="auto"/>
        <w:rPr>
          <w:rFonts w:cs="Times New Roman"/>
          <w:sz w:val="22"/>
        </w:rPr>
      </w:pPr>
    </w:p>
    <w:p w:rsidR="00F27AF5" w:rsidRDefault="00F27AF5" w:rsidP="00F27AF5">
      <w:pPr>
        <w:tabs>
          <w:tab w:val="left" w:pos="720"/>
        </w:tabs>
        <w:spacing w:line="240" w:lineRule="auto"/>
        <w:rPr>
          <w:rFonts w:cs="Times New Roman"/>
          <w:sz w:val="22"/>
        </w:rPr>
      </w:pPr>
    </w:p>
    <w:p w:rsidR="00F27AF5" w:rsidRDefault="00F27AF5" w:rsidP="00F27AF5">
      <w:pPr>
        <w:tabs>
          <w:tab w:val="left" w:pos="720"/>
        </w:tabs>
        <w:spacing w:line="240" w:lineRule="auto"/>
        <w:rPr>
          <w:rFonts w:cs="Times New Roman"/>
          <w:sz w:val="22"/>
        </w:rPr>
      </w:pPr>
    </w:p>
    <w:p w:rsidR="00F27AF5" w:rsidRDefault="00F27AF5" w:rsidP="00F27AF5">
      <w:pPr>
        <w:tabs>
          <w:tab w:val="left" w:pos="720"/>
        </w:tabs>
        <w:spacing w:line="240" w:lineRule="auto"/>
        <w:rPr>
          <w:rFonts w:cs="Times New Roman"/>
          <w:sz w:val="22"/>
        </w:rPr>
      </w:pPr>
    </w:p>
    <w:p w:rsidR="00F27AF5" w:rsidRDefault="00F27AF5" w:rsidP="00F27AF5">
      <w:pPr>
        <w:tabs>
          <w:tab w:val="left" w:pos="720"/>
        </w:tabs>
        <w:spacing w:line="240" w:lineRule="auto"/>
        <w:rPr>
          <w:rFonts w:cs="Times New Roman"/>
          <w:sz w:val="22"/>
        </w:rPr>
      </w:pPr>
    </w:p>
    <w:p w:rsidR="00F27AF5" w:rsidRDefault="00F27AF5" w:rsidP="00F27AF5">
      <w:pPr>
        <w:tabs>
          <w:tab w:val="left" w:pos="720"/>
        </w:tabs>
        <w:spacing w:line="240" w:lineRule="auto"/>
        <w:rPr>
          <w:rFonts w:cs="Times New Roman"/>
          <w:sz w:val="22"/>
        </w:rPr>
      </w:pPr>
    </w:p>
    <w:p w:rsidR="00F27AF5" w:rsidRDefault="00F27AF5" w:rsidP="00F27AF5">
      <w:pPr>
        <w:tabs>
          <w:tab w:val="left" w:pos="720"/>
        </w:tabs>
        <w:spacing w:line="240" w:lineRule="auto"/>
        <w:rPr>
          <w:rFonts w:cs="Times New Roman"/>
          <w:sz w:val="22"/>
        </w:rPr>
      </w:pPr>
    </w:p>
    <w:p w:rsidR="00F27AF5" w:rsidRDefault="00F27AF5" w:rsidP="00F27AF5">
      <w:pPr>
        <w:tabs>
          <w:tab w:val="left" w:pos="720"/>
        </w:tabs>
        <w:spacing w:line="240" w:lineRule="auto"/>
        <w:rPr>
          <w:rFonts w:cs="Times New Roman"/>
          <w:sz w:val="22"/>
        </w:rPr>
      </w:pPr>
    </w:p>
    <w:p w:rsidR="00F27AF5" w:rsidRDefault="00F27AF5" w:rsidP="00F27AF5">
      <w:pPr>
        <w:tabs>
          <w:tab w:val="left" w:pos="720"/>
        </w:tabs>
        <w:spacing w:line="240" w:lineRule="auto"/>
        <w:rPr>
          <w:rFonts w:cs="Times New Roman"/>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6"/>
      </w:tblGrid>
      <w:tr w:rsidR="00F23A8C" w:rsidTr="00856671">
        <w:trPr>
          <w:jc w:val="center"/>
        </w:trPr>
        <w:tc>
          <w:tcPr>
            <w:tcW w:w="7806" w:type="dxa"/>
          </w:tcPr>
          <w:p w:rsidR="00F23A8C" w:rsidRPr="0096707F" w:rsidRDefault="004702C4" w:rsidP="0096707F">
            <w:pPr>
              <w:pStyle w:val="Caption"/>
            </w:pPr>
            <w:bookmarkStart w:id="12" w:name="_Toc371607732"/>
            <w:bookmarkStart w:id="13" w:name="_Toc371607816"/>
            <w:bookmarkStart w:id="14" w:name="_Toc378151226"/>
            <w:r w:rsidRPr="0096707F">
              <w:t xml:space="preserve">Figure </w:t>
            </w:r>
            <w:fldSimple w:instr=" SEQ Figure \* ARABIC ">
              <w:r w:rsidR="00CE6F8C" w:rsidRPr="0096707F">
                <w:t>2</w:t>
              </w:r>
            </w:fldSimple>
            <w:r w:rsidR="00F23A8C" w:rsidRPr="0096707F">
              <w:t>: Import</w:t>
            </w:r>
            <w:r w:rsidR="002A2CBC">
              <w:t>s</w:t>
            </w:r>
            <w:r w:rsidR="00F23A8C" w:rsidRPr="0096707F">
              <w:t xml:space="preserve"> </w:t>
            </w:r>
            <w:bookmarkEnd w:id="12"/>
            <w:bookmarkEnd w:id="13"/>
            <w:r w:rsidR="005C19E9" w:rsidRPr="0096707F">
              <w:t xml:space="preserve">are Still Driven </w:t>
            </w:r>
            <w:r w:rsidR="00F607C7">
              <w:t>by</w:t>
            </w:r>
            <w:r w:rsidR="005C19E9" w:rsidRPr="0096707F">
              <w:t xml:space="preserve"> Global Dynamics</w:t>
            </w:r>
            <w:bookmarkEnd w:id="14"/>
          </w:p>
          <w:p w:rsidR="002472AA" w:rsidRPr="00D4187C" w:rsidRDefault="002472AA" w:rsidP="0096707F">
            <w:pPr>
              <w:spacing w:after="60" w:line="240" w:lineRule="auto"/>
              <w:jc w:val="center"/>
              <w:rPr>
                <w:sz w:val="18"/>
                <w:szCs w:val="18"/>
              </w:rPr>
            </w:pPr>
            <w:r w:rsidRPr="00D4187C">
              <w:rPr>
                <w:sz w:val="18"/>
                <w:szCs w:val="18"/>
              </w:rPr>
              <w:t>(Share of imports, percent)</w:t>
            </w:r>
          </w:p>
        </w:tc>
      </w:tr>
      <w:tr w:rsidR="00F23A8C" w:rsidTr="00856671">
        <w:trPr>
          <w:jc w:val="center"/>
        </w:trPr>
        <w:tc>
          <w:tcPr>
            <w:tcW w:w="7806" w:type="dxa"/>
          </w:tcPr>
          <w:p w:rsidR="00F23A8C" w:rsidRDefault="00F23A8C" w:rsidP="0096707F">
            <w:pPr>
              <w:spacing w:line="276" w:lineRule="auto"/>
              <w:jc w:val="center"/>
              <w:rPr>
                <w:rFonts w:cs="Times New Roman"/>
                <w:sz w:val="22"/>
              </w:rPr>
            </w:pPr>
            <w:r w:rsidRPr="005C19E9">
              <w:rPr>
                <w:noProof/>
              </w:rPr>
              <w:drawing>
                <wp:inline distT="0" distB="0" distL="0" distR="0" wp14:anchorId="054F0DC6" wp14:editId="44D00DD7">
                  <wp:extent cx="4800600" cy="2190750"/>
                  <wp:effectExtent l="0" t="0" r="19050" b="19050"/>
                  <wp:docPr id="16" name="Chart 16" title="Kazakhstan'sexport destination by marke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F23A8C" w:rsidRPr="00316CA8" w:rsidTr="00856671">
        <w:trPr>
          <w:jc w:val="center"/>
        </w:trPr>
        <w:tc>
          <w:tcPr>
            <w:tcW w:w="7806" w:type="dxa"/>
          </w:tcPr>
          <w:p w:rsidR="00F23A8C" w:rsidRPr="00316CA8" w:rsidRDefault="00F23A8C" w:rsidP="005A5562">
            <w:pPr>
              <w:spacing w:before="120" w:line="240" w:lineRule="auto"/>
              <w:jc w:val="left"/>
              <w:rPr>
                <w:rFonts w:cs="Times New Roman"/>
                <w:sz w:val="18"/>
                <w:szCs w:val="18"/>
              </w:rPr>
            </w:pPr>
            <w:r w:rsidRPr="00316CA8">
              <w:rPr>
                <w:rFonts w:cs="Times New Roman"/>
                <w:i/>
                <w:sz w:val="18"/>
                <w:szCs w:val="18"/>
              </w:rPr>
              <w:t xml:space="preserve">Source: </w:t>
            </w:r>
            <w:r w:rsidR="00F44F2C">
              <w:rPr>
                <w:rFonts w:cs="Times New Roman"/>
                <w:sz w:val="18"/>
                <w:szCs w:val="18"/>
              </w:rPr>
              <w:t xml:space="preserve">Official data and </w:t>
            </w:r>
            <w:r w:rsidR="00F44F2C" w:rsidRPr="007B00FF">
              <w:rPr>
                <w:rFonts w:cs="Times New Roman"/>
                <w:sz w:val="18"/>
                <w:szCs w:val="18"/>
              </w:rPr>
              <w:t>World Bank staff</w:t>
            </w:r>
            <w:r w:rsidR="00F44F2C">
              <w:rPr>
                <w:rFonts w:cs="Times New Roman"/>
                <w:sz w:val="18"/>
                <w:szCs w:val="18"/>
              </w:rPr>
              <w:t xml:space="preserve"> calculations</w:t>
            </w:r>
            <w:r>
              <w:rPr>
                <w:rFonts w:cs="Times New Roman"/>
                <w:sz w:val="18"/>
                <w:szCs w:val="18"/>
              </w:rPr>
              <w:t>.</w:t>
            </w:r>
          </w:p>
        </w:tc>
      </w:tr>
    </w:tbl>
    <w:p w:rsidR="00A15A8C" w:rsidRPr="003F3EA3" w:rsidRDefault="00A15A8C" w:rsidP="0096707F">
      <w:pPr>
        <w:spacing w:after="0" w:line="240" w:lineRule="auto"/>
        <w:rPr>
          <w:rFonts w:cs="Times New Roman"/>
          <w:sz w:val="22"/>
        </w:rPr>
      </w:pPr>
    </w:p>
    <w:p w:rsidR="0096707F" w:rsidRDefault="0096707F" w:rsidP="0096707F">
      <w:pPr>
        <w:pStyle w:val="Caption"/>
        <w:keepNext/>
        <w:spacing w:after="0"/>
      </w:pPr>
    </w:p>
    <w:tbl>
      <w:tblPr>
        <w:tblW w:w="7620" w:type="dxa"/>
        <w:jc w:val="center"/>
        <w:tblLayout w:type="fixed"/>
        <w:tblLook w:val="04A0" w:firstRow="1" w:lastRow="0" w:firstColumn="1" w:lastColumn="0" w:noHBand="0" w:noVBand="1"/>
      </w:tblPr>
      <w:tblGrid>
        <w:gridCol w:w="3135"/>
        <w:gridCol w:w="1121"/>
        <w:gridCol w:w="1121"/>
        <w:gridCol w:w="1121"/>
        <w:gridCol w:w="1122"/>
      </w:tblGrid>
      <w:tr w:rsidR="0096707F" w:rsidRPr="003F3EA3" w:rsidTr="0096707F">
        <w:trPr>
          <w:trHeight w:val="300"/>
          <w:jc w:val="center"/>
        </w:trPr>
        <w:tc>
          <w:tcPr>
            <w:tcW w:w="7620" w:type="dxa"/>
            <w:gridSpan w:val="5"/>
            <w:tcBorders>
              <w:bottom w:val="single" w:sz="4" w:space="0" w:color="auto"/>
            </w:tcBorders>
            <w:shd w:val="clear" w:color="auto" w:fill="auto"/>
            <w:noWrap/>
            <w:vAlign w:val="bottom"/>
            <w:hideMark/>
          </w:tcPr>
          <w:p w:rsidR="0096707F" w:rsidRDefault="0096707F" w:rsidP="0096707F">
            <w:pPr>
              <w:pStyle w:val="Caption"/>
              <w:rPr>
                <w:rFonts w:eastAsia="Times New Roman" w:cs="Times New Roman"/>
                <w:color w:val="000000"/>
                <w:szCs w:val="20"/>
              </w:rPr>
            </w:pPr>
            <w:bookmarkStart w:id="15" w:name="_Toc378151211"/>
            <w:r w:rsidRPr="0096707F">
              <w:t xml:space="preserve">Table </w:t>
            </w:r>
            <w:fldSimple w:instr=" SEQ Table \* ARABIC ">
              <w:r w:rsidR="0056192E">
                <w:rPr>
                  <w:noProof/>
                </w:rPr>
                <w:t>3</w:t>
              </w:r>
            </w:fldSimple>
            <w:r w:rsidRPr="0096707F">
              <w:t>:</w:t>
            </w:r>
            <w:r w:rsidRPr="0096707F">
              <w:rPr>
                <w:rFonts w:eastAsia="Times New Roman" w:cs="Times New Roman"/>
                <w:color w:val="000000"/>
                <w:szCs w:val="20"/>
              </w:rPr>
              <w:t xml:space="preserve"> Imports From Select Partners</w:t>
            </w:r>
            <w:bookmarkEnd w:id="15"/>
          </w:p>
          <w:p w:rsidR="0096707F" w:rsidRPr="0096707F" w:rsidRDefault="0096707F" w:rsidP="00ED6340">
            <w:pPr>
              <w:spacing w:after="60" w:line="240" w:lineRule="auto"/>
              <w:jc w:val="center"/>
              <w:rPr>
                <w:rFonts w:eastAsia="Times New Roman" w:cs="Times New Roman"/>
                <w:color w:val="000000"/>
                <w:sz w:val="18"/>
                <w:szCs w:val="18"/>
              </w:rPr>
            </w:pPr>
            <w:r w:rsidRPr="0096707F">
              <w:rPr>
                <w:rFonts w:eastAsia="Times New Roman" w:cs="Times New Roman"/>
                <w:color w:val="000000"/>
                <w:sz w:val="18"/>
                <w:szCs w:val="18"/>
              </w:rPr>
              <w:t>(</w:t>
            </w:r>
            <w:r w:rsidR="00FE1162">
              <w:rPr>
                <w:rFonts w:eastAsia="Times New Roman" w:cs="Times New Roman"/>
                <w:color w:val="000000"/>
                <w:sz w:val="18"/>
                <w:szCs w:val="18"/>
              </w:rPr>
              <w:t>In percent of total imports</w:t>
            </w:r>
            <w:r w:rsidRPr="0096707F">
              <w:rPr>
                <w:rFonts w:eastAsia="Times New Roman" w:cs="Times New Roman"/>
                <w:color w:val="000000"/>
                <w:sz w:val="18"/>
                <w:szCs w:val="18"/>
              </w:rPr>
              <w:t>)</w:t>
            </w:r>
          </w:p>
        </w:tc>
      </w:tr>
      <w:tr w:rsidR="0096707F" w:rsidRPr="003F3EA3" w:rsidTr="00034D0F">
        <w:trPr>
          <w:trHeight w:val="836"/>
          <w:jc w:val="center"/>
        </w:trPr>
        <w:tc>
          <w:tcPr>
            <w:tcW w:w="3135" w:type="dxa"/>
            <w:tcBorders>
              <w:top w:val="single" w:sz="4" w:space="0" w:color="auto"/>
              <w:bottom w:val="single" w:sz="4" w:space="0" w:color="auto"/>
              <w:right w:val="single" w:sz="4" w:space="0" w:color="auto"/>
            </w:tcBorders>
            <w:shd w:val="clear" w:color="auto" w:fill="auto"/>
            <w:vAlign w:val="bottom"/>
            <w:hideMark/>
          </w:tcPr>
          <w:p w:rsidR="0096707F" w:rsidRPr="003F3EA3" w:rsidRDefault="0096707F" w:rsidP="003F3EA3">
            <w:pPr>
              <w:spacing w:after="0" w:line="240" w:lineRule="auto"/>
              <w:jc w:val="left"/>
              <w:rPr>
                <w:rFonts w:eastAsia="Times New Roman" w:cs="Times New Roman"/>
                <w:color w:val="000000"/>
                <w:sz w:val="20"/>
                <w:szCs w:val="20"/>
              </w:rPr>
            </w:pPr>
          </w:p>
        </w:tc>
        <w:tc>
          <w:tcPr>
            <w:tcW w:w="1121" w:type="dxa"/>
            <w:tcBorders>
              <w:top w:val="single" w:sz="4" w:space="0" w:color="auto"/>
              <w:left w:val="single" w:sz="4" w:space="0" w:color="auto"/>
              <w:bottom w:val="single" w:sz="4" w:space="0" w:color="auto"/>
            </w:tcBorders>
            <w:shd w:val="clear" w:color="auto" w:fill="auto"/>
            <w:noWrap/>
            <w:vAlign w:val="center"/>
            <w:hideMark/>
          </w:tcPr>
          <w:p w:rsidR="0096707F" w:rsidRPr="003F3EA3" w:rsidRDefault="0096707F" w:rsidP="0096707F">
            <w:pPr>
              <w:spacing w:before="60" w:after="60" w:line="240" w:lineRule="auto"/>
              <w:jc w:val="center"/>
              <w:rPr>
                <w:rFonts w:eastAsia="Times New Roman" w:cs="Times New Roman"/>
                <w:color w:val="000000"/>
                <w:sz w:val="20"/>
                <w:szCs w:val="20"/>
              </w:rPr>
            </w:pPr>
            <w:r w:rsidRPr="003F3EA3">
              <w:rPr>
                <w:rFonts w:eastAsia="Times New Roman" w:cs="Times New Roman"/>
                <w:color w:val="000000"/>
                <w:sz w:val="20"/>
                <w:szCs w:val="20"/>
              </w:rPr>
              <w:t>2011</w:t>
            </w:r>
          </w:p>
        </w:tc>
        <w:tc>
          <w:tcPr>
            <w:tcW w:w="1121" w:type="dxa"/>
            <w:tcBorders>
              <w:top w:val="single" w:sz="4" w:space="0" w:color="auto"/>
              <w:bottom w:val="single" w:sz="4" w:space="0" w:color="auto"/>
            </w:tcBorders>
            <w:shd w:val="clear" w:color="auto" w:fill="auto"/>
            <w:noWrap/>
            <w:vAlign w:val="center"/>
            <w:hideMark/>
          </w:tcPr>
          <w:p w:rsidR="0096707F" w:rsidRPr="003F3EA3" w:rsidRDefault="0096707F" w:rsidP="0096707F">
            <w:pPr>
              <w:spacing w:before="60" w:after="60" w:line="240" w:lineRule="auto"/>
              <w:jc w:val="center"/>
              <w:rPr>
                <w:rFonts w:eastAsia="Times New Roman" w:cs="Times New Roman"/>
                <w:color w:val="000000"/>
                <w:sz w:val="20"/>
                <w:szCs w:val="20"/>
              </w:rPr>
            </w:pPr>
            <w:r w:rsidRPr="003F3EA3">
              <w:rPr>
                <w:rFonts w:eastAsia="Times New Roman" w:cs="Times New Roman"/>
                <w:color w:val="000000"/>
                <w:sz w:val="20"/>
                <w:szCs w:val="20"/>
              </w:rPr>
              <w:t>2012</w:t>
            </w:r>
          </w:p>
        </w:tc>
        <w:tc>
          <w:tcPr>
            <w:tcW w:w="1121" w:type="dxa"/>
            <w:tcBorders>
              <w:top w:val="single" w:sz="4" w:space="0" w:color="auto"/>
              <w:bottom w:val="single" w:sz="4" w:space="0" w:color="auto"/>
            </w:tcBorders>
            <w:shd w:val="clear" w:color="auto" w:fill="auto"/>
            <w:noWrap/>
            <w:vAlign w:val="center"/>
            <w:hideMark/>
          </w:tcPr>
          <w:p w:rsidR="0096707F" w:rsidRPr="003F3EA3" w:rsidRDefault="0096707F" w:rsidP="0096707F">
            <w:pPr>
              <w:spacing w:before="60" w:after="60" w:line="240" w:lineRule="auto"/>
              <w:jc w:val="center"/>
              <w:rPr>
                <w:rFonts w:eastAsia="Times New Roman" w:cs="Times New Roman"/>
                <w:color w:val="000000"/>
                <w:sz w:val="20"/>
                <w:szCs w:val="20"/>
              </w:rPr>
            </w:pPr>
            <w:r w:rsidRPr="003F3EA3">
              <w:rPr>
                <w:rFonts w:eastAsia="Times New Roman" w:cs="Times New Roman"/>
                <w:color w:val="000000"/>
                <w:sz w:val="20"/>
                <w:szCs w:val="20"/>
              </w:rPr>
              <w:t>Jan-Aug 2012</w:t>
            </w:r>
          </w:p>
        </w:tc>
        <w:tc>
          <w:tcPr>
            <w:tcW w:w="1122" w:type="dxa"/>
            <w:tcBorders>
              <w:top w:val="single" w:sz="4" w:space="0" w:color="auto"/>
              <w:bottom w:val="single" w:sz="4" w:space="0" w:color="auto"/>
            </w:tcBorders>
            <w:shd w:val="clear" w:color="auto" w:fill="auto"/>
            <w:noWrap/>
            <w:vAlign w:val="bottom"/>
            <w:hideMark/>
          </w:tcPr>
          <w:p w:rsidR="0096707F" w:rsidRDefault="0096707F" w:rsidP="0096707F">
            <w:pPr>
              <w:spacing w:before="60" w:after="60" w:line="240" w:lineRule="auto"/>
              <w:jc w:val="center"/>
              <w:rPr>
                <w:rFonts w:eastAsia="Times New Roman" w:cs="Times New Roman"/>
                <w:color w:val="000000"/>
                <w:sz w:val="20"/>
                <w:szCs w:val="20"/>
              </w:rPr>
            </w:pPr>
            <w:r w:rsidRPr="003F3EA3">
              <w:rPr>
                <w:rFonts w:eastAsia="Times New Roman" w:cs="Times New Roman"/>
                <w:color w:val="000000"/>
                <w:sz w:val="20"/>
                <w:szCs w:val="20"/>
              </w:rPr>
              <w:t>Jan-Aug 2013</w:t>
            </w:r>
          </w:p>
          <w:p w:rsidR="0096707F" w:rsidRPr="003F3EA3" w:rsidRDefault="0096707F" w:rsidP="0096707F">
            <w:pPr>
              <w:spacing w:before="60" w:after="60" w:line="240" w:lineRule="auto"/>
              <w:jc w:val="center"/>
              <w:rPr>
                <w:rFonts w:eastAsia="Times New Roman" w:cs="Times New Roman"/>
                <w:color w:val="000000"/>
                <w:sz w:val="20"/>
                <w:szCs w:val="20"/>
              </w:rPr>
            </w:pPr>
            <w:r w:rsidRPr="003F3EA3">
              <w:rPr>
                <w:rFonts w:eastAsia="Times New Roman" w:cs="Times New Roman"/>
                <w:color w:val="000000"/>
                <w:sz w:val="20"/>
                <w:szCs w:val="20"/>
              </w:rPr>
              <w:t>(prelim.)</w:t>
            </w:r>
          </w:p>
        </w:tc>
      </w:tr>
      <w:tr w:rsidR="003F3EA3" w:rsidRPr="003F3EA3" w:rsidTr="00034D0F">
        <w:trPr>
          <w:trHeight w:val="216"/>
          <w:jc w:val="center"/>
        </w:trPr>
        <w:tc>
          <w:tcPr>
            <w:tcW w:w="3135" w:type="dxa"/>
            <w:tcBorders>
              <w:top w:val="single" w:sz="4" w:space="0" w:color="auto"/>
              <w:right w:val="single" w:sz="4" w:space="0" w:color="auto"/>
            </w:tcBorders>
            <w:shd w:val="clear" w:color="auto" w:fill="auto"/>
            <w:vAlign w:val="center"/>
            <w:hideMark/>
          </w:tcPr>
          <w:p w:rsidR="003F3EA3" w:rsidRPr="003F3EA3" w:rsidRDefault="003F3EA3" w:rsidP="003F3EA3">
            <w:pPr>
              <w:spacing w:after="0" w:line="240" w:lineRule="auto"/>
              <w:jc w:val="left"/>
              <w:rPr>
                <w:rFonts w:eastAsia="Times New Roman" w:cs="Times New Roman"/>
                <w:color w:val="000000"/>
                <w:sz w:val="20"/>
                <w:szCs w:val="20"/>
              </w:rPr>
            </w:pPr>
            <w:r w:rsidRPr="003F3EA3">
              <w:rPr>
                <w:rFonts w:eastAsia="Times New Roman" w:cs="Times New Roman"/>
                <w:color w:val="000000"/>
                <w:sz w:val="20"/>
                <w:szCs w:val="20"/>
              </w:rPr>
              <w:t xml:space="preserve">Total </w:t>
            </w:r>
          </w:p>
        </w:tc>
        <w:tc>
          <w:tcPr>
            <w:tcW w:w="1121" w:type="dxa"/>
            <w:tcBorders>
              <w:top w:val="single" w:sz="4" w:space="0" w:color="auto"/>
              <w:left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100.0</w:t>
            </w:r>
          </w:p>
        </w:tc>
        <w:tc>
          <w:tcPr>
            <w:tcW w:w="1121" w:type="dxa"/>
            <w:tcBorders>
              <w:top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100.0</w:t>
            </w:r>
          </w:p>
        </w:tc>
        <w:tc>
          <w:tcPr>
            <w:tcW w:w="1121" w:type="dxa"/>
            <w:tcBorders>
              <w:top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100.0</w:t>
            </w:r>
          </w:p>
        </w:tc>
        <w:tc>
          <w:tcPr>
            <w:tcW w:w="1122" w:type="dxa"/>
            <w:tcBorders>
              <w:top w:val="single" w:sz="4" w:space="0" w:color="auto"/>
            </w:tcBorders>
            <w:shd w:val="clear" w:color="auto" w:fill="auto"/>
            <w:vAlign w:val="center"/>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100.0</w:t>
            </w:r>
          </w:p>
        </w:tc>
      </w:tr>
      <w:tr w:rsidR="003F3EA3" w:rsidRPr="003F3EA3" w:rsidTr="00034D0F">
        <w:trPr>
          <w:trHeight w:val="216"/>
          <w:jc w:val="center"/>
        </w:trPr>
        <w:tc>
          <w:tcPr>
            <w:tcW w:w="3135" w:type="dxa"/>
            <w:tcBorders>
              <w:right w:val="single" w:sz="4" w:space="0" w:color="auto"/>
            </w:tcBorders>
            <w:shd w:val="clear" w:color="auto" w:fill="auto"/>
            <w:noWrap/>
            <w:vAlign w:val="bottom"/>
            <w:hideMark/>
          </w:tcPr>
          <w:p w:rsidR="003F3EA3" w:rsidRPr="003F3EA3" w:rsidRDefault="003F3EA3" w:rsidP="003F3EA3">
            <w:pPr>
              <w:spacing w:after="0" w:line="240" w:lineRule="auto"/>
              <w:jc w:val="left"/>
              <w:rPr>
                <w:rFonts w:eastAsia="Times New Roman" w:cs="Times New Roman"/>
                <w:color w:val="000000"/>
                <w:sz w:val="20"/>
                <w:szCs w:val="20"/>
              </w:rPr>
            </w:pPr>
            <w:r w:rsidRPr="003F3EA3">
              <w:rPr>
                <w:rFonts w:eastAsia="Times New Roman" w:cs="Times New Roman"/>
                <w:color w:val="000000"/>
                <w:sz w:val="20"/>
                <w:szCs w:val="20"/>
              </w:rPr>
              <w:t>CIS</w:t>
            </w:r>
          </w:p>
        </w:tc>
        <w:tc>
          <w:tcPr>
            <w:tcW w:w="1121" w:type="dxa"/>
            <w:tcBorders>
              <w:left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51.0</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47.6</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48.2</w:t>
            </w:r>
          </w:p>
        </w:tc>
        <w:tc>
          <w:tcPr>
            <w:tcW w:w="1122" w:type="dxa"/>
            <w:shd w:val="clear" w:color="auto" w:fill="auto"/>
            <w:vAlign w:val="center"/>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46.2</w:t>
            </w:r>
          </w:p>
        </w:tc>
      </w:tr>
      <w:tr w:rsidR="003F3EA3" w:rsidRPr="003F3EA3" w:rsidTr="00034D0F">
        <w:trPr>
          <w:trHeight w:val="216"/>
          <w:jc w:val="center"/>
        </w:trPr>
        <w:tc>
          <w:tcPr>
            <w:tcW w:w="3135" w:type="dxa"/>
            <w:tcBorders>
              <w:right w:val="single" w:sz="4" w:space="0" w:color="auto"/>
            </w:tcBorders>
            <w:shd w:val="clear" w:color="auto" w:fill="auto"/>
            <w:noWrap/>
            <w:vAlign w:val="bottom"/>
            <w:hideMark/>
          </w:tcPr>
          <w:p w:rsidR="003F3EA3" w:rsidRPr="003F3EA3" w:rsidRDefault="00FE1162" w:rsidP="00ED6340">
            <w:pPr>
              <w:spacing w:after="0" w:line="240" w:lineRule="auto"/>
              <w:ind w:left="216"/>
              <w:jc w:val="left"/>
              <w:rPr>
                <w:rFonts w:eastAsia="Times New Roman" w:cs="Times New Roman"/>
                <w:color w:val="000000"/>
                <w:sz w:val="20"/>
                <w:szCs w:val="20"/>
              </w:rPr>
            </w:pPr>
            <w:r>
              <w:rPr>
                <w:rFonts w:eastAsia="Times New Roman" w:cs="Times New Roman"/>
                <w:color w:val="000000"/>
                <w:sz w:val="20"/>
                <w:szCs w:val="20"/>
              </w:rPr>
              <w:t>o</w:t>
            </w:r>
            <w:r w:rsidR="003F3EA3" w:rsidRPr="003F3EA3">
              <w:rPr>
                <w:rFonts w:eastAsia="Times New Roman" w:cs="Times New Roman"/>
                <w:color w:val="000000"/>
                <w:sz w:val="20"/>
                <w:szCs w:val="20"/>
              </w:rPr>
              <w:t>f which</w:t>
            </w:r>
            <w:r>
              <w:rPr>
                <w:rFonts w:eastAsia="Times New Roman" w:cs="Times New Roman"/>
                <w:color w:val="000000"/>
                <w:sz w:val="20"/>
                <w:szCs w:val="20"/>
              </w:rPr>
              <w:t>:</w:t>
            </w:r>
            <w:r w:rsidR="003F3EA3" w:rsidRPr="003F3EA3">
              <w:rPr>
                <w:rFonts w:eastAsia="Times New Roman" w:cs="Times New Roman"/>
                <w:color w:val="000000"/>
                <w:sz w:val="20"/>
                <w:szCs w:val="20"/>
              </w:rPr>
              <w:t xml:space="preserve"> Customs Union</w:t>
            </w:r>
          </w:p>
        </w:tc>
        <w:tc>
          <w:tcPr>
            <w:tcW w:w="1121" w:type="dxa"/>
            <w:tcBorders>
              <w:left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43.0</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38.0</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37.8</w:t>
            </w:r>
          </w:p>
        </w:tc>
        <w:tc>
          <w:tcPr>
            <w:tcW w:w="1122" w:type="dxa"/>
            <w:shd w:val="clear" w:color="auto" w:fill="auto"/>
            <w:vAlign w:val="center"/>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37.5</w:t>
            </w:r>
          </w:p>
        </w:tc>
      </w:tr>
      <w:tr w:rsidR="003F3EA3" w:rsidRPr="003F3EA3" w:rsidTr="00034D0F">
        <w:trPr>
          <w:trHeight w:val="216"/>
          <w:jc w:val="center"/>
        </w:trPr>
        <w:tc>
          <w:tcPr>
            <w:tcW w:w="3135" w:type="dxa"/>
            <w:tcBorders>
              <w:right w:val="single" w:sz="4" w:space="0" w:color="auto"/>
            </w:tcBorders>
            <w:shd w:val="clear" w:color="auto" w:fill="auto"/>
            <w:noWrap/>
            <w:vAlign w:val="bottom"/>
            <w:hideMark/>
          </w:tcPr>
          <w:p w:rsidR="003F3EA3" w:rsidRPr="003F3EA3" w:rsidRDefault="003F3EA3" w:rsidP="0096707F">
            <w:pPr>
              <w:spacing w:after="0" w:line="240" w:lineRule="auto"/>
              <w:ind w:left="432"/>
              <w:jc w:val="left"/>
              <w:rPr>
                <w:rFonts w:eastAsia="Times New Roman" w:cs="Times New Roman"/>
                <w:color w:val="000000"/>
                <w:sz w:val="20"/>
                <w:szCs w:val="20"/>
              </w:rPr>
            </w:pPr>
            <w:r w:rsidRPr="003F3EA3">
              <w:rPr>
                <w:rFonts w:eastAsia="Times New Roman" w:cs="Times New Roman"/>
                <w:color w:val="000000"/>
                <w:sz w:val="20"/>
                <w:szCs w:val="20"/>
              </w:rPr>
              <w:t xml:space="preserve">Belarus </w:t>
            </w:r>
          </w:p>
        </w:tc>
        <w:tc>
          <w:tcPr>
            <w:tcW w:w="1121" w:type="dxa"/>
            <w:tcBorders>
              <w:left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1.6</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1.4</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1.4</w:t>
            </w:r>
          </w:p>
        </w:tc>
        <w:tc>
          <w:tcPr>
            <w:tcW w:w="1122" w:type="dxa"/>
            <w:shd w:val="clear" w:color="auto" w:fill="auto"/>
            <w:vAlign w:val="center"/>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1.3</w:t>
            </w:r>
          </w:p>
        </w:tc>
      </w:tr>
      <w:tr w:rsidR="003F3EA3" w:rsidRPr="003F3EA3" w:rsidTr="00034D0F">
        <w:trPr>
          <w:trHeight w:val="216"/>
          <w:jc w:val="center"/>
        </w:trPr>
        <w:tc>
          <w:tcPr>
            <w:tcW w:w="3135" w:type="dxa"/>
            <w:tcBorders>
              <w:right w:val="single" w:sz="4" w:space="0" w:color="auto"/>
            </w:tcBorders>
            <w:shd w:val="clear" w:color="auto" w:fill="auto"/>
            <w:noWrap/>
            <w:vAlign w:val="bottom"/>
            <w:hideMark/>
          </w:tcPr>
          <w:p w:rsidR="003F3EA3" w:rsidRPr="003F3EA3" w:rsidRDefault="003F3EA3" w:rsidP="0096707F">
            <w:pPr>
              <w:spacing w:after="0" w:line="240" w:lineRule="auto"/>
              <w:ind w:left="432"/>
              <w:jc w:val="left"/>
              <w:rPr>
                <w:rFonts w:eastAsia="Times New Roman" w:cs="Times New Roman"/>
                <w:color w:val="000000"/>
                <w:sz w:val="20"/>
                <w:szCs w:val="20"/>
              </w:rPr>
            </w:pPr>
            <w:r w:rsidRPr="003F3EA3">
              <w:rPr>
                <w:rFonts w:eastAsia="Times New Roman" w:cs="Times New Roman"/>
                <w:color w:val="000000"/>
                <w:sz w:val="20"/>
                <w:szCs w:val="20"/>
              </w:rPr>
              <w:t>Russia</w:t>
            </w:r>
          </w:p>
        </w:tc>
        <w:tc>
          <w:tcPr>
            <w:tcW w:w="1121" w:type="dxa"/>
            <w:tcBorders>
              <w:left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41.4</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36.6</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36.3</w:t>
            </w:r>
          </w:p>
        </w:tc>
        <w:tc>
          <w:tcPr>
            <w:tcW w:w="1122" w:type="dxa"/>
            <w:shd w:val="clear" w:color="auto" w:fill="auto"/>
            <w:vAlign w:val="center"/>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36.2</w:t>
            </w:r>
          </w:p>
        </w:tc>
      </w:tr>
      <w:tr w:rsidR="003F3EA3" w:rsidRPr="003F3EA3" w:rsidTr="00034D0F">
        <w:trPr>
          <w:trHeight w:val="216"/>
          <w:jc w:val="center"/>
        </w:trPr>
        <w:tc>
          <w:tcPr>
            <w:tcW w:w="3135" w:type="dxa"/>
            <w:tcBorders>
              <w:right w:val="single" w:sz="4" w:space="0" w:color="auto"/>
            </w:tcBorders>
            <w:shd w:val="clear" w:color="auto" w:fill="auto"/>
            <w:noWrap/>
            <w:vAlign w:val="bottom"/>
            <w:hideMark/>
          </w:tcPr>
          <w:p w:rsidR="003F3EA3" w:rsidRPr="003F3EA3" w:rsidRDefault="003F3EA3" w:rsidP="003F3EA3">
            <w:pPr>
              <w:spacing w:after="0" w:line="240" w:lineRule="auto"/>
              <w:jc w:val="left"/>
              <w:rPr>
                <w:rFonts w:eastAsia="Times New Roman" w:cs="Times New Roman"/>
                <w:color w:val="000000"/>
                <w:sz w:val="20"/>
                <w:szCs w:val="20"/>
              </w:rPr>
            </w:pPr>
            <w:r w:rsidRPr="003F3EA3">
              <w:rPr>
                <w:rFonts w:eastAsia="Times New Roman" w:cs="Times New Roman"/>
                <w:color w:val="000000"/>
                <w:sz w:val="20"/>
                <w:szCs w:val="20"/>
              </w:rPr>
              <w:t>EU Countries</w:t>
            </w:r>
          </w:p>
        </w:tc>
        <w:tc>
          <w:tcPr>
            <w:tcW w:w="1121" w:type="dxa"/>
            <w:tcBorders>
              <w:left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19.8</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20.1</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20.1</w:t>
            </w:r>
          </w:p>
        </w:tc>
        <w:tc>
          <w:tcPr>
            <w:tcW w:w="1122" w:type="dxa"/>
            <w:shd w:val="clear" w:color="auto" w:fill="auto"/>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18.2</w:t>
            </w:r>
          </w:p>
        </w:tc>
      </w:tr>
      <w:tr w:rsidR="003F3EA3" w:rsidRPr="003F3EA3" w:rsidTr="00034D0F">
        <w:trPr>
          <w:trHeight w:val="216"/>
          <w:jc w:val="center"/>
        </w:trPr>
        <w:tc>
          <w:tcPr>
            <w:tcW w:w="3135" w:type="dxa"/>
            <w:tcBorders>
              <w:right w:val="single" w:sz="4" w:space="0" w:color="auto"/>
            </w:tcBorders>
            <w:shd w:val="clear" w:color="auto" w:fill="auto"/>
            <w:noWrap/>
            <w:vAlign w:val="bottom"/>
            <w:hideMark/>
          </w:tcPr>
          <w:p w:rsidR="003F3EA3" w:rsidRPr="003F3EA3" w:rsidRDefault="003F3EA3" w:rsidP="003F3EA3">
            <w:pPr>
              <w:spacing w:after="0" w:line="240" w:lineRule="auto"/>
              <w:jc w:val="left"/>
              <w:rPr>
                <w:rFonts w:eastAsia="Times New Roman" w:cs="Times New Roman"/>
                <w:color w:val="000000"/>
                <w:sz w:val="20"/>
                <w:szCs w:val="20"/>
              </w:rPr>
            </w:pPr>
            <w:r w:rsidRPr="003F3EA3">
              <w:rPr>
                <w:rFonts w:eastAsia="Times New Roman" w:cs="Times New Roman"/>
                <w:color w:val="000000"/>
                <w:sz w:val="20"/>
                <w:szCs w:val="20"/>
              </w:rPr>
              <w:t>Europe outside EU</w:t>
            </w:r>
          </w:p>
        </w:tc>
        <w:tc>
          <w:tcPr>
            <w:tcW w:w="1121" w:type="dxa"/>
            <w:tcBorders>
              <w:left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0.7</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0.7</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0.7</w:t>
            </w:r>
          </w:p>
        </w:tc>
        <w:tc>
          <w:tcPr>
            <w:tcW w:w="1122" w:type="dxa"/>
            <w:shd w:val="clear" w:color="auto" w:fill="auto"/>
            <w:vAlign w:val="center"/>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0.5</w:t>
            </w:r>
          </w:p>
        </w:tc>
      </w:tr>
      <w:tr w:rsidR="003F3EA3" w:rsidRPr="003F3EA3" w:rsidTr="00034D0F">
        <w:trPr>
          <w:trHeight w:val="216"/>
          <w:jc w:val="center"/>
        </w:trPr>
        <w:tc>
          <w:tcPr>
            <w:tcW w:w="3135" w:type="dxa"/>
            <w:tcBorders>
              <w:right w:val="single" w:sz="4" w:space="0" w:color="auto"/>
            </w:tcBorders>
            <w:shd w:val="clear" w:color="auto" w:fill="auto"/>
            <w:noWrap/>
            <w:vAlign w:val="bottom"/>
            <w:hideMark/>
          </w:tcPr>
          <w:p w:rsidR="003F3EA3" w:rsidRPr="003F3EA3" w:rsidRDefault="003F3EA3" w:rsidP="003F3EA3">
            <w:pPr>
              <w:spacing w:after="0" w:line="240" w:lineRule="auto"/>
              <w:jc w:val="left"/>
              <w:rPr>
                <w:rFonts w:eastAsia="Times New Roman" w:cs="Times New Roman"/>
                <w:color w:val="000000"/>
                <w:sz w:val="20"/>
                <w:szCs w:val="20"/>
              </w:rPr>
            </w:pPr>
            <w:r w:rsidRPr="003F3EA3">
              <w:rPr>
                <w:rFonts w:eastAsia="Times New Roman" w:cs="Times New Roman"/>
                <w:color w:val="000000"/>
                <w:sz w:val="20"/>
                <w:szCs w:val="20"/>
              </w:rPr>
              <w:t>Asia</w:t>
            </w:r>
          </w:p>
        </w:tc>
        <w:tc>
          <w:tcPr>
            <w:tcW w:w="1121" w:type="dxa"/>
            <w:tcBorders>
              <w:left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21.6</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24.7</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24.5</w:t>
            </w:r>
          </w:p>
        </w:tc>
        <w:tc>
          <w:tcPr>
            <w:tcW w:w="1122" w:type="dxa"/>
            <w:shd w:val="clear" w:color="auto" w:fill="auto"/>
            <w:vAlign w:val="center"/>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27.7</w:t>
            </w:r>
          </w:p>
        </w:tc>
      </w:tr>
      <w:tr w:rsidR="003F3EA3" w:rsidRPr="003F3EA3" w:rsidTr="00034D0F">
        <w:trPr>
          <w:trHeight w:val="216"/>
          <w:jc w:val="center"/>
        </w:trPr>
        <w:tc>
          <w:tcPr>
            <w:tcW w:w="3135" w:type="dxa"/>
            <w:tcBorders>
              <w:right w:val="single" w:sz="4" w:space="0" w:color="auto"/>
            </w:tcBorders>
            <w:shd w:val="clear" w:color="auto" w:fill="auto"/>
            <w:noWrap/>
            <w:vAlign w:val="bottom"/>
            <w:hideMark/>
          </w:tcPr>
          <w:p w:rsidR="003F3EA3" w:rsidRPr="003F3EA3" w:rsidRDefault="003F3EA3" w:rsidP="0096707F">
            <w:pPr>
              <w:spacing w:after="0" w:line="240" w:lineRule="auto"/>
              <w:ind w:left="432"/>
              <w:jc w:val="left"/>
              <w:rPr>
                <w:rFonts w:eastAsia="Times New Roman" w:cs="Times New Roman"/>
                <w:color w:val="000000"/>
                <w:sz w:val="20"/>
                <w:szCs w:val="20"/>
              </w:rPr>
            </w:pPr>
            <w:r w:rsidRPr="003F3EA3">
              <w:rPr>
                <w:rFonts w:eastAsia="Times New Roman" w:cs="Times New Roman"/>
                <w:color w:val="000000"/>
                <w:sz w:val="20"/>
                <w:szCs w:val="20"/>
              </w:rPr>
              <w:t>China</w:t>
            </w:r>
          </w:p>
        </w:tc>
        <w:tc>
          <w:tcPr>
            <w:tcW w:w="1121" w:type="dxa"/>
            <w:tcBorders>
              <w:left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13.6</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16.1</w:t>
            </w:r>
          </w:p>
        </w:tc>
        <w:tc>
          <w:tcPr>
            <w:tcW w:w="1121" w:type="dxa"/>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15.8</w:t>
            </w:r>
          </w:p>
        </w:tc>
        <w:tc>
          <w:tcPr>
            <w:tcW w:w="1122" w:type="dxa"/>
            <w:shd w:val="clear" w:color="auto" w:fill="auto"/>
            <w:vAlign w:val="center"/>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17.4</w:t>
            </w:r>
          </w:p>
        </w:tc>
      </w:tr>
      <w:tr w:rsidR="003F3EA3" w:rsidRPr="003F3EA3" w:rsidTr="00034D0F">
        <w:trPr>
          <w:trHeight w:val="216"/>
          <w:jc w:val="center"/>
        </w:trPr>
        <w:tc>
          <w:tcPr>
            <w:tcW w:w="3135" w:type="dxa"/>
            <w:tcBorders>
              <w:bottom w:val="single" w:sz="4" w:space="0" w:color="auto"/>
              <w:right w:val="single" w:sz="4" w:space="0" w:color="auto"/>
            </w:tcBorders>
            <w:shd w:val="clear" w:color="auto" w:fill="auto"/>
            <w:noWrap/>
            <w:vAlign w:val="bottom"/>
            <w:hideMark/>
          </w:tcPr>
          <w:p w:rsidR="003F3EA3" w:rsidRPr="003F3EA3" w:rsidRDefault="003F3EA3" w:rsidP="003F3EA3">
            <w:pPr>
              <w:spacing w:after="0" w:line="240" w:lineRule="auto"/>
              <w:jc w:val="left"/>
              <w:rPr>
                <w:rFonts w:eastAsia="Times New Roman" w:cs="Times New Roman"/>
                <w:color w:val="000000"/>
                <w:sz w:val="20"/>
                <w:szCs w:val="20"/>
              </w:rPr>
            </w:pPr>
            <w:r w:rsidRPr="003F3EA3">
              <w:rPr>
                <w:rFonts w:eastAsia="Times New Roman" w:cs="Times New Roman"/>
                <w:color w:val="000000"/>
                <w:sz w:val="20"/>
                <w:szCs w:val="20"/>
              </w:rPr>
              <w:t xml:space="preserve">America </w:t>
            </w:r>
          </w:p>
        </w:tc>
        <w:tc>
          <w:tcPr>
            <w:tcW w:w="1121" w:type="dxa"/>
            <w:tcBorders>
              <w:left w:val="single" w:sz="4" w:space="0" w:color="auto"/>
              <w:bottom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6.5</w:t>
            </w:r>
          </w:p>
        </w:tc>
        <w:tc>
          <w:tcPr>
            <w:tcW w:w="1121" w:type="dxa"/>
            <w:tcBorders>
              <w:bottom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6.2</w:t>
            </w:r>
          </w:p>
        </w:tc>
        <w:tc>
          <w:tcPr>
            <w:tcW w:w="1121" w:type="dxa"/>
            <w:tcBorders>
              <w:bottom w:val="single" w:sz="4" w:space="0" w:color="auto"/>
            </w:tcBorders>
            <w:shd w:val="clear" w:color="auto" w:fill="auto"/>
            <w:noWrap/>
            <w:vAlign w:val="bottom"/>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5.9</w:t>
            </w:r>
          </w:p>
        </w:tc>
        <w:tc>
          <w:tcPr>
            <w:tcW w:w="1122" w:type="dxa"/>
            <w:tcBorders>
              <w:bottom w:val="single" w:sz="4" w:space="0" w:color="auto"/>
            </w:tcBorders>
            <w:shd w:val="clear" w:color="auto" w:fill="auto"/>
            <w:vAlign w:val="center"/>
            <w:hideMark/>
          </w:tcPr>
          <w:p w:rsidR="003F3EA3" w:rsidRPr="003F3EA3" w:rsidRDefault="003F3EA3" w:rsidP="00034D0F">
            <w:pPr>
              <w:spacing w:after="0" w:line="240" w:lineRule="auto"/>
              <w:ind w:right="259"/>
              <w:jc w:val="right"/>
              <w:rPr>
                <w:rFonts w:eastAsia="Times New Roman" w:cs="Times New Roman"/>
                <w:color w:val="000000"/>
                <w:sz w:val="20"/>
                <w:szCs w:val="20"/>
              </w:rPr>
            </w:pPr>
            <w:r w:rsidRPr="003F3EA3">
              <w:rPr>
                <w:rFonts w:eastAsia="Times New Roman" w:cs="Times New Roman"/>
                <w:color w:val="000000"/>
                <w:sz w:val="20"/>
                <w:szCs w:val="20"/>
              </w:rPr>
              <w:t>6.6</w:t>
            </w:r>
          </w:p>
        </w:tc>
      </w:tr>
      <w:tr w:rsidR="0096707F" w:rsidRPr="003F3EA3" w:rsidTr="0096707F">
        <w:trPr>
          <w:trHeight w:val="300"/>
          <w:jc w:val="center"/>
        </w:trPr>
        <w:tc>
          <w:tcPr>
            <w:tcW w:w="7620" w:type="dxa"/>
            <w:gridSpan w:val="5"/>
            <w:tcBorders>
              <w:top w:val="single" w:sz="4" w:space="0" w:color="auto"/>
            </w:tcBorders>
            <w:shd w:val="clear" w:color="auto" w:fill="auto"/>
            <w:noWrap/>
            <w:vAlign w:val="bottom"/>
            <w:hideMark/>
          </w:tcPr>
          <w:p w:rsidR="0096707F" w:rsidRPr="003F3EA3" w:rsidRDefault="0096707F" w:rsidP="003F3EA3">
            <w:pPr>
              <w:spacing w:after="0" w:line="240" w:lineRule="auto"/>
              <w:jc w:val="left"/>
              <w:rPr>
                <w:rFonts w:ascii="Arial CYR" w:eastAsia="Times New Roman" w:hAnsi="Arial CYR" w:cs="Times New Roman"/>
                <w:sz w:val="16"/>
                <w:szCs w:val="16"/>
              </w:rPr>
            </w:pPr>
            <w:r w:rsidRPr="0096707F">
              <w:rPr>
                <w:rFonts w:eastAsia="Times New Roman" w:cs="Times New Roman"/>
                <w:i/>
                <w:sz w:val="18"/>
                <w:szCs w:val="18"/>
              </w:rPr>
              <w:t>Source:</w:t>
            </w:r>
            <w:r w:rsidRPr="003F3EA3">
              <w:rPr>
                <w:rFonts w:eastAsia="Times New Roman" w:cs="Times New Roman"/>
                <w:sz w:val="18"/>
                <w:szCs w:val="18"/>
              </w:rPr>
              <w:t xml:space="preserve"> </w:t>
            </w:r>
            <w:r>
              <w:rPr>
                <w:rFonts w:eastAsia="Times New Roman" w:cs="Times New Roman"/>
                <w:sz w:val="18"/>
                <w:szCs w:val="18"/>
              </w:rPr>
              <w:t>D</w:t>
            </w:r>
            <w:r w:rsidRPr="003F3EA3">
              <w:rPr>
                <w:rFonts w:eastAsia="Times New Roman" w:cs="Times New Roman"/>
                <w:sz w:val="18"/>
                <w:szCs w:val="18"/>
              </w:rPr>
              <w:t>ata from Kazakhstan Statistical Agency, World Bank staff calculations.</w:t>
            </w:r>
          </w:p>
        </w:tc>
      </w:tr>
    </w:tbl>
    <w:p w:rsidR="00B626CB" w:rsidRDefault="00B626CB" w:rsidP="0096707F">
      <w:pPr>
        <w:pStyle w:val="ListParagraph"/>
        <w:spacing w:after="0" w:line="240" w:lineRule="auto"/>
        <w:jc w:val="center"/>
        <w:rPr>
          <w:rFonts w:cs="Times New Roman"/>
          <w:sz w:val="22"/>
        </w:rPr>
      </w:pPr>
    </w:p>
    <w:p w:rsidR="00F23A8C" w:rsidRPr="00743658" w:rsidRDefault="003F3EA3" w:rsidP="00743658">
      <w:pPr>
        <w:pStyle w:val="ListParagraph"/>
        <w:numPr>
          <w:ilvl w:val="0"/>
          <w:numId w:val="1"/>
        </w:numPr>
        <w:tabs>
          <w:tab w:val="left" w:pos="720"/>
        </w:tabs>
        <w:spacing w:line="240" w:lineRule="auto"/>
        <w:ind w:left="0" w:firstLine="0"/>
        <w:contextualSpacing w:val="0"/>
        <w:rPr>
          <w:rFonts w:cs="Times New Roman"/>
          <w:sz w:val="22"/>
        </w:rPr>
      </w:pPr>
      <w:r w:rsidRPr="000C2B64">
        <w:rPr>
          <w:rFonts w:cs="Times New Roman"/>
          <w:b/>
          <w:sz w:val="22"/>
        </w:rPr>
        <w:t xml:space="preserve">But the longer term dynamics of Kazakhstan’s imports </w:t>
      </w:r>
      <w:r>
        <w:rPr>
          <w:rFonts w:cs="Times New Roman"/>
          <w:b/>
          <w:sz w:val="22"/>
        </w:rPr>
        <w:t>are still global</w:t>
      </w:r>
      <w:r w:rsidRPr="000C2B64">
        <w:rPr>
          <w:rFonts w:cs="Times New Roman"/>
          <w:sz w:val="22"/>
        </w:rPr>
        <w:t>.</w:t>
      </w:r>
      <w:r w:rsidR="00786508">
        <w:rPr>
          <w:rFonts w:cs="Times New Roman"/>
          <w:sz w:val="22"/>
        </w:rPr>
        <w:t xml:space="preserve"> </w:t>
      </w:r>
      <w:r w:rsidRPr="00BA1B5B">
        <w:rPr>
          <w:rFonts w:cs="Times New Roman"/>
          <w:sz w:val="22"/>
        </w:rPr>
        <w:t xml:space="preserve">Aside from the three main trade partners (CU, EU and China), there are still a number of well performing </w:t>
      </w:r>
      <w:r w:rsidR="00C11554">
        <w:rPr>
          <w:rFonts w:cs="Times New Roman"/>
          <w:sz w:val="22"/>
        </w:rPr>
        <w:t>exporters</w:t>
      </w:r>
      <w:r w:rsidR="00C11554" w:rsidRPr="00BA1B5B">
        <w:rPr>
          <w:rFonts w:cs="Times New Roman"/>
          <w:sz w:val="22"/>
        </w:rPr>
        <w:t xml:space="preserve"> </w:t>
      </w:r>
      <w:r w:rsidRPr="00BA1B5B">
        <w:rPr>
          <w:rFonts w:cs="Times New Roman"/>
          <w:sz w:val="22"/>
        </w:rPr>
        <w:t xml:space="preserve">to the </w:t>
      </w:r>
      <w:r>
        <w:rPr>
          <w:rFonts w:cs="Times New Roman"/>
          <w:sz w:val="22"/>
        </w:rPr>
        <w:t xml:space="preserve">Kazakhstani </w:t>
      </w:r>
      <w:r w:rsidRPr="00BA1B5B">
        <w:rPr>
          <w:rFonts w:cs="Times New Roman"/>
          <w:sz w:val="22"/>
        </w:rPr>
        <w:t>market.</w:t>
      </w:r>
      <w:r w:rsidR="00786508">
        <w:rPr>
          <w:rFonts w:cs="Times New Roman"/>
          <w:sz w:val="22"/>
        </w:rPr>
        <w:t xml:space="preserve"> </w:t>
      </w:r>
      <w:r>
        <w:rPr>
          <w:rFonts w:cs="Times New Roman"/>
          <w:sz w:val="22"/>
        </w:rPr>
        <w:t>A</w:t>
      </w:r>
      <w:r w:rsidRPr="004A0E86">
        <w:rPr>
          <w:rFonts w:cs="Times New Roman"/>
          <w:sz w:val="22"/>
        </w:rPr>
        <w:t>fter a drop in 2010</w:t>
      </w:r>
      <w:r w:rsidR="00C11554">
        <w:rPr>
          <w:rFonts w:cs="Times New Roman"/>
          <w:sz w:val="22"/>
        </w:rPr>
        <w:t>,</w:t>
      </w:r>
      <w:r w:rsidRPr="004A0E86">
        <w:rPr>
          <w:rFonts w:cs="Times New Roman"/>
          <w:sz w:val="22"/>
        </w:rPr>
        <w:t xml:space="preserve"> the non-CU CIS exports to Kazakhstan recovered </w:t>
      </w:r>
      <w:r w:rsidR="00C11554">
        <w:rPr>
          <w:rFonts w:cs="Times New Roman"/>
          <w:sz w:val="22"/>
        </w:rPr>
        <w:t xml:space="preserve">and </w:t>
      </w:r>
      <w:r w:rsidR="00464AA4">
        <w:rPr>
          <w:rFonts w:cs="Times New Roman"/>
          <w:sz w:val="22"/>
        </w:rPr>
        <w:t xml:space="preserve">are </w:t>
      </w:r>
      <w:r w:rsidR="00C11554">
        <w:rPr>
          <w:rFonts w:cs="Times New Roman"/>
          <w:sz w:val="22"/>
        </w:rPr>
        <w:t>providing</w:t>
      </w:r>
      <w:r w:rsidRPr="004A0E86">
        <w:rPr>
          <w:rFonts w:cs="Times New Roman"/>
          <w:sz w:val="22"/>
        </w:rPr>
        <w:t xml:space="preserve"> </w:t>
      </w:r>
      <w:r w:rsidR="00FD134F">
        <w:rPr>
          <w:rFonts w:cs="Times New Roman"/>
          <w:sz w:val="22"/>
        </w:rPr>
        <w:t xml:space="preserve">about </w:t>
      </w:r>
      <w:r w:rsidRPr="004A0E86">
        <w:rPr>
          <w:rFonts w:cs="Times New Roman"/>
          <w:sz w:val="22"/>
        </w:rPr>
        <w:t xml:space="preserve">10 percent of the overall </w:t>
      </w:r>
      <w:r>
        <w:rPr>
          <w:rFonts w:cs="Times New Roman"/>
          <w:sz w:val="22"/>
        </w:rPr>
        <w:t xml:space="preserve">Kazakhstani </w:t>
      </w:r>
      <w:r w:rsidRPr="004A0E86">
        <w:rPr>
          <w:rFonts w:cs="Times New Roman"/>
          <w:sz w:val="22"/>
        </w:rPr>
        <w:t>imports in 2012.</w:t>
      </w:r>
      <w:r w:rsidR="00786508">
        <w:rPr>
          <w:rFonts w:cs="Times New Roman"/>
          <w:sz w:val="22"/>
        </w:rPr>
        <w:t xml:space="preserve"> </w:t>
      </w:r>
      <w:r w:rsidRPr="004A0E86">
        <w:rPr>
          <w:rFonts w:cs="Times New Roman"/>
          <w:sz w:val="22"/>
        </w:rPr>
        <w:t xml:space="preserve">The rest of Asia and North America each continue to capture approximately 5 percent share the overall </w:t>
      </w:r>
      <w:r>
        <w:rPr>
          <w:rFonts w:cs="Times New Roman"/>
          <w:sz w:val="22"/>
        </w:rPr>
        <w:t xml:space="preserve">Kazakhstani </w:t>
      </w:r>
      <w:r w:rsidRPr="004A0E86">
        <w:rPr>
          <w:rFonts w:cs="Times New Roman"/>
          <w:sz w:val="22"/>
        </w:rPr>
        <w:t>import</w:t>
      </w:r>
      <w:r>
        <w:rPr>
          <w:rFonts w:cs="Times New Roman"/>
          <w:sz w:val="22"/>
        </w:rPr>
        <w:t>s.</w:t>
      </w:r>
      <w:r w:rsidR="00786508">
        <w:rPr>
          <w:rFonts w:cs="Times New Roman"/>
          <w:sz w:val="22"/>
        </w:rPr>
        <w:t xml:space="preserve"> </w:t>
      </w:r>
      <w:r w:rsidRPr="00BA1B5B">
        <w:rPr>
          <w:rFonts w:cs="Times New Roman"/>
          <w:sz w:val="22"/>
        </w:rPr>
        <w:t>Kazakhstan’s imports started shifting from EU to China as far back as 2005.</w:t>
      </w:r>
      <w:r w:rsidR="00786508">
        <w:rPr>
          <w:rFonts w:cs="Times New Roman"/>
          <w:sz w:val="22"/>
        </w:rPr>
        <w:t xml:space="preserve"> </w:t>
      </w:r>
      <w:r w:rsidRPr="00BA1B5B">
        <w:rPr>
          <w:rFonts w:cs="Times New Roman"/>
          <w:sz w:val="22"/>
        </w:rPr>
        <w:t xml:space="preserve">Figure 2 shows that this shift was accentuated after the creation of the CU: it impacted negatively the EU 27 exports to Kazakhstan in almost all HS-2 import categories, while China increased its share in 60 percent of the HS-2 product </w:t>
      </w:r>
      <w:r w:rsidRPr="006F0A8E">
        <w:rPr>
          <w:rFonts w:cs="Times New Roman"/>
          <w:sz w:val="22"/>
        </w:rPr>
        <w:t>categories</w:t>
      </w:r>
      <w:r w:rsidRPr="006F0A8E" w:rsidDel="000C2B64">
        <w:rPr>
          <w:rFonts w:cs="Times New Roman"/>
          <w:sz w:val="22"/>
        </w:rPr>
        <w:t xml:space="preserve"> </w:t>
      </w:r>
      <w:r w:rsidRPr="006F0A8E">
        <w:rPr>
          <w:rFonts w:cs="Times New Roman"/>
          <w:sz w:val="22"/>
        </w:rPr>
        <w:t>(</w:t>
      </w:r>
      <w:r w:rsidRPr="006F0A8E">
        <w:t xml:space="preserve">Table </w:t>
      </w:r>
      <w:r w:rsidR="000C6F62">
        <w:t>4</w:t>
      </w:r>
      <w:r w:rsidRPr="006F0A8E">
        <w:rPr>
          <w:rFonts w:cs="Times New Roman"/>
          <w:sz w:val="22"/>
        </w:rPr>
        <w:t>).</w:t>
      </w:r>
      <w:r w:rsidR="00786508">
        <w:rPr>
          <w:rFonts w:cs="Times New Roman"/>
          <w:sz w:val="22"/>
        </w:rPr>
        <w:t xml:space="preserve"> </w:t>
      </w:r>
      <w:r w:rsidRPr="00BA1B5B">
        <w:rPr>
          <w:rFonts w:cs="Times New Roman"/>
          <w:sz w:val="22"/>
        </w:rPr>
        <w:t xml:space="preserve">While China gained grounds despite the tariff rises, EU lost ground in an almost mirror image, especially in machinery, electronics and Transport </w:t>
      </w:r>
      <w:r w:rsidRPr="00A73C75">
        <w:rPr>
          <w:rFonts w:cs="Times New Roman"/>
          <w:sz w:val="22"/>
        </w:rPr>
        <w:t>(</w:t>
      </w:r>
      <w:r>
        <w:rPr>
          <w:rFonts w:cs="Times New Roman"/>
          <w:sz w:val="22"/>
        </w:rPr>
        <w:t xml:space="preserve">Annex I, </w:t>
      </w:r>
      <w:r w:rsidRPr="00A73C75">
        <w:rPr>
          <w:rFonts w:cs="Times New Roman"/>
          <w:sz w:val="22"/>
        </w:rPr>
        <w:t xml:space="preserve">Figures </w:t>
      </w:r>
      <w:r>
        <w:rPr>
          <w:rFonts w:cs="Times New Roman"/>
          <w:sz w:val="22"/>
        </w:rPr>
        <w:t>A1</w:t>
      </w:r>
      <w:r w:rsidRPr="00A73C75">
        <w:rPr>
          <w:rFonts w:cs="Times New Roman"/>
          <w:sz w:val="22"/>
        </w:rPr>
        <w:t xml:space="preserve"> and </w:t>
      </w:r>
      <w:r>
        <w:rPr>
          <w:rFonts w:cs="Times New Roman"/>
          <w:sz w:val="22"/>
        </w:rPr>
        <w:t>A2</w:t>
      </w:r>
      <w:r w:rsidRPr="00A73C75">
        <w:rPr>
          <w:rFonts w:cs="Times New Roman"/>
          <w:sz w:val="22"/>
        </w:rPr>
        <w:t>).</w:t>
      </w:r>
      <w:r w:rsidR="00786508">
        <w:rPr>
          <w:rFonts w:cs="Times New Roman"/>
          <w:sz w:val="22"/>
        </w:rPr>
        <w:t xml:space="preserve"> </w:t>
      </w:r>
      <w:r w:rsidRPr="00BA1B5B">
        <w:rPr>
          <w:rFonts w:cs="Times New Roman"/>
          <w:sz w:val="22"/>
        </w:rPr>
        <w:t xml:space="preserve">There are two explanations to this switch. On the one hand it can be argued that China remained competitive in the market compared to the EU despite the higher CU tariffs. On the other hand, there is also the possibility that the variety and quality of imports within each HS-2 product category changed, ultimately affecting the benefits accruing to consumers </w:t>
      </w:r>
      <w:r w:rsidRPr="00BA1B5B">
        <w:rPr>
          <w:rFonts w:cs="Times New Roman"/>
          <w:sz w:val="22"/>
        </w:rPr>
        <w:lastRenderedPageBreak/>
        <w:t>and producers in Kazakhstan. This note does not have the appropriate data to access such variety and quality shift</w:t>
      </w:r>
      <w:r w:rsidR="0045640F">
        <w:rPr>
          <w:rFonts w:cs="Times New Roman"/>
          <w:sz w:val="22"/>
        </w:rPr>
        <w:t>s</w:t>
      </w:r>
      <w:r w:rsidRPr="00BA1B5B">
        <w:rPr>
          <w:rFonts w:cs="Times New Roman"/>
          <w:sz w:val="22"/>
        </w:rPr>
        <w:t xml:space="preserve">. </w:t>
      </w:r>
    </w:p>
    <w:tbl>
      <w:tblPr>
        <w:tblW w:w="9753" w:type="dxa"/>
        <w:tblInd w:w="93" w:type="dxa"/>
        <w:tblLayout w:type="fixed"/>
        <w:tblLook w:val="04A0" w:firstRow="1" w:lastRow="0" w:firstColumn="1" w:lastColumn="0" w:noHBand="0" w:noVBand="1"/>
      </w:tblPr>
      <w:tblGrid>
        <w:gridCol w:w="2553"/>
        <w:gridCol w:w="1028"/>
        <w:gridCol w:w="1029"/>
        <w:gridCol w:w="1028"/>
        <w:gridCol w:w="1029"/>
        <w:gridCol w:w="1028"/>
        <w:gridCol w:w="1029"/>
        <w:gridCol w:w="1029"/>
      </w:tblGrid>
      <w:tr w:rsidR="002419EC" w:rsidRPr="00A15A8C" w:rsidTr="009644A9">
        <w:trPr>
          <w:trHeight w:val="300"/>
        </w:trPr>
        <w:tc>
          <w:tcPr>
            <w:tcW w:w="9753" w:type="dxa"/>
            <w:gridSpan w:val="8"/>
            <w:tcBorders>
              <w:bottom w:val="single" w:sz="4" w:space="0" w:color="auto"/>
            </w:tcBorders>
            <w:shd w:val="clear" w:color="auto" w:fill="auto"/>
            <w:noWrap/>
            <w:vAlign w:val="bottom"/>
            <w:hideMark/>
          </w:tcPr>
          <w:p w:rsidR="002419EC" w:rsidRPr="002419EC" w:rsidRDefault="002419EC" w:rsidP="002419EC">
            <w:pPr>
              <w:pStyle w:val="Caption"/>
              <w:rPr>
                <w:rFonts w:eastAsia="Times New Roman"/>
              </w:rPr>
            </w:pPr>
            <w:bookmarkStart w:id="16" w:name="_Toc378151212"/>
            <w:r w:rsidRPr="002419EC">
              <w:t xml:space="preserve">Table </w:t>
            </w:r>
            <w:fldSimple w:instr=" SEQ Table \* ARABIC ">
              <w:r w:rsidR="0056192E">
                <w:rPr>
                  <w:noProof/>
                </w:rPr>
                <w:t>4</w:t>
              </w:r>
            </w:fldSimple>
            <w:r w:rsidRPr="002419EC">
              <w:t xml:space="preserve">: </w:t>
            </w:r>
            <w:r w:rsidRPr="002419EC">
              <w:rPr>
                <w:rFonts w:eastAsia="Times New Roman"/>
              </w:rPr>
              <w:t xml:space="preserve">Change in </w:t>
            </w:r>
            <w:r w:rsidR="0045640F">
              <w:rPr>
                <w:rFonts w:eastAsia="Times New Roman"/>
              </w:rPr>
              <w:t xml:space="preserve">Import  </w:t>
            </w:r>
            <w:r w:rsidRPr="002419EC">
              <w:rPr>
                <w:rFonts w:eastAsia="Times New Roman"/>
              </w:rPr>
              <w:t>Share</w:t>
            </w:r>
            <w:r w:rsidR="0045640F">
              <w:rPr>
                <w:rFonts w:eastAsia="Times New Roman"/>
              </w:rPr>
              <w:t>s</w:t>
            </w:r>
            <w:r w:rsidRPr="002419EC">
              <w:rPr>
                <w:rFonts w:eastAsia="Times New Roman"/>
              </w:rPr>
              <w:t xml:space="preserve"> </w:t>
            </w:r>
            <w:r w:rsidR="0045640F">
              <w:rPr>
                <w:rFonts w:eastAsia="Times New Roman"/>
              </w:rPr>
              <w:t>in</w:t>
            </w:r>
            <w:r w:rsidRPr="002419EC">
              <w:rPr>
                <w:rFonts w:eastAsia="Times New Roman"/>
              </w:rPr>
              <w:t xml:space="preserve"> Kazakhstan</w:t>
            </w:r>
            <w:r w:rsidR="0045640F">
              <w:rPr>
                <w:rFonts w:eastAsia="Times New Roman"/>
              </w:rPr>
              <w:t xml:space="preserve">i Market </w:t>
            </w:r>
            <w:r w:rsidRPr="002419EC">
              <w:rPr>
                <w:rFonts w:eastAsia="Times New Roman"/>
              </w:rPr>
              <w:t>Since the Custom Union</w:t>
            </w:r>
            <w:bookmarkEnd w:id="16"/>
          </w:p>
          <w:p w:rsidR="002419EC" w:rsidRPr="00A15A8C" w:rsidRDefault="002419EC" w:rsidP="002419EC">
            <w:pPr>
              <w:spacing w:after="60" w:line="240" w:lineRule="auto"/>
              <w:jc w:val="center"/>
              <w:rPr>
                <w:rFonts w:eastAsia="Times New Roman" w:cs="Times New Roman"/>
                <w:color w:val="000000"/>
                <w:sz w:val="20"/>
                <w:szCs w:val="20"/>
              </w:rPr>
            </w:pPr>
            <w:r w:rsidRPr="002419EC">
              <w:rPr>
                <w:rFonts w:eastAsia="Times New Roman" w:cs="Times New Roman"/>
                <w:bCs/>
                <w:color w:val="000000"/>
                <w:sz w:val="20"/>
                <w:szCs w:val="20"/>
              </w:rPr>
              <w:t>(HS-2 imports, select markets)</w:t>
            </w:r>
          </w:p>
        </w:tc>
      </w:tr>
      <w:tr w:rsidR="002419EC" w:rsidRPr="009644A9" w:rsidTr="009644A9">
        <w:trPr>
          <w:trHeight w:val="144"/>
        </w:trPr>
        <w:tc>
          <w:tcPr>
            <w:tcW w:w="2553" w:type="dxa"/>
            <w:tcBorders>
              <w:top w:val="single" w:sz="4" w:space="0" w:color="auto"/>
              <w:bottom w:val="single" w:sz="4" w:space="0" w:color="auto"/>
            </w:tcBorders>
            <w:shd w:val="clear" w:color="auto" w:fill="auto"/>
            <w:noWrap/>
            <w:vAlign w:val="bottom"/>
            <w:hideMark/>
          </w:tcPr>
          <w:p w:rsidR="00A15A8C" w:rsidRPr="009644A9" w:rsidRDefault="00A15A8C" w:rsidP="00F607C7">
            <w:pPr>
              <w:spacing w:before="60" w:after="60" w:line="240" w:lineRule="auto"/>
              <w:jc w:val="left"/>
              <w:rPr>
                <w:rFonts w:eastAsia="Times New Roman" w:cs="Times New Roman"/>
                <w:color w:val="000000"/>
                <w:sz w:val="20"/>
                <w:szCs w:val="20"/>
              </w:rPr>
            </w:pPr>
            <w:r w:rsidRPr="009644A9">
              <w:rPr>
                <w:rFonts w:eastAsia="Times New Roman" w:cs="Times New Roman"/>
                <w:color w:val="000000"/>
                <w:sz w:val="20"/>
                <w:szCs w:val="20"/>
              </w:rPr>
              <w:t> </w:t>
            </w:r>
          </w:p>
        </w:tc>
        <w:tc>
          <w:tcPr>
            <w:tcW w:w="1028" w:type="dxa"/>
            <w:tcBorders>
              <w:top w:val="single" w:sz="4" w:space="0" w:color="auto"/>
              <w:bottom w:val="single" w:sz="4" w:space="0" w:color="auto"/>
            </w:tcBorders>
            <w:shd w:val="clear" w:color="auto" w:fill="auto"/>
            <w:noWrap/>
            <w:vAlign w:val="bottom"/>
            <w:hideMark/>
          </w:tcPr>
          <w:p w:rsidR="00A15A8C" w:rsidRPr="009644A9" w:rsidRDefault="00A15A8C" w:rsidP="00F607C7">
            <w:pPr>
              <w:spacing w:before="60" w:after="60" w:line="240" w:lineRule="auto"/>
              <w:jc w:val="center"/>
              <w:rPr>
                <w:rFonts w:eastAsia="Times New Roman" w:cs="Times New Roman"/>
                <w:bCs/>
                <w:color w:val="000000"/>
                <w:sz w:val="20"/>
                <w:szCs w:val="20"/>
              </w:rPr>
            </w:pPr>
            <w:r w:rsidRPr="009644A9">
              <w:rPr>
                <w:rFonts w:eastAsia="Times New Roman" w:cs="Times New Roman"/>
                <w:bCs/>
                <w:color w:val="000000"/>
                <w:sz w:val="20"/>
                <w:szCs w:val="20"/>
              </w:rPr>
              <w:t>Share</w:t>
            </w:r>
          </w:p>
        </w:tc>
        <w:tc>
          <w:tcPr>
            <w:tcW w:w="1029" w:type="dxa"/>
            <w:tcBorders>
              <w:top w:val="single" w:sz="4" w:space="0" w:color="auto"/>
              <w:bottom w:val="single" w:sz="4" w:space="0" w:color="auto"/>
            </w:tcBorders>
            <w:shd w:val="clear" w:color="auto" w:fill="auto"/>
            <w:noWrap/>
            <w:vAlign w:val="bottom"/>
            <w:hideMark/>
          </w:tcPr>
          <w:p w:rsidR="00A15A8C" w:rsidRPr="009644A9" w:rsidRDefault="00A15A8C" w:rsidP="00F607C7">
            <w:pPr>
              <w:spacing w:before="60" w:after="60" w:line="240" w:lineRule="auto"/>
              <w:jc w:val="center"/>
              <w:rPr>
                <w:rFonts w:eastAsia="Times New Roman" w:cs="Times New Roman"/>
                <w:bCs/>
                <w:color w:val="000000"/>
                <w:sz w:val="20"/>
                <w:szCs w:val="20"/>
              </w:rPr>
            </w:pPr>
            <w:r w:rsidRPr="009644A9">
              <w:rPr>
                <w:rFonts w:eastAsia="Times New Roman" w:cs="Times New Roman"/>
                <w:bCs/>
                <w:color w:val="000000"/>
                <w:sz w:val="20"/>
                <w:szCs w:val="20"/>
              </w:rPr>
              <w:t>CU Partners</w:t>
            </w:r>
          </w:p>
        </w:tc>
        <w:tc>
          <w:tcPr>
            <w:tcW w:w="1028" w:type="dxa"/>
            <w:tcBorders>
              <w:top w:val="single" w:sz="4" w:space="0" w:color="auto"/>
              <w:bottom w:val="single" w:sz="4" w:space="0" w:color="auto"/>
            </w:tcBorders>
            <w:shd w:val="clear" w:color="auto" w:fill="auto"/>
            <w:noWrap/>
            <w:vAlign w:val="bottom"/>
            <w:hideMark/>
          </w:tcPr>
          <w:p w:rsidR="00A15A8C" w:rsidRPr="009644A9" w:rsidRDefault="00A15A8C" w:rsidP="00F607C7">
            <w:pPr>
              <w:spacing w:before="60" w:after="60" w:line="240" w:lineRule="auto"/>
              <w:jc w:val="center"/>
              <w:rPr>
                <w:rFonts w:eastAsia="Times New Roman" w:cs="Times New Roman"/>
                <w:bCs/>
                <w:color w:val="000000"/>
                <w:sz w:val="20"/>
                <w:szCs w:val="20"/>
              </w:rPr>
            </w:pPr>
            <w:r w:rsidRPr="009644A9">
              <w:rPr>
                <w:rFonts w:eastAsia="Times New Roman" w:cs="Times New Roman"/>
                <w:bCs/>
                <w:color w:val="000000"/>
                <w:sz w:val="20"/>
                <w:szCs w:val="20"/>
              </w:rPr>
              <w:t>China</w:t>
            </w:r>
          </w:p>
        </w:tc>
        <w:tc>
          <w:tcPr>
            <w:tcW w:w="1029" w:type="dxa"/>
            <w:tcBorders>
              <w:top w:val="single" w:sz="4" w:space="0" w:color="auto"/>
              <w:bottom w:val="single" w:sz="4" w:space="0" w:color="auto"/>
            </w:tcBorders>
            <w:shd w:val="clear" w:color="auto" w:fill="auto"/>
            <w:noWrap/>
            <w:vAlign w:val="bottom"/>
            <w:hideMark/>
          </w:tcPr>
          <w:p w:rsidR="00A15A8C" w:rsidRPr="009644A9" w:rsidRDefault="00A15A8C" w:rsidP="00F607C7">
            <w:pPr>
              <w:spacing w:before="60" w:after="60" w:line="240" w:lineRule="auto"/>
              <w:jc w:val="center"/>
              <w:rPr>
                <w:rFonts w:eastAsia="Times New Roman" w:cs="Times New Roman"/>
                <w:bCs/>
                <w:color w:val="000000"/>
                <w:sz w:val="20"/>
                <w:szCs w:val="20"/>
              </w:rPr>
            </w:pPr>
            <w:r w:rsidRPr="009644A9">
              <w:rPr>
                <w:rFonts w:eastAsia="Times New Roman" w:cs="Times New Roman"/>
                <w:bCs/>
                <w:color w:val="000000"/>
                <w:sz w:val="20"/>
                <w:szCs w:val="20"/>
              </w:rPr>
              <w:t>EU 27</w:t>
            </w:r>
          </w:p>
        </w:tc>
        <w:tc>
          <w:tcPr>
            <w:tcW w:w="1028" w:type="dxa"/>
            <w:tcBorders>
              <w:top w:val="single" w:sz="4" w:space="0" w:color="auto"/>
              <w:bottom w:val="single" w:sz="4" w:space="0" w:color="auto"/>
            </w:tcBorders>
            <w:shd w:val="clear" w:color="auto" w:fill="auto"/>
            <w:noWrap/>
            <w:vAlign w:val="bottom"/>
            <w:hideMark/>
          </w:tcPr>
          <w:p w:rsidR="00A15A8C" w:rsidRPr="009644A9" w:rsidRDefault="00A15A8C" w:rsidP="00F607C7">
            <w:pPr>
              <w:spacing w:before="60" w:after="60" w:line="240" w:lineRule="auto"/>
              <w:jc w:val="center"/>
              <w:rPr>
                <w:rFonts w:eastAsia="Times New Roman" w:cs="Times New Roman"/>
                <w:bCs/>
                <w:color w:val="000000"/>
                <w:sz w:val="20"/>
                <w:szCs w:val="20"/>
              </w:rPr>
            </w:pPr>
            <w:r w:rsidRPr="009644A9">
              <w:rPr>
                <w:rFonts w:eastAsia="Times New Roman" w:cs="Times New Roman"/>
                <w:bCs/>
                <w:color w:val="000000"/>
                <w:sz w:val="20"/>
                <w:szCs w:val="20"/>
              </w:rPr>
              <w:t>N. America</w:t>
            </w:r>
          </w:p>
        </w:tc>
        <w:tc>
          <w:tcPr>
            <w:tcW w:w="1029" w:type="dxa"/>
            <w:tcBorders>
              <w:top w:val="single" w:sz="4" w:space="0" w:color="auto"/>
              <w:bottom w:val="single" w:sz="4" w:space="0" w:color="auto"/>
            </w:tcBorders>
            <w:shd w:val="clear" w:color="auto" w:fill="auto"/>
            <w:noWrap/>
            <w:vAlign w:val="bottom"/>
            <w:hideMark/>
          </w:tcPr>
          <w:p w:rsidR="00A15A8C" w:rsidRPr="009644A9" w:rsidRDefault="00A15A8C" w:rsidP="00F607C7">
            <w:pPr>
              <w:spacing w:before="60" w:after="60" w:line="240" w:lineRule="auto"/>
              <w:jc w:val="center"/>
              <w:rPr>
                <w:rFonts w:eastAsia="Times New Roman" w:cs="Times New Roman"/>
                <w:bCs/>
                <w:color w:val="000000"/>
                <w:sz w:val="20"/>
                <w:szCs w:val="20"/>
              </w:rPr>
            </w:pPr>
            <w:r w:rsidRPr="009644A9">
              <w:rPr>
                <w:rFonts w:eastAsia="Times New Roman" w:cs="Times New Roman"/>
                <w:bCs/>
                <w:color w:val="000000"/>
                <w:sz w:val="20"/>
                <w:szCs w:val="20"/>
              </w:rPr>
              <w:t>Rest of Asia</w:t>
            </w:r>
          </w:p>
        </w:tc>
        <w:tc>
          <w:tcPr>
            <w:tcW w:w="1029" w:type="dxa"/>
            <w:tcBorders>
              <w:top w:val="single" w:sz="4" w:space="0" w:color="auto"/>
              <w:bottom w:val="single" w:sz="4" w:space="0" w:color="auto"/>
            </w:tcBorders>
            <w:shd w:val="clear" w:color="auto" w:fill="auto"/>
            <w:noWrap/>
            <w:vAlign w:val="bottom"/>
            <w:hideMark/>
          </w:tcPr>
          <w:p w:rsidR="00A15A8C" w:rsidRPr="009644A9" w:rsidRDefault="00A15A8C" w:rsidP="00F607C7">
            <w:pPr>
              <w:spacing w:before="60" w:after="60" w:line="240" w:lineRule="auto"/>
              <w:jc w:val="center"/>
              <w:rPr>
                <w:rFonts w:eastAsia="Times New Roman" w:cs="Times New Roman"/>
                <w:bCs/>
                <w:color w:val="000000"/>
                <w:sz w:val="20"/>
                <w:szCs w:val="20"/>
              </w:rPr>
            </w:pPr>
            <w:r w:rsidRPr="009644A9">
              <w:rPr>
                <w:rFonts w:eastAsia="Times New Roman" w:cs="Times New Roman"/>
                <w:bCs/>
                <w:color w:val="000000"/>
                <w:sz w:val="20"/>
                <w:szCs w:val="20"/>
              </w:rPr>
              <w:t>Non-CU CIS</w:t>
            </w:r>
          </w:p>
        </w:tc>
      </w:tr>
      <w:tr w:rsidR="002419EC" w:rsidRPr="00A15A8C" w:rsidTr="009644A9">
        <w:trPr>
          <w:trHeight w:val="144"/>
        </w:trPr>
        <w:tc>
          <w:tcPr>
            <w:tcW w:w="2553" w:type="dxa"/>
            <w:tcBorders>
              <w:top w:val="single" w:sz="4" w:space="0" w:color="auto"/>
            </w:tcBorders>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84-85 Mach/Elec</w:t>
            </w:r>
          </w:p>
        </w:tc>
        <w:tc>
          <w:tcPr>
            <w:tcW w:w="1028" w:type="dxa"/>
            <w:tcBorders>
              <w:top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24.0</w:t>
            </w:r>
          </w:p>
        </w:tc>
        <w:tc>
          <w:tcPr>
            <w:tcW w:w="1029" w:type="dxa"/>
            <w:tcBorders>
              <w:top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4.9</w:t>
            </w:r>
          </w:p>
        </w:tc>
        <w:tc>
          <w:tcPr>
            <w:tcW w:w="1028" w:type="dxa"/>
            <w:tcBorders>
              <w:top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10.5</w:t>
            </w:r>
          </w:p>
        </w:tc>
        <w:tc>
          <w:tcPr>
            <w:tcW w:w="1029" w:type="dxa"/>
            <w:tcBorders>
              <w:top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-8.0</w:t>
            </w:r>
          </w:p>
        </w:tc>
        <w:tc>
          <w:tcPr>
            <w:tcW w:w="1028" w:type="dxa"/>
            <w:tcBorders>
              <w:top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-2.4</w:t>
            </w:r>
          </w:p>
        </w:tc>
        <w:tc>
          <w:tcPr>
            <w:tcW w:w="1029" w:type="dxa"/>
            <w:tcBorders>
              <w:top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1.9</w:t>
            </w:r>
          </w:p>
        </w:tc>
        <w:tc>
          <w:tcPr>
            <w:tcW w:w="1029" w:type="dxa"/>
            <w:tcBorders>
              <w:top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-0.5</w:t>
            </w:r>
          </w:p>
        </w:tc>
      </w:tr>
      <w:tr w:rsidR="002419EC" w:rsidRPr="00A15A8C" w:rsidTr="009644A9">
        <w:trPr>
          <w:trHeight w:val="144"/>
        </w:trPr>
        <w:tc>
          <w:tcPr>
            <w:tcW w:w="2553" w:type="dxa"/>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86-89 Transportation</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13.9</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8.2</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6.7</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-9.7</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-3.8</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-7.0</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5.7</w:t>
            </w:r>
          </w:p>
        </w:tc>
      </w:tr>
      <w:tr w:rsidR="002419EC" w:rsidRPr="00A15A8C" w:rsidTr="009644A9">
        <w:trPr>
          <w:trHeight w:val="144"/>
        </w:trPr>
        <w:tc>
          <w:tcPr>
            <w:tcW w:w="2553" w:type="dxa"/>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25-27 Minerals</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12.7</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4.3</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-0.4</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-0.6</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-0.2</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0.2</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-3.4</w:t>
            </w:r>
          </w:p>
        </w:tc>
      </w:tr>
      <w:tr w:rsidR="002419EC" w:rsidRPr="00A15A8C" w:rsidTr="009644A9">
        <w:trPr>
          <w:trHeight w:val="144"/>
        </w:trPr>
        <w:tc>
          <w:tcPr>
            <w:tcW w:w="2553" w:type="dxa"/>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72-83 Metals</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12.3</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12.5</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-3.2</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-3.4</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0.8</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0.3</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-6.1</w:t>
            </w:r>
          </w:p>
        </w:tc>
      </w:tr>
      <w:tr w:rsidR="002419EC" w:rsidRPr="00A15A8C" w:rsidTr="009644A9">
        <w:trPr>
          <w:trHeight w:val="144"/>
        </w:trPr>
        <w:tc>
          <w:tcPr>
            <w:tcW w:w="2553" w:type="dxa"/>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28-38 Chemicals</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8.2</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1.7</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0.1</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-4.4</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1.5</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0.7</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0.4</w:t>
            </w:r>
          </w:p>
        </w:tc>
      </w:tr>
      <w:tr w:rsidR="002419EC" w:rsidRPr="00A15A8C" w:rsidTr="009644A9">
        <w:trPr>
          <w:trHeight w:val="144"/>
        </w:trPr>
        <w:tc>
          <w:tcPr>
            <w:tcW w:w="2553" w:type="dxa"/>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16-24 Foodstuffs</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4.9</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4.1</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-0.2</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-1.7</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-0.1</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-0.1</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1.0</w:t>
            </w:r>
          </w:p>
        </w:tc>
      </w:tr>
      <w:tr w:rsidR="002419EC" w:rsidRPr="00A15A8C" w:rsidTr="009644A9">
        <w:trPr>
          <w:trHeight w:val="144"/>
        </w:trPr>
        <w:tc>
          <w:tcPr>
            <w:tcW w:w="2553" w:type="dxa"/>
            <w:shd w:val="clear" w:color="auto" w:fill="auto"/>
            <w:noWrap/>
            <w:vAlign w:val="bottom"/>
            <w:hideMark/>
          </w:tcPr>
          <w:p w:rsidR="00A15A8C" w:rsidRPr="002419EC" w:rsidRDefault="00A15A8C" w:rsidP="002419E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39-40 Plastic/Rubber</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4.7</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6.6</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1.8</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-7.2</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-1.7</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2.1</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-1.1</w:t>
            </w:r>
          </w:p>
        </w:tc>
      </w:tr>
      <w:tr w:rsidR="002419EC" w:rsidRPr="00A15A8C" w:rsidTr="009644A9">
        <w:trPr>
          <w:trHeight w:val="144"/>
        </w:trPr>
        <w:tc>
          <w:tcPr>
            <w:tcW w:w="2553" w:type="dxa"/>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90-97 Miscellaneous</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4.6</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12.7</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-4.2</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-4.2</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-1.1</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-1.1</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0.1</w:t>
            </w:r>
          </w:p>
        </w:tc>
      </w:tr>
      <w:tr w:rsidR="002419EC" w:rsidRPr="00A15A8C" w:rsidTr="009644A9">
        <w:trPr>
          <w:trHeight w:val="144"/>
        </w:trPr>
        <w:tc>
          <w:tcPr>
            <w:tcW w:w="2553" w:type="dxa"/>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44-49 Wood</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3.7</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-4.7</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0.5</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-8.1</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10.4</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0.4</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1.2</w:t>
            </w:r>
          </w:p>
        </w:tc>
      </w:tr>
      <w:tr w:rsidR="002419EC" w:rsidRPr="00A15A8C" w:rsidTr="009644A9">
        <w:trPr>
          <w:trHeight w:val="144"/>
        </w:trPr>
        <w:tc>
          <w:tcPr>
            <w:tcW w:w="2553" w:type="dxa"/>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06-15 Vegetable</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2.7</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-13.2</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1.2</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-1.2</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0.1</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-4.3</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23.6</w:t>
            </w:r>
          </w:p>
        </w:tc>
      </w:tr>
      <w:tr w:rsidR="002419EC" w:rsidRPr="00A15A8C" w:rsidTr="009644A9">
        <w:trPr>
          <w:trHeight w:val="144"/>
        </w:trPr>
        <w:tc>
          <w:tcPr>
            <w:tcW w:w="2553" w:type="dxa"/>
            <w:shd w:val="clear" w:color="auto" w:fill="auto"/>
            <w:noWrap/>
            <w:vAlign w:val="bottom"/>
            <w:hideMark/>
          </w:tcPr>
          <w:p w:rsidR="00A15A8C" w:rsidRPr="002419EC" w:rsidRDefault="00A15A8C" w:rsidP="002419E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68-71 Stone/Glass</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2.5</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8.3</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-3.7</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-2.1</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0.3</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-0.2</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-0.7</w:t>
            </w:r>
          </w:p>
        </w:tc>
      </w:tr>
      <w:tr w:rsidR="002419EC" w:rsidRPr="00A15A8C" w:rsidTr="009644A9">
        <w:trPr>
          <w:trHeight w:val="144"/>
        </w:trPr>
        <w:tc>
          <w:tcPr>
            <w:tcW w:w="2553" w:type="dxa"/>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50-63 Textiles, Clothing</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2.5</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-4.8</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11.4</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-11.8</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-0.8</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1.7</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1.6</w:t>
            </w:r>
          </w:p>
        </w:tc>
      </w:tr>
      <w:tr w:rsidR="002419EC" w:rsidRPr="00A15A8C" w:rsidTr="009644A9">
        <w:trPr>
          <w:trHeight w:val="144"/>
        </w:trPr>
        <w:tc>
          <w:tcPr>
            <w:tcW w:w="2553" w:type="dxa"/>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01-05 Animal</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1.9</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0.7</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-0.8</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4.2</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2.8</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0.2</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-6.2</w:t>
            </w:r>
          </w:p>
        </w:tc>
      </w:tr>
      <w:tr w:rsidR="002419EC" w:rsidRPr="00A15A8C" w:rsidTr="009644A9">
        <w:trPr>
          <w:trHeight w:val="144"/>
        </w:trPr>
        <w:tc>
          <w:tcPr>
            <w:tcW w:w="2553" w:type="dxa"/>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64-67 Footwear</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0.8</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-3.4</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30.7</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-13.1</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-1.8</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-5.3</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-2.6</w:t>
            </w:r>
          </w:p>
        </w:tc>
      </w:tr>
      <w:tr w:rsidR="002419EC" w:rsidRPr="00A15A8C" w:rsidTr="009644A9">
        <w:trPr>
          <w:trHeight w:val="144"/>
        </w:trPr>
        <w:tc>
          <w:tcPr>
            <w:tcW w:w="2553" w:type="dxa"/>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98-99 Special</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0.4</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0.2</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0.1</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-0.4</w:t>
            </w:r>
          </w:p>
        </w:tc>
        <w:tc>
          <w:tcPr>
            <w:tcW w:w="1028"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-13.9</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-0.9</w:t>
            </w:r>
          </w:p>
        </w:tc>
        <w:tc>
          <w:tcPr>
            <w:tcW w:w="1029" w:type="dxa"/>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11.0</w:t>
            </w:r>
          </w:p>
        </w:tc>
      </w:tr>
      <w:tr w:rsidR="002419EC" w:rsidRPr="00A15A8C" w:rsidTr="009644A9">
        <w:trPr>
          <w:trHeight w:val="144"/>
        </w:trPr>
        <w:tc>
          <w:tcPr>
            <w:tcW w:w="2553" w:type="dxa"/>
            <w:tcBorders>
              <w:bottom w:val="single" w:sz="4" w:space="0" w:color="auto"/>
            </w:tcBorders>
            <w:shd w:val="clear" w:color="auto" w:fill="auto"/>
            <w:noWrap/>
            <w:vAlign w:val="bottom"/>
            <w:hideMark/>
          </w:tcPr>
          <w:p w:rsidR="00A15A8C" w:rsidRPr="002419EC" w:rsidRDefault="00A15A8C" w:rsidP="00A15A8C">
            <w:pPr>
              <w:spacing w:after="0" w:line="240" w:lineRule="auto"/>
              <w:jc w:val="left"/>
              <w:rPr>
                <w:rFonts w:eastAsia="Times New Roman" w:cs="Times New Roman"/>
                <w:color w:val="000000"/>
                <w:sz w:val="20"/>
                <w:szCs w:val="20"/>
              </w:rPr>
            </w:pPr>
            <w:r w:rsidRPr="002419EC">
              <w:rPr>
                <w:rFonts w:eastAsia="Times New Roman" w:cs="Times New Roman"/>
                <w:color w:val="000000"/>
                <w:sz w:val="20"/>
                <w:szCs w:val="20"/>
              </w:rPr>
              <w:t>41-43 Hides, Skins</w:t>
            </w:r>
          </w:p>
        </w:tc>
        <w:tc>
          <w:tcPr>
            <w:tcW w:w="1028" w:type="dxa"/>
            <w:tcBorders>
              <w:bottom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0.2</w:t>
            </w:r>
          </w:p>
        </w:tc>
        <w:tc>
          <w:tcPr>
            <w:tcW w:w="1029" w:type="dxa"/>
            <w:tcBorders>
              <w:bottom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2.4</w:t>
            </w:r>
          </w:p>
        </w:tc>
        <w:tc>
          <w:tcPr>
            <w:tcW w:w="1028" w:type="dxa"/>
            <w:tcBorders>
              <w:bottom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13.3</w:t>
            </w:r>
          </w:p>
        </w:tc>
        <w:tc>
          <w:tcPr>
            <w:tcW w:w="1029" w:type="dxa"/>
            <w:tcBorders>
              <w:bottom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-14.2</w:t>
            </w:r>
          </w:p>
        </w:tc>
        <w:tc>
          <w:tcPr>
            <w:tcW w:w="1028" w:type="dxa"/>
            <w:tcBorders>
              <w:bottom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-0.4</w:t>
            </w:r>
          </w:p>
        </w:tc>
        <w:tc>
          <w:tcPr>
            <w:tcW w:w="1029" w:type="dxa"/>
            <w:tcBorders>
              <w:bottom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-0.9</w:t>
            </w:r>
          </w:p>
        </w:tc>
        <w:tc>
          <w:tcPr>
            <w:tcW w:w="1029" w:type="dxa"/>
            <w:tcBorders>
              <w:bottom w:val="single" w:sz="4" w:space="0" w:color="auto"/>
            </w:tcBorders>
            <w:shd w:val="clear" w:color="auto" w:fill="auto"/>
            <w:noWrap/>
            <w:vAlign w:val="bottom"/>
            <w:hideMark/>
          </w:tcPr>
          <w:p w:rsidR="00A15A8C" w:rsidRPr="002419EC" w:rsidRDefault="00A15A8C" w:rsidP="00AE33EF">
            <w:pPr>
              <w:spacing w:after="0" w:line="240" w:lineRule="auto"/>
              <w:ind w:right="245"/>
              <w:jc w:val="right"/>
              <w:rPr>
                <w:rFonts w:eastAsia="Times New Roman" w:cs="Times New Roman"/>
                <w:color w:val="000000"/>
                <w:sz w:val="20"/>
                <w:szCs w:val="20"/>
              </w:rPr>
            </w:pPr>
            <w:r w:rsidRPr="002419EC">
              <w:rPr>
                <w:rFonts w:eastAsia="Times New Roman" w:cs="Times New Roman"/>
                <w:color w:val="000000"/>
                <w:sz w:val="20"/>
                <w:szCs w:val="20"/>
              </w:rPr>
              <w:t>0.0</w:t>
            </w:r>
          </w:p>
        </w:tc>
      </w:tr>
      <w:tr w:rsidR="00A15A8C" w:rsidRPr="00A15A8C" w:rsidTr="009644A9">
        <w:trPr>
          <w:trHeight w:val="300"/>
        </w:trPr>
        <w:tc>
          <w:tcPr>
            <w:tcW w:w="9753" w:type="dxa"/>
            <w:gridSpan w:val="8"/>
            <w:tcBorders>
              <w:top w:val="single" w:sz="4" w:space="0" w:color="auto"/>
            </w:tcBorders>
            <w:shd w:val="clear" w:color="auto" w:fill="auto"/>
            <w:noWrap/>
            <w:vAlign w:val="bottom"/>
            <w:hideMark/>
          </w:tcPr>
          <w:p w:rsidR="002419EC" w:rsidRPr="00AE33EF" w:rsidRDefault="00A15A8C" w:rsidP="00AE33EF">
            <w:pPr>
              <w:spacing w:before="120" w:after="0" w:line="240" w:lineRule="auto"/>
              <w:ind w:right="245"/>
              <w:jc w:val="left"/>
              <w:rPr>
                <w:rFonts w:eastAsia="Times New Roman" w:cs="Times New Roman"/>
                <w:color w:val="000000"/>
                <w:sz w:val="20"/>
                <w:szCs w:val="20"/>
              </w:rPr>
            </w:pPr>
            <w:r w:rsidRPr="00AE33EF">
              <w:rPr>
                <w:rFonts w:eastAsia="Times New Roman" w:cs="Times New Roman"/>
                <w:color w:val="000000"/>
                <w:sz w:val="20"/>
                <w:szCs w:val="20"/>
              </w:rPr>
              <w:t xml:space="preserve">Source: Official data and World Bank staff calculations. </w:t>
            </w:r>
          </w:p>
          <w:p w:rsidR="00A15A8C" w:rsidRPr="00AE33EF" w:rsidRDefault="00A15A8C" w:rsidP="00AE33EF">
            <w:pPr>
              <w:spacing w:after="0" w:line="240" w:lineRule="auto"/>
              <w:ind w:right="245"/>
              <w:jc w:val="left"/>
              <w:rPr>
                <w:rFonts w:eastAsia="Times New Roman" w:cs="Times New Roman"/>
                <w:color w:val="000000"/>
                <w:sz w:val="20"/>
                <w:szCs w:val="20"/>
              </w:rPr>
            </w:pPr>
            <w:r w:rsidRPr="00AE33EF">
              <w:rPr>
                <w:rFonts w:eastAsia="Times New Roman" w:cs="Times New Roman"/>
                <w:color w:val="000000"/>
                <w:sz w:val="20"/>
                <w:szCs w:val="20"/>
              </w:rPr>
              <w:t>Note: '+' means an increase in 2010-12 compared to 2007</w:t>
            </w:r>
            <w:r w:rsidR="00B10FD8" w:rsidRPr="00AE33EF">
              <w:rPr>
                <w:rFonts w:eastAsia="Times New Roman" w:cs="Times New Roman"/>
                <w:color w:val="000000"/>
                <w:sz w:val="20"/>
                <w:szCs w:val="20"/>
              </w:rPr>
              <w:t>-</w:t>
            </w:r>
            <w:r w:rsidRPr="00AE33EF">
              <w:rPr>
                <w:rFonts w:eastAsia="Times New Roman" w:cs="Times New Roman"/>
                <w:color w:val="000000"/>
                <w:sz w:val="20"/>
                <w:szCs w:val="20"/>
              </w:rPr>
              <w:t>09)</w:t>
            </w:r>
            <w:r w:rsidR="009644A9" w:rsidRPr="00AE33EF">
              <w:rPr>
                <w:rFonts w:eastAsia="Times New Roman" w:cs="Times New Roman"/>
                <w:color w:val="000000"/>
                <w:sz w:val="20"/>
                <w:szCs w:val="20"/>
              </w:rPr>
              <w:t>.</w:t>
            </w:r>
          </w:p>
        </w:tc>
      </w:tr>
    </w:tbl>
    <w:p w:rsidR="006F0A8E" w:rsidRDefault="006F0A8E" w:rsidP="0096342D">
      <w:pPr>
        <w:pStyle w:val="ListParagraph"/>
        <w:tabs>
          <w:tab w:val="left" w:pos="720"/>
        </w:tabs>
        <w:spacing w:after="0" w:line="240" w:lineRule="auto"/>
        <w:ind w:left="0"/>
        <w:contextualSpacing w:val="0"/>
        <w:rPr>
          <w:rFonts w:cs="Times New Roman"/>
          <w:b/>
          <w:sz w:val="22"/>
        </w:rPr>
      </w:pPr>
    </w:p>
    <w:p w:rsidR="0096342D" w:rsidRPr="0096342D" w:rsidRDefault="0096342D" w:rsidP="00A13D36">
      <w:pPr>
        <w:pStyle w:val="Caption"/>
        <w:keepNext/>
        <w:spacing w:after="0"/>
        <w:rPr>
          <w:sz w:val="22"/>
          <w:szCs w:val="22"/>
        </w:rPr>
      </w:pPr>
    </w:p>
    <w:tbl>
      <w:tblPr>
        <w:tblW w:w="9864" w:type="dxa"/>
        <w:jc w:val="center"/>
        <w:tblLayout w:type="fixed"/>
        <w:tblLook w:val="04A0" w:firstRow="1" w:lastRow="0" w:firstColumn="1" w:lastColumn="0" w:noHBand="0" w:noVBand="1"/>
      </w:tblPr>
      <w:tblGrid>
        <w:gridCol w:w="2394"/>
        <w:gridCol w:w="622"/>
        <w:gridCol w:w="623"/>
        <w:gridCol w:w="622"/>
        <w:gridCol w:w="623"/>
        <w:gridCol w:w="622"/>
        <w:gridCol w:w="623"/>
        <w:gridCol w:w="622"/>
        <w:gridCol w:w="623"/>
        <w:gridCol w:w="622"/>
        <w:gridCol w:w="623"/>
        <w:gridCol w:w="622"/>
        <w:gridCol w:w="623"/>
      </w:tblGrid>
      <w:tr w:rsidR="0096342D" w:rsidRPr="0096342D" w:rsidTr="00034D0F">
        <w:trPr>
          <w:trHeight w:val="144"/>
          <w:jc w:val="center"/>
        </w:trPr>
        <w:tc>
          <w:tcPr>
            <w:tcW w:w="9864" w:type="dxa"/>
            <w:gridSpan w:val="13"/>
            <w:tcBorders>
              <w:bottom w:val="single" w:sz="4" w:space="0" w:color="auto"/>
            </w:tcBorders>
            <w:shd w:val="clear" w:color="auto" w:fill="auto"/>
            <w:noWrap/>
            <w:vAlign w:val="bottom"/>
            <w:hideMark/>
          </w:tcPr>
          <w:p w:rsidR="0096342D" w:rsidRDefault="0096342D" w:rsidP="0096342D">
            <w:pPr>
              <w:pStyle w:val="Caption"/>
              <w:rPr>
                <w:rFonts w:eastAsia="Times New Roman"/>
              </w:rPr>
            </w:pPr>
            <w:bookmarkStart w:id="17" w:name="_Toc378151213"/>
            <w:r>
              <w:t xml:space="preserve">Table </w:t>
            </w:r>
            <w:fldSimple w:instr=" SEQ Table \* ARABIC ">
              <w:r w:rsidR="0056192E">
                <w:rPr>
                  <w:noProof/>
                </w:rPr>
                <w:t>5</w:t>
              </w:r>
            </w:fldSimple>
            <w:r>
              <w:t xml:space="preserve">: </w:t>
            </w:r>
            <w:r w:rsidRPr="0096342D">
              <w:rPr>
                <w:rFonts w:eastAsia="Times New Roman"/>
              </w:rPr>
              <w:t xml:space="preserve">Imports </w:t>
            </w:r>
            <w:r w:rsidR="00DE7230">
              <w:rPr>
                <w:rFonts w:eastAsia="Times New Roman"/>
              </w:rPr>
              <w:t>from and Exports t</w:t>
            </w:r>
            <w:r w:rsidR="00DE7230" w:rsidRPr="0096342D">
              <w:rPr>
                <w:rFonts w:eastAsia="Times New Roman"/>
              </w:rPr>
              <w:t xml:space="preserve">o </w:t>
            </w:r>
            <w:r w:rsidRPr="0096342D">
              <w:rPr>
                <w:rFonts w:eastAsia="Times New Roman"/>
              </w:rPr>
              <w:t xml:space="preserve">CU </w:t>
            </w:r>
            <w:r w:rsidR="00DE7230" w:rsidRPr="0096342D">
              <w:rPr>
                <w:rFonts w:eastAsia="Times New Roman"/>
              </w:rPr>
              <w:t>Partners</w:t>
            </w:r>
            <w:bookmarkEnd w:id="17"/>
          </w:p>
          <w:p w:rsidR="0096342D" w:rsidRPr="0096342D" w:rsidRDefault="0096342D" w:rsidP="00B10FD8">
            <w:pPr>
              <w:spacing w:after="60" w:line="240" w:lineRule="auto"/>
              <w:jc w:val="center"/>
              <w:rPr>
                <w:rFonts w:eastAsia="Times New Roman" w:cs="Times New Roman"/>
                <w:color w:val="000000"/>
                <w:sz w:val="19"/>
                <w:szCs w:val="19"/>
              </w:rPr>
            </w:pPr>
            <w:r>
              <w:rPr>
                <w:rFonts w:eastAsia="Times New Roman" w:cs="Times New Roman"/>
                <w:color w:val="000000"/>
                <w:sz w:val="19"/>
                <w:szCs w:val="19"/>
              </w:rPr>
              <w:t>(</w:t>
            </w:r>
            <w:r w:rsidR="0045640F">
              <w:rPr>
                <w:rFonts w:eastAsia="Times New Roman" w:cs="Times New Roman"/>
                <w:color w:val="000000"/>
                <w:sz w:val="19"/>
                <w:szCs w:val="19"/>
              </w:rPr>
              <w:t>Se</w:t>
            </w:r>
            <w:r w:rsidRPr="0096342D">
              <w:rPr>
                <w:rFonts w:eastAsia="Times New Roman" w:cs="Times New Roman"/>
                <w:color w:val="000000"/>
                <w:sz w:val="19"/>
                <w:szCs w:val="19"/>
              </w:rPr>
              <w:t>lect HS2 categories, shares,</w:t>
            </w:r>
            <w:r w:rsidR="00786508">
              <w:rPr>
                <w:rFonts w:eastAsia="Times New Roman" w:cs="Times New Roman"/>
                <w:color w:val="000000"/>
                <w:sz w:val="19"/>
                <w:szCs w:val="19"/>
              </w:rPr>
              <w:t xml:space="preserve"> </w:t>
            </w:r>
            <w:r w:rsidRPr="0096342D">
              <w:rPr>
                <w:rFonts w:eastAsia="Times New Roman" w:cs="Times New Roman"/>
                <w:color w:val="000000"/>
                <w:sz w:val="19"/>
                <w:szCs w:val="19"/>
              </w:rPr>
              <w:t>2007-12)</w:t>
            </w:r>
          </w:p>
        </w:tc>
      </w:tr>
      <w:tr w:rsidR="00034D0F" w:rsidRPr="0096342D" w:rsidTr="00034D0F">
        <w:trPr>
          <w:trHeight w:val="144"/>
          <w:jc w:val="center"/>
        </w:trPr>
        <w:tc>
          <w:tcPr>
            <w:tcW w:w="2394" w:type="dxa"/>
            <w:vMerge w:val="restart"/>
            <w:tcBorders>
              <w:top w:val="single" w:sz="4" w:space="0" w:color="auto"/>
              <w:right w:val="single" w:sz="4" w:space="0" w:color="auto"/>
            </w:tcBorders>
            <w:shd w:val="clear" w:color="auto" w:fill="auto"/>
            <w:noWrap/>
            <w:vAlign w:val="center"/>
            <w:hideMark/>
          </w:tcPr>
          <w:p w:rsidR="00034D0F" w:rsidRPr="0096342D" w:rsidRDefault="00034D0F" w:rsidP="00034D0F">
            <w:pPr>
              <w:spacing w:before="60" w:after="60" w:line="240" w:lineRule="auto"/>
              <w:jc w:val="left"/>
              <w:rPr>
                <w:rFonts w:eastAsia="Times New Roman" w:cs="Times New Roman"/>
                <w:color w:val="000000"/>
                <w:sz w:val="18"/>
                <w:szCs w:val="18"/>
              </w:rPr>
            </w:pPr>
            <w:r w:rsidRPr="0096342D">
              <w:rPr>
                <w:rFonts w:eastAsia="Times New Roman" w:cs="Times New Roman"/>
                <w:color w:val="000000"/>
                <w:sz w:val="18"/>
                <w:szCs w:val="18"/>
              </w:rPr>
              <w:t>HS2 product categories</w:t>
            </w:r>
          </w:p>
        </w:tc>
        <w:tc>
          <w:tcPr>
            <w:tcW w:w="373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D0F" w:rsidRPr="00034D0F"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Import shares (%)</w:t>
            </w:r>
            <w:r w:rsidR="00786508">
              <w:rPr>
                <w:rFonts w:eastAsia="Times New Roman" w:cs="Times New Roman"/>
                <w:color w:val="000000"/>
                <w:sz w:val="18"/>
                <w:szCs w:val="18"/>
              </w:rPr>
              <w:t xml:space="preserve"> </w:t>
            </w:r>
          </w:p>
        </w:tc>
        <w:tc>
          <w:tcPr>
            <w:tcW w:w="3735" w:type="dxa"/>
            <w:gridSpan w:val="6"/>
            <w:tcBorders>
              <w:top w:val="single" w:sz="4" w:space="0" w:color="auto"/>
              <w:left w:val="single" w:sz="4" w:space="0" w:color="auto"/>
              <w:bottom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Export shares (%) </w:t>
            </w:r>
          </w:p>
        </w:tc>
      </w:tr>
      <w:tr w:rsidR="00034D0F" w:rsidRPr="0096342D" w:rsidTr="00034D0F">
        <w:trPr>
          <w:trHeight w:val="144"/>
          <w:jc w:val="center"/>
        </w:trPr>
        <w:tc>
          <w:tcPr>
            <w:tcW w:w="2394" w:type="dxa"/>
            <w:vMerge/>
            <w:tcBorders>
              <w:bottom w:val="single" w:sz="4" w:space="0" w:color="auto"/>
              <w:right w:val="single" w:sz="4" w:space="0" w:color="auto"/>
            </w:tcBorders>
            <w:shd w:val="clear" w:color="auto" w:fill="auto"/>
            <w:noWrap/>
            <w:vAlign w:val="bottom"/>
            <w:hideMark/>
          </w:tcPr>
          <w:p w:rsidR="00034D0F" w:rsidRPr="0096342D" w:rsidRDefault="00034D0F" w:rsidP="00034D0F">
            <w:pPr>
              <w:spacing w:before="60" w:after="60" w:line="240" w:lineRule="auto"/>
              <w:jc w:val="left"/>
              <w:rPr>
                <w:rFonts w:eastAsia="Times New Roman" w:cs="Times New Roman"/>
                <w:color w:val="000000"/>
                <w:sz w:val="18"/>
                <w:szCs w:val="18"/>
              </w:rPr>
            </w:pPr>
          </w:p>
        </w:tc>
        <w:tc>
          <w:tcPr>
            <w:tcW w:w="622" w:type="dxa"/>
            <w:tcBorders>
              <w:left w:val="single" w:sz="4" w:space="0" w:color="auto"/>
              <w:bottom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2007</w:t>
            </w:r>
          </w:p>
        </w:tc>
        <w:tc>
          <w:tcPr>
            <w:tcW w:w="623" w:type="dxa"/>
            <w:tcBorders>
              <w:bottom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2008</w:t>
            </w:r>
          </w:p>
        </w:tc>
        <w:tc>
          <w:tcPr>
            <w:tcW w:w="622" w:type="dxa"/>
            <w:tcBorders>
              <w:top w:val="single" w:sz="4" w:space="0" w:color="auto"/>
              <w:bottom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2009</w:t>
            </w:r>
          </w:p>
        </w:tc>
        <w:tc>
          <w:tcPr>
            <w:tcW w:w="623" w:type="dxa"/>
            <w:tcBorders>
              <w:bottom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2010</w:t>
            </w:r>
          </w:p>
        </w:tc>
        <w:tc>
          <w:tcPr>
            <w:tcW w:w="622" w:type="dxa"/>
            <w:tcBorders>
              <w:bottom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2011</w:t>
            </w:r>
          </w:p>
        </w:tc>
        <w:tc>
          <w:tcPr>
            <w:tcW w:w="623" w:type="dxa"/>
            <w:tcBorders>
              <w:bottom w:val="single" w:sz="4" w:space="0" w:color="auto"/>
              <w:right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2012</w:t>
            </w:r>
          </w:p>
        </w:tc>
        <w:tc>
          <w:tcPr>
            <w:tcW w:w="622" w:type="dxa"/>
            <w:tcBorders>
              <w:left w:val="single" w:sz="4" w:space="0" w:color="auto"/>
              <w:bottom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2007</w:t>
            </w:r>
          </w:p>
        </w:tc>
        <w:tc>
          <w:tcPr>
            <w:tcW w:w="623" w:type="dxa"/>
            <w:tcBorders>
              <w:bottom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2008</w:t>
            </w:r>
          </w:p>
        </w:tc>
        <w:tc>
          <w:tcPr>
            <w:tcW w:w="622" w:type="dxa"/>
            <w:tcBorders>
              <w:bottom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2009</w:t>
            </w:r>
          </w:p>
        </w:tc>
        <w:tc>
          <w:tcPr>
            <w:tcW w:w="623" w:type="dxa"/>
            <w:tcBorders>
              <w:top w:val="single" w:sz="4" w:space="0" w:color="auto"/>
              <w:bottom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2010</w:t>
            </w:r>
          </w:p>
        </w:tc>
        <w:tc>
          <w:tcPr>
            <w:tcW w:w="622" w:type="dxa"/>
            <w:tcBorders>
              <w:bottom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2011</w:t>
            </w:r>
          </w:p>
        </w:tc>
        <w:tc>
          <w:tcPr>
            <w:tcW w:w="623" w:type="dxa"/>
            <w:tcBorders>
              <w:bottom w:val="single" w:sz="4" w:space="0" w:color="auto"/>
            </w:tcBorders>
            <w:shd w:val="clear" w:color="auto" w:fill="auto"/>
            <w:noWrap/>
            <w:vAlign w:val="bottom"/>
            <w:hideMark/>
          </w:tcPr>
          <w:p w:rsidR="00034D0F" w:rsidRPr="0096342D" w:rsidRDefault="00034D0F" w:rsidP="00034D0F">
            <w:pPr>
              <w:spacing w:before="60" w:after="60" w:line="240" w:lineRule="auto"/>
              <w:jc w:val="center"/>
              <w:rPr>
                <w:rFonts w:eastAsia="Times New Roman" w:cs="Times New Roman"/>
                <w:color w:val="000000"/>
                <w:sz w:val="18"/>
                <w:szCs w:val="18"/>
              </w:rPr>
            </w:pPr>
            <w:r w:rsidRPr="0096342D">
              <w:rPr>
                <w:rFonts w:eastAsia="Times New Roman" w:cs="Times New Roman"/>
                <w:color w:val="000000"/>
                <w:sz w:val="18"/>
                <w:szCs w:val="18"/>
              </w:rPr>
              <w:t>2012</w:t>
            </w:r>
          </w:p>
        </w:tc>
      </w:tr>
      <w:tr w:rsidR="002901D2" w:rsidRPr="0096342D" w:rsidTr="00034D0F">
        <w:trPr>
          <w:trHeight w:val="144"/>
          <w:jc w:val="center"/>
        </w:trPr>
        <w:tc>
          <w:tcPr>
            <w:tcW w:w="2394" w:type="dxa"/>
            <w:tcBorders>
              <w:top w:val="single" w:sz="4" w:space="0" w:color="auto"/>
              <w:right w:val="single" w:sz="4" w:space="0" w:color="auto"/>
            </w:tcBorders>
            <w:shd w:val="clear" w:color="auto" w:fill="auto"/>
            <w:noWrap/>
            <w:vAlign w:val="bottom"/>
            <w:hideMark/>
          </w:tcPr>
          <w:p w:rsidR="000C6F62" w:rsidRPr="0096342D" w:rsidRDefault="000C6F62" w:rsidP="000C6F62">
            <w:pPr>
              <w:spacing w:after="0" w:line="240" w:lineRule="auto"/>
              <w:jc w:val="left"/>
              <w:rPr>
                <w:rFonts w:eastAsia="Times New Roman" w:cs="Times New Roman"/>
                <w:color w:val="000000"/>
                <w:sz w:val="18"/>
                <w:szCs w:val="18"/>
              </w:rPr>
            </w:pPr>
            <w:r w:rsidRPr="0096342D">
              <w:rPr>
                <w:rFonts w:eastAsia="Times New Roman" w:cs="Times New Roman"/>
                <w:color w:val="000000"/>
                <w:sz w:val="18"/>
                <w:szCs w:val="18"/>
              </w:rPr>
              <w:t>25-27 Minerals</w:t>
            </w:r>
          </w:p>
        </w:tc>
        <w:tc>
          <w:tcPr>
            <w:tcW w:w="622" w:type="dxa"/>
            <w:tcBorders>
              <w:top w:val="single" w:sz="4" w:space="0" w:color="auto"/>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29</w:t>
            </w:r>
          </w:p>
        </w:tc>
        <w:tc>
          <w:tcPr>
            <w:tcW w:w="623" w:type="dxa"/>
            <w:tcBorders>
              <w:top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35</w:t>
            </w:r>
          </w:p>
        </w:tc>
        <w:tc>
          <w:tcPr>
            <w:tcW w:w="622" w:type="dxa"/>
            <w:tcBorders>
              <w:top w:val="single" w:sz="4" w:space="0" w:color="auto"/>
            </w:tcBorders>
            <w:shd w:val="clear" w:color="auto" w:fill="auto"/>
            <w:noWrap/>
            <w:vAlign w:val="bottom"/>
            <w:hideMark/>
          </w:tcPr>
          <w:p w:rsidR="000C6F62" w:rsidRPr="0096342D" w:rsidRDefault="000C6F62" w:rsidP="00B10FD8">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27</w:t>
            </w:r>
          </w:p>
        </w:tc>
        <w:tc>
          <w:tcPr>
            <w:tcW w:w="623" w:type="dxa"/>
            <w:tcBorders>
              <w:top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32</w:t>
            </w:r>
          </w:p>
        </w:tc>
        <w:tc>
          <w:tcPr>
            <w:tcW w:w="622" w:type="dxa"/>
            <w:tcBorders>
              <w:top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27</w:t>
            </w:r>
          </w:p>
        </w:tc>
        <w:tc>
          <w:tcPr>
            <w:tcW w:w="623" w:type="dxa"/>
            <w:tcBorders>
              <w:top w:val="single" w:sz="4" w:space="0" w:color="auto"/>
              <w:righ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27</w:t>
            </w:r>
          </w:p>
        </w:tc>
        <w:tc>
          <w:tcPr>
            <w:tcW w:w="622" w:type="dxa"/>
            <w:tcBorders>
              <w:top w:val="single" w:sz="4" w:space="0" w:color="auto"/>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46</w:t>
            </w:r>
          </w:p>
        </w:tc>
        <w:tc>
          <w:tcPr>
            <w:tcW w:w="623" w:type="dxa"/>
            <w:tcBorders>
              <w:top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53</w:t>
            </w:r>
          </w:p>
        </w:tc>
        <w:tc>
          <w:tcPr>
            <w:tcW w:w="622" w:type="dxa"/>
            <w:tcBorders>
              <w:top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51</w:t>
            </w:r>
          </w:p>
        </w:tc>
        <w:tc>
          <w:tcPr>
            <w:tcW w:w="623" w:type="dxa"/>
            <w:tcBorders>
              <w:top w:val="single" w:sz="4" w:space="0" w:color="auto"/>
            </w:tcBorders>
            <w:shd w:val="clear" w:color="auto" w:fill="auto"/>
            <w:noWrap/>
            <w:vAlign w:val="bottom"/>
            <w:hideMark/>
          </w:tcPr>
          <w:p w:rsidR="000C6F62" w:rsidRPr="0096342D" w:rsidRDefault="000C6F62" w:rsidP="002901D2">
            <w:pPr>
              <w:spacing w:after="0" w:line="240" w:lineRule="auto"/>
              <w:jc w:val="right"/>
              <w:rPr>
                <w:rFonts w:eastAsia="Times New Roman" w:cs="Times New Roman"/>
                <w:color w:val="000000"/>
                <w:sz w:val="18"/>
                <w:szCs w:val="18"/>
              </w:rPr>
            </w:pPr>
            <w:r w:rsidRPr="0096342D">
              <w:rPr>
                <w:rFonts w:eastAsia="Times New Roman" w:cs="Times New Roman"/>
                <w:color w:val="000000"/>
                <w:sz w:val="18"/>
                <w:szCs w:val="18"/>
              </w:rPr>
              <w:t>52</w:t>
            </w:r>
          </w:p>
        </w:tc>
        <w:tc>
          <w:tcPr>
            <w:tcW w:w="622" w:type="dxa"/>
            <w:tcBorders>
              <w:top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55</w:t>
            </w:r>
          </w:p>
        </w:tc>
        <w:tc>
          <w:tcPr>
            <w:tcW w:w="623" w:type="dxa"/>
            <w:tcBorders>
              <w:top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39</w:t>
            </w:r>
          </w:p>
        </w:tc>
      </w:tr>
      <w:tr w:rsidR="002901D2" w:rsidRPr="0096342D" w:rsidTr="00034D0F">
        <w:trPr>
          <w:trHeight w:val="144"/>
          <w:jc w:val="center"/>
        </w:trPr>
        <w:tc>
          <w:tcPr>
            <w:tcW w:w="2394" w:type="dxa"/>
            <w:tcBorders>
              <w:right w:val="single" w:sz="4" w:space="0" w:color="auto"/>
            </w:tcBorders>
            <w:shd w:val="clear" w:color="auto" w:fill="auto"/>
            <w:noWrap/>
            <w:vAlign w:val="bottom"/>
            <w:hideMark/>
          </w:tcPr>
          <w:p w:rsidR="000C6F62" w:rsidRPr="0096342D" w:rsidRDefault="000C6F62" w:rsidP="000C6F62">
            <w:pPr>
              <w:spacing w:after="0" w:line="240" w:lineRule="auto"/>
              <w:jc w:val="left"/>
              <w:rPr>
                <w:rFonts w:eastAsia="Times New Roman" w:cs="Times New Roman"/>
                <w:color w:val="000000"/>
                <w:sz w:val="18"/>
                <w:szCs w:val="18"/>
              </w:rPr>
            </w:pPr>
            <w:r w:rsidRPr="0096342D">
              <w:rPr>
                <w:rFonts w:eastAsia="Times New Roman" w:cs="Times New Roman"/>
                <w:color w:val="000000"/>
                <w:sz w:val="18"/>
                <w:szCs w:val="18"/>
              </w:rPr>
              <w:t>84-85 Machinery/Electronics</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13</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14</w:t>
            </w:r>
          </w:p>
        </w:tc>
        <w:tc>
          <w:tcPr>
            <w:tcW w:w="622" w:type="dxa"/>
            <w:shd w:val="clear" w:color="auto" w:fill="auto"/>
            <w:noWrap/>
            <w:vAlign w:val="bottom"/>
            <w:hideMark/>
          </w:tcPr>
          <w:p w:rsidR="000C6F62" w:rsidRPr="0096342D" w:rsidRDefault="000C6F62" w:rsidP="00B10FD8">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14</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12</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14</w:t>
            </w:r>
          </w:p>
        </w:tc>
        <w:tc>
          <w:tcPr>
            <w:tcW w:w="623" w:type="dxa"/>
            <w:tcBorders>
              <w:righ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14</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17</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20</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21</w:t>
            </w:r>
          </w:p>
        </w:tc>
        <w:tc>
          <w:tcPr>
            <w:tcW w:w="623" w:type="dxa"/>
            <w:shd w:val="clear" w:color="auto" w:fill="auto"/>
            <w:noWrap/>
            <w:vAlign w:val="bottom"/>
            <w:hideMark/>
          </w:tcPr>
          <w:p w:rsidR="000C6F62" w:rsidRPr="0096342D" w:rsidRDefault="000C6F62" w:rsidP="002901D2">
            <w:pPr>
              <w:spacing w:after="0" w:line="240" w:lineRule="auto"/>
              <w:jc w:val="right"/>
              <w:rPr>
                <w:rFonts w:eastAsia="Times New Roman" w:cs="Times New Roman"/>
                <w:color w:val="000000"/>
                <w:sz w:val="18"/>
                <w:szCs w:val="18"/>
              </w:rPr>
            </w:pPr>
            <w:r w:rsidRPr="0096342D">
              <w:rPr>
                <w:rFonts w:eastAsia="Times New Roman" w:cs="Times New Roman"/>
                <w:color w:val="000000"/>
                <w:sz w:val="18"/>
                <w:szCs w:val="18"/>
              </w:rPr>
              <w:t>28</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27</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31</w:t>
            </w:r>
          </w:p>
        </w:tc>
      </w:tr>
      <w:tr w:rsidR="002901D2" w:rsidRPr="0096342D" w:rsidTr="00034D0F">
        <w:trPr>
          <w:trHeight w:val="144"/>
          <w:jc w:val="center"/>
        </w:trPr>
        <w:tc>
          <w:tcPr>
            <w:tcW w:w="2394" w:type="dxa"/>
            <w:tcBorders>
              <w:right w:val="single" w:sz="4" w:space="0" w:color="auto"/>
            </w:tcBorders>
            <w:shd w:val="clear" w:color="auto" w:fill="auto"/>
            <w:noWrap/>
            <w:vAlign w:val="bottom"/>
            <w:hideMark/>
          </w:tcPr>
          <w:p w:rsidR="000C6F62" w:rsidRPr="0096342D" w:rsidRDefault="000C6F62" w:rsidP="000C6F62">
            <w:pPr>
              <w:spacing w:after="0" w:line="240" w:lineRule="auto"/>
              <w:jc w:val="left"/>
              <w:rPr>
                <w:rFonts w:eastAsia="Times New Roman" w:cs="Times New Roman"/>
                <w:color w:val="000000"/>
                <w:sz w:val="18"/>
                <w:szCs w:val="18"/>
              </w:rPr>
            </w:pPr>
            <w:r w:rsidRPr="0096342D">
              <w:rPr>
                <w:rFonts w:eastAsia="Times New Roman" w:cs="Times New Roman"/>
                <w:color w:val="000000"/>
                <w:sz w:val="18"/>
                <w:szCs w:val="18"/>
              </w:rPr>
              <w:t>72-83 Metals</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16</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15</w:t>
            </w:r>
          </w:p>
        </w:tc>
        <w:tc>
          <w:tcPr>
            <w:tcW w:w="622" w:type="dxa"/>
            <w:shd w:val="clear" w:color="auto" w:fill="auto"/>
            <w:noWrap/>
            <w:vAlign w:val="bottom"/>
            <w:hideMark/>
          </w:tcPr>
          <w:p w:rsidR="000C6F62" w:rsidRPr="0096342D" w:rsidRDefault="000C6F62" w:rsidP="00B10FD8">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17</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15</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11</w:t>
            </w:r>
          </w:p>
        </w:tc>
        <w:tc>
          <w:tcPr>
            <w:tcW w:w="623" w:type="dxa"/>
            <w:tcBorders>
              <w:righ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13</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22</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15</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18</w:t>
            </w:r>
          </w:p>
        </w:tc>
        <w:tc>
          <w:tcPr>
            <w:tcW w:w="623" w:type="dxa"/>
            <w:shd w:val="clear" w:color="auto" w:fill="auto"/>
            <w:noWrap/>
            <w:vAlign w:val="bottom"/>
            <w:hideMark/>
          </w:tcPr>
          <w:p w:rsidR="000C6F62" w:rsidRPr="0096342D" w:rsidRDefault="000C6F62" w:rsidP="002901D2">
            <w:pPr>
              <w:spacing w:after="0" w:line="240" w:lineRule="auto"/>
              <w:jc w:val="right"/>
              <w:rPr>
                <w:rFonts w:eastAsia="Times New Roman" w:cs="Times New Roman"/>
                <w:color w:val="000000"/>
                <w:sz w:val="18"/>
                <w:szCs w:val="18"/>
              </w:rPr>
            </w:pPr>
            <w:r w:rsidRPr="0096342D">
              <w:rPr>
                <w:rFonts w:eastAsia="Times New Roman" w:cs="Times New Roman"/>
                <w:color w:val="000000"/>
                <w:sz w:val="18"/>
                <w:szCs w:val="18"/>
              </w:rPr>
              <w:t>13</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8</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14</w:t>
            </w:r>
          </w:p>
        </w:tc>
      </w:tr>
      <w:tr w:rsidR="002901D2" w:rsidRPr="0096342D" w:rsidTr="00034D0F">
        <w:trPr>
          <w:trHeight w:val="144"/>
          <w:jc w:val="center"/>
        </w:trPr>
        <w:tc>
          <w:tcPr>
            <w:tcW w:w="2394" w:type="dxa"/>
            <w:tcBorders>
              <w:right w:val="single" w:sz="4" w:space="0" w:color="auto"/>
            </w:tcBorders>
            <w:shd w:val="clear" w:color="auto" w:fill="auto"/>
            <w:noWrap/>
            <w:vAlign w:val="bottom"/>
            <w:hideMark/>
          </w:tcPr>
          <w:p w:rsidR="000C6F62" w:rsidRPr="0096342D" w:rsidRDefault="000C6F62" w:rsidP="000C6F62">
            <w:pPr>
              <w:spacing w:after="0" w:line="240" w:lineRule="auto"/>
              <w:jc w:val="left"/>
              <w:rPr>
                <w:rFonts w:eastAsia="Times New Roman" w:cs="Times New Roman"/>
                <w:color w:val="000000"/>
                <w:sz w:val="18"/>
                <w:szCs w:val="18"/>
              </w:rPr>
            </w:pPr>
            <w:r w:rsidRPr="0096342D">
              <w:rPr>
                <w:rFonts w:eastAsia="Times New Roman" w:cs="Times New Roman"/>
                <w:color w:val="000000"/>
                <w:sz w:val="18"/>
                <w:szCs w:val="18"/>
              </w:rPr>
              <w:t>86-89 Transportation</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12</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8</w:t>
            </w:r>
          </w:p>
        </w:tc>
        <w:tc>
          <w:tcPr>
            <w:tcW w:w="622" w:type="dxa"/>
            <w:shd w:val="clear" w:color="auto" w:fill="auto"/>
            <w:noWrap/>
            <w:vAlign w:val="bottom"/>
            <w:hideMark/>
          </w:tcPr>
          <w:p w:rsidR="000C6F62" w:rsidRPr="0096342D" w:rsidRDefault="000C6F62" w:rsidP="00B10FD8">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6</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6</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9</w:t>
            </w:r>
          </w:p>
        </w:tc>
        <w:tc>
          <w:tcPr>
            <w:tcW w:w="623" w:type="dxa"/>
            <w:tcBorders>
              <w:righ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12</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5</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4</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4</w:t>
            </w:r>
          </w:p>
        </w:tc>
        <w:tc>
          <w:tcPr>
            <w:tcW w:w="623" w:type="dxa"/>
            <w:shd w:val="clear" w:color="auto" w:fill="auto"/>
            <w:noWrap/>
            <w:vAlign w:val="bottom"/>
            <w:hideMark/>
          </w:tcPr>
          <w:p w:rsidR="000C6F62" w:rsidRPr="0096342D" w:rsidRDefault="000C6F62" w:rsidP="002901D2">
            <w:pPr>
              <w:spacing w:after="0" w:line="240" w:lineRule="auto"/>
              <w:jc w:val="right"/>
              <w:rPr>
                <w:rFonts w:eastAsia="Times New Roman" w:cs="Times New Roman"/>
                <w:color w:val="000000"/>
                <w:sz w:val="18"/>
                <w:szCs w:val="18"/>
              </w:rPr>
            </w:pPr>
            <w:r w:rsidRPr="0096342D">
              <w:rPr>
                <w:rFonts w:eastAsia="Times New Roman" w:cs="Times New Roman"/>
                <w:color w:val="000000"/>
                <w:sz w:val="18"/>
                <w:szCs w:val="18"/>
              </w:rPr>
              <w:t>3</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5</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10</w:t>
            </w:r>
          </w:p>
        </w:tc>
      </w:tr>
      <w:tr w:rsidR="002901D2" w:rsidRPr="0096342D" w:rsidTr="00034D0F">
        <w:trPr>
          <w:trHeight w:val="144"/>
          <w:jc w:val="center"/>
        </w:trPr>
        <w:tc>
          <w:tcPr>
            <w:tcW w:w="2394" w:type="dxa"/>
            <w:tcBorders>
              <w:right w:val="single" w:sz="4" w:space="0" w:color="auto"/>
            </w:tcBorders>
            <w:shd w:val="clear" w:color="auto" w:fill="auto"/>
            <w:noWrap/>
            <w:vAlign w:val="bottom"/>
            <w:hideMark/>
          </w:tcPr>
          <w:p w:rsidR="000C6F62" w:rsidRPr="0096342D" w:rsidRDefault="000C6F62" w:rsidP="000C6F62">
            <w:pPr>
              <w:spacing w:after="0" w:line="240" w:lineRule="auto"/>
              <w:jc w:val="left"/>
              <w:rPr>
                <w:rFonts w:eastAsia="Times New Roman" w:cs="Times New Roman"/>
                <w:color w:val="000000"/>
                <w:sz w:val="18"/>
                <w:szCs w:val="18"/>
              </w:rPr>
            </w:pPr>
            <w:r w:rsidRPr="0096342D">
              <w:rPr>
                <w:rFonts w:eastAsia="Times New Roman" w:cs="Times New Roman"/>
                <w:color w:val="000000"/>
                <w:sz w:val="18"/>
                <w:szCs w:val="18"/>
              </w:rPr>
              <w:t>16-24 Foodstuffs</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6</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6</w:t>
            </w:r>
          </w:p>
        </w:tc>
        <w:tc>
          <w:tcPr>
            <w:tcW w:w="622" w:type="dxa"/>
            <w:shd w:val="clear" w:color="auto" w:fill="auto"/>
            <w:noWrap/>
            <w:vAlign w:val="bottom"/>
            <w:hideMark/>
          </w:tcPr>
          <w:p w:rsidR="000C6F62" w:rsidRPr="0096342D" w:rsidRDefault="000C6F62" w:rsidP="00B10FD8">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8</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8</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7</w:t>
            </w:r>
          </w:p>
        </w:tc>
        <w:tc>
          <w:tcPr>
            <w:tcW w:w="623" w:type="dxa"/>
            <w:tcBorders>
              <w:righ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7</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5</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4</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3</w:t>
            </w:r>
          </w:p>
        </w:tc>
        <w:tc>
          <w:tcPr>
            <w:tcW w:w="623" w:type="dxa"/>
            <w:shd w:val="clear" w:color="auto" w:fill="auto"/>
            <w:noWrap/>
            <w:vAlign w:val="bottom"/>
            <w:hideMark/>
          </w:tcPr>
          <w:p w:rsidR="000C6F62" w:rsidRPr="0096342D" w:rsidRDefault="000C6F62" w:rsidP="002901D2">
            <w:pPr>
              <w:spacing w:after="0" w:line="240" w:lineRule="auto"/>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2</w:t>
            </w:r>
          </w:p>
        </w:tc>
      </w:tr>
      <w:tr w:rsidR="002901D2" w:rsidRPr="0096342D" w:rsidTr="00034D0F">
        <w:trPr>
          <w:trHeight w:val="144"/>
          <w:jc w:val="center"/>
        </w:trPr>
        <w:tc>
          <w:tcPr>
            <w:tcW w:w="2394" w:type="dxa"/>
            <w:tcBorders>
              <w:right w:val="single" w:sz="4" w:space="0" w:color="auto"/>
            </w:tcBorders>
            <w:shd w:val="clear" w:color="auto" w:fill="auto"/>
            <w:noWrap/>
            <w:vAlign w:val="bottom"/>
            <w:hideMark/>
          </w:tcPr>
          <w:p w:rsidR="000C6F62" w:rsidRPr="0096342D" w:rsidRDefault="000C6F62" w:rsidP="000C6F62">
            <w:pPr>
              <w:spacing w:after="0" w:line="240" w:lineRule="auto"/>
              <w:jc w:val="left"/>
              <w:rPr>
                <w:rFonts w:eastAsia="Times New Roman" w:cs="Times New Roman"/>
                <w:color w:val="000000"/>
                <w:sz w:val="18"/>
                <w:szCs w:val="18"/>
              </w:rPr>
            </w:pPr>
            <w:r w:rsidRPr="0096342D">
              <w:rPr>
                <w:rFonts w:eastAsia="Times New Roman" w:cs="Times New Roman"/>
                <w:color w:val="000000"/>
                <w:sz w:val="18"/>
                <w:szCs w:val="18"/>
              </w:rPr>
              <w:t>28-38 Chemicals</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6</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6</w:t>
            </w:r>
          </w:p>
        </w:tc>
        <w:tc>
          <w:tcPr>
            <w:tcW w:w="622" w:type="dxa"/>
            <w:shd w:val="clear" w:color="auto" w:fill="auto"/>
            <w:noWrap/>
            <w:vAlign w:val="bottom"/>
            <w:hideMark/>
          </w:tcPr>
          <w:p w:rsidR="000C6F62" w:rsidRPr="0096342D" w:rsidRDefault="000C6F62" w:rsidP="00B10FD8">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7</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6</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7</w:t>
            </w:r>
          </w:p>
        </w:tc>
        <w:tc>
          <w:tcPr>
            <w:tcW w:w="623" w:type="dxa"/>
            <w:tcBorders>
              <w:righ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6</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2</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2</w:t>
            </w:r>
          </w:p>
        </w:tc>
        <w:tc>
          <w:tcPr>
            <w:tcW w:w="623" w:type="dxa"/>
            <w:shd w:val="clear" w:color="auto" w:fill="auto"/>
            <w:noWrap/>
            <w:vAlign w:val="bottom"/>
            <w:hideMark/>
          </w:tcPr>
          <w:p w:rsidR="000C6F62" w:rsidRPr="0096342D" w:rsidRDefault="000C6F62" w:rsidP="002901D2">
            <w:pPr>
              <w:spacing w:after="0" w:line="240" w:lineRule="auto"/>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r>
      <w:tr w:rsidR="002901D2" w:rsidRPr="0096342D" w:rsidTr="00034D0F">
        <w:trPr>
          <w:trHeight w:val="144"/>
          <w:jc w:val="center"/>
        </w:trPr>
        <w:tc>
          <w:tcPr>
            <w:tcW w:w="2394" w:type="dxa"/>
            <w:tcBorders>
              <w:right w:val="single" w:sz="4" w:space="0" w:color="auto"/>
            </w:tcBorders>
            <w:shd w:val="clear" w:color="auto" w:fill="auto"/>
            <w:noWrap/>
            <w:vAlign w:val="bottom"/>
            <w:hideMark/>
          </w:tcPr>
          <w:p w:rsidR="000C6F62" w:rsidRPr="0096342D" w:rsidRDefault="000C6F62" w:rsidP="000C6F62">
            <w:pPr>
              <w:spacing w:after="0" w:line="240" w:lineRule="auto"/>
              <w:jc w:val="left"/>
              <w:rPr>
                <w:rFonts w:eastAsia="Times New Roman" w:cs="Times New Roman"/>
                <w:color w:val="000000"/>
                <w:sz w:val="18"/>
                <w:szCs w:val="18"/>
              </w:rPr>
            </w:pPr>
            <w:r w:rsidRPr="0096342D">
              <w:rPr>
                <w:rFonts w:eastAsia="Times New Roman" w:cs="Times New Roman"/>
                <w:color w:val="000000"/>
                <w:sz w:val="18"/>
                <w:szCs w:val="18"/>
              </w:rPr>
              <w:t>39-40 Plastic / Rubber</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4</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4</w:t>
            </w:r>
          </w:p>
        </w:tc>
        <w:tc>
          <w:tcPr>
            <w:tcW w:w="622" w:type="dxa"/>
            <w:shd w:val="clear" w:color="auto" w:fill="auto"/>
            <w:noWrap/>
            <w:vAlign w:val="bottom"/>
            <w:hideMark/>
          </w:tcPr>
          <w:p w:rsidR="000C6F62" w:rsidRPr="0096342D" w:rsidRDefault="000C6F62" w:rsidP="00B10FD8">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5</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6</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5</w:t>
            </w:r>
          </w:p>
        </w:tc>
        <w:tc>
          <w:tcPr>
            <w:tcW w:w="623" w:type="dxa"/>
            <w:tcBorders>
              <w:righ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5</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0</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3" w:type="dxa"/>
            <w:shd w:val="clear" w:color="auto" w:fill="auto"/>
            <w:noWrap/>
            <w:vAlign w:val="bottom"/>
            <w:hideMark/>
          </w:tcPr>
          <w:p w:rsidR="000C6F62" w:rsidRPr="0096342D" w:rsidRDefault="000C6F62" w:rsidP="002901D2">
            <w:pPr>
              <w:spacing w:after="0" w:line="240" w:lineRule="auto"/>
              <w:jc w:val="right"/>
              <w:rPr>
                <w:rFonts w:eastAsia="Times New Roman" w:cs="Times New Roman"/>
                <w:color w:val="000000"/>
                <w:sz w:val="18"/>
                <w:szCs w:val="18"/>
              </w:rPr>
            </w:pPr>
            <w:r w:rsidRPr="0096342D">
              <w:rPr>
                <w:rFonts w:eastAsia="Times New Roman" w:cs="Times New Roman"/>
                <w:color w:val="000000"/>
                <w:sz w:val="18"/>
                <w:szCs w:val="18"/>
              </w:rPr>
              <w:t>0</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r>
      <w:tr w:rsidR="002901D2" w:rsidRPr="0096342D" w:rsidTr="00034D0F">
        <w:trPr>
          <w:trHeight w:val="144"/>
          <w:jc w:val="center"/>
        </w:trPr>
        <w:tc>
          <w:tcPr>
            <w:tcW w:w="2394" w:type="dxa"/>
            <w:tcBorders>
              <w:right w:val="single" w:sz="4" w:space="0" w:color="auto"/>
            </w:tcBorders>
            <w:shd w:val="clear" w:color="auto" w:fill="auto"/>
            <w:noWrap/>
            <w:vAlign w:val="bottom"/>
            <w:hideMark/>
          </w:tcPr>
          <w:p w:rsidR="000C6F62" w:rsidRPr="0096342D" w:rsidRDefault="000C6F62" w:rsidP="000C6F62">
            <w:pPr>
              <w:spacing w:after="0" w:line="240" w:lineRule="auto"/>
              <w:jc w:val="left"/>
              <w:rPr>
                <w:rFonts w:eastAsia="Times New Roman" w:cs="Times New Roman"/>
                <w:color w:val="000000"/>
                <w:sz w:val="18"/>
                <w:szCs w:val="18"/>
              </w:rPr>
            </w:pPr>
            <w:r w:rsidRPr="0096342D">
              <w:rPr>
                <w:rFonts w:eastAsia="Times New Roman" w:cs="Times New Roman"/>
                <w:color w:val="000000"/>
                <w:sz w:val="18"/>
                <w:szCs w:val="18"/>
              </w:rPr>
              <w:t>44-49 Wood</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5</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4</w:t>
            </w:r>
          </w:p>
        </w:tc>
        <w:tc>
          <w:tcPr>
            <w:tcW w:w="622" w:type="dxa"/>
            <w:shd w:val="clear" w:color="auto" w:fill="auto"/>
            <w:noWrap/>
            <w:vAlign w:val="bottom"/>
            <w:hideMark/>
          </w:tcPr>
          <w:p w:rsidR="000C6F62" w:rsidRPr="0096342D" w:rsidRDefault="000C6F62" w:rsidP="00B10FD8">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5</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5</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4</w:t>
            </w:r>
          </w:p>
        </w:tc>
        <w:tc>
          <w:tcPr>
            <w:tcW w:w="623" w:type="dxa"/>
            <w:tcBorders>
              <w:righ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4</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3" w:type="dxa"/>
            <w:shd w:val="clear" w:color="auto" w:fill="auto"/>
            <w:noWrap/>
            <w:vAlign w:val="bottom"/>
            <w:hideMark/>
          </w:tcPr>
          <w:p w:rsidR="000C6F62" w:rsidRPr="0096342D" w:rsidRDefault="000C6F62" w:rsidP="002901D2">
            <w:pPr>
              <w:spacing w:after="0" w:line="240" w:lineRule="auto"/>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1</w:t>
            </w:r>
          </w:p>
        </w:tc>
      </w:tr>
      <w:tr w:rsidR="002901D2" w:rsidRPr="0096342D" w:rsidTr="00034D0F">
        <w:trPr>
          <w:trHeight w:val="144"/>
          <w:jc w:val="center"/>
        </w:trPr>
        <w:tc>
          <w:tcPr>
            <w:tcW w:w="2394" w:type="dxa"/>
            <w:tcBorders>
              <w:right w:val="single" w:sz="4" w:space="0" w:color="auto"/>
            </w:tcBorders>
            <w:shd w:val="clear" w:color="auto" w:fill="auto"/>
            <w:noWrap/>
            <w:vAlign w:val="bottom"/>
            <w:hideMark/>
          </w:tcPr>
          <w:p w:rsidR="000C6F62" w:rsidRPr="0096342D" w:rsidRDefault="000C6F62" w:rsidP="000C6F62">
            <w:pPr>
              <w:spacing w:after="0" w:line="240" w:lineRule="auto"/>
              <w:jc w:val="left"/>
              <w:rPr>
                <w:rFonts w:eastAsia="Times New Roman" w:cs="Times New Roman"/>
                <w:color w:val="000000"/>
                <w:sz w:val="18"/>
                <w:szCs w:val="18"/>
              </w:rPr>
            </w:pPr>
            <w:r w:rsidRPr="0096342D">
              <w:rPr>
                <w:rFonts w:eastAsia="Times New Roman" w:cs="Times New Roman"/>
                <w:color w:val="000000"/>
                <w:sz w:val="18"/>
                <w:szCs w:val="18"/>
              </w:rPr>
              <w:t> </w:t>
            </w: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p>
        </w:tc>
        <w:tc>
          <w:tcPr>
            <w:tcW w:w="622" w:type="dxa"/>
            <w:shd w:val="clear" w:color="auto" w:fill="auto"/>
            <w:noWrap/>
            <w:vAlign w:val="bottom"/>
            <w:hideMark/>
          </w:tcPr>
          <w:p w:rsidR="000C6F62" w:rsidRPr="0096342D" w:rsidRDefault="000C6F62" w:rsidP="00B10FD8">
            <w:pPr>
              <w:spacing w:after="0" w:line="240" w:lineRule="auto"/>
              <w:ind w:right="144"/>
              <w:jc w:val="right"/>
              <w:rPr>
                <w:rFonts w:eastAsia="Times New Roman" w:cs="Times New Roman"/>
                <w:color w:val="000000"/>
                <w:sz w:val="18"/>
                <w:szCs w:val="18"/>
              </w:rPr>
            </w:pP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p>
        </w:tc>
        <w:tc>
          <w:tcPr>
            <w:tcW w:w="623" w:type="dxa"/>
            <w:tcBorders>
              <w:righ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p>
        </w:tc>
        <w:tc>
          <w:tcPr>
            <w:tcW w:w="622" w:type="dxa"/>
            <w:tcBorders>
              <w:lef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 </w:t>
            </w: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p>
        </w:tc>
        <w:tc>
          <w:tcPr>
            <w:tcW w:w="623" w:type="dxa"/>
            <w:shd w:val="clear" w:color="auto" w:fill="auto"/>
            <w:noWrap/>
            <w:vAlign w:val="bottom"/>
            <w:hideMark/>
          </w:tcPr>
          <w:p w:rsidR="000C6F62" w:rsidRPr="0096342D" w:rsidRDefault="000C6F62" w:rsidP="002901D2">
            <w:pPr>
              <w:spacing w:after="0" w:line="240" w:lineRule="auto"/>
              <w:jc w:val="right"/>
              <w:rPr>
                <w:rFonts w:eastAsia="Times New Roman" w:cs="Times New Roman"/>
                <w:color w:val="000000"/>
                <w:sz w:val="18"/>
                <w:szCs w:val="18"/>
              </w:rPr>
            </w:pPr>
          </w:p>
        </w:tc>
        <w:tc>
          <w:tcPr>
            <w:tcW w:w="622"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p>
        </w:tc>
        <w:tc>
          <w:tcPr>
            <w:tcW w:w="623" w:type="dxa"/>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 </w:t>
            </w:r>
          </w:p>
        </w:tc>
      </w:tr>
      <w:tr w:rsidR="002901D2" w:rsidRPr="0096342D" w:rsidTr="00034D0F">
        <w:trPr>
          <w:trHeight w:val="144"/>
          <w:jc w:val="center"/>
        </w:trPr>
        <w:tc>
          <w:tcPr>
            <w:tcW w:w="2394" w:type="dxa"/>
            <w:tcBorders>
              <w:bottom w:val="single" w:sz="4" w:space="0" w:color="auto"/>
              <w:right w:val="single" w:sz="4" w:space="0" w:color="auto"/>
            </w:tcBorders>
            <w:shd w:val="clear" w:color="auto" w:fill="auto"/>
            <w:noWrap/>
            <w:vAlign w:val="bottom"/>
            <w:hideMark/>
          </w:tcPr>
          <w:p w:rsidR="000C6F62" w:rsidRPr="0096342D" w:rsidRDefault="000C6F62" w:rsidP="000C6F62">
            <w:pPr>
              <w:spacing w:after="0" w:line="240" w:lineRule="auto"/>
              <w:jc w:val="left"/>
              <w:rPr>
                <w:rFonts w:eastAsia="Times New Roman" w:cs="Times New Roman"/>
                <w:color w:val="000000"/>
                <w:sz w:val="18"/>
                <w:szCs w:val="18"/>
              </w:rPr>
            </w:pPr>
            <w:r w:rsidRPr="0096342D">
              <w:rPr>
                <w:rFonts w:eastAsia="Times New Roman" w:cs="Times New Roman"/>
                <w:color w:val="000000"/>
                <w:sz w:val="18"/>
                <w:szCs w:val="18"/>
              </w:rPr>
              <w:t>Total share out of 100 percent</w:t>
            </w:r>
          </w:p>
        </w:tc>
        <w:tc>
          <w:tcPr>
            <w:tcW w:w="622" w:type="dxa"/>
            <w:tcBorders>
              <w:left w:val="single" w:sz="4" w:space="0" w:color="auto"/>
              <w:bottom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90</w:t>
            </w:r>
          </w:p>
        </w:tc>
        <w:tc>
          <w:tcPr>
            <w:tcW w:w="623" w:type="dxa"/>
            <w:tcBorders>
              <w:bottom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91</w:t>
            </w:r>
          </w:p>
        </w:tc>
        <w:tc>
          <w:tcPr>
            <w:tcW w:w="622" w:type="dxa"/>
            <w:tcBorders>
              <w:bottom w:val="single" w:sz="4" w:space="0" w:color="auto"/>
            </w:tcBorders>
            <w:shd w:val="clear" w:color="auto" w:fill="auto"/>
            <w:noWrap/>
            <w:vAlign w:val="bottom"/>
            <w:hideMark/>
          </w:tcPr>
          <w:p w:rsidR="000C6F62" w:rsidRPr="0096342D" w:rsidRDefault="000C6F62" w:rsidP="00B10FD8">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88</w:t>
            </w:r>
          </w:p>
        </w:tc>
        <w:tc>
          <w:tcPr>
            <w:tcW w:w="623" w:type="dxa"/>
            <w:tcBorders>
              <w:bottom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89</w:t>
            </w:r>
          </w:p>
        </w:tc>
        <w:tc>
          <w:tcPr>
            <w:tcW w:w="622" w:type="dxa"/>
            <w:tcBorders>
              <w:bottom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83</w:t>
            </w:r>
          </w:p>
        </w:tc>
        <w:tc>
          <w:tcPr>
            <w:tcW w:w="623" w:type="dxa"/>
            <w:tcBorders>
              <w:bottom w:val="single" w:sz="4" w:space="0" w:color="auto"/>
              <w:right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88</w:t>
            </w:r>
          </w:p>
        </w:tc>
        <w:tc>
          <w:tcPr>
            <w:tcW w:w="622" w:type="dxa"/>
            <w:tcBorders>
              <w:left w:val="single" w:sz="4" w:space="0" w:color="auto"/>
              <w:bottom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98</w:t>
            </w:r>
          </w:p>
        </w:tc>
        <w:tc>
          <w:tcPr>
            <w:tcW w:w="623" w:type="dxa"/>
            <w:tcBorders>
              <w:bottom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97</w:t>
            </w:r>
          </w:p>
        </w:tc>
        <w:tc>
          <w:tcPr>
            <w:tcW w:w="622" w:type="dxa"/>
            <w:tcBorders>
              <w:bottom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99</w:t>
            </w:r>
          </w:p>
        </w:tc>
        <w:tc>
          <w:tcPr>
            <w:tcW w:w="623" w:type="dxa"/>
            <w:tcBorders>
              <w:bottom w:val="single" w:sz="4" w:space="0" w:color="auto"/>
            </w:tcBorders>
            <w:shd w:val="clear" w:color="auto" w:fill="auto"/>
            <w:noWrap/>
            <w:vAlign w:val="bottom"/>
            <w:hideMark/>
          </w:tcPr>
          <w:p w:rsidR="000C6F62" w:rsidRPr="0096342D" w:rsidRDefault="000C6F62" w:rsidP="002901D2">
            <w:pPr>
              <w:spacing w:after="0" w:line="240" w:lineRule="auto"/>
              <w:jc w:val="right"/>
              <w:rPr>
                <w:rFonts w:eastAsia="Times New Roman" w:cs="Times New Roman"/>
                <w:color w:val="000000"/>
                <w:sz w:val="18"/>
                <w:szCs w:val="18"/>
              </w:rPr>
            </w:pPr>
            <w:r w:rsidRPr="0096342D">
              <w:rPr>
                <w:rFonts w:eastAsia="Times New Roman" w:cs="Times New Roman"/>
                <w:color w:val="000000"/>
                <w:sz w:val="18"/>
                <w:szCs w:val="18"/>
              </w:rPr>
              <w:t>99</w:t>
            </w:r>
          </w:p>
        </w:tc>
        <w:tc>
          <w:tcPr>
            <w:tcW w:w="622" w:type="dxa"/>
            <w:tcBorders>
              <w:bottom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98</w:t>
            </w:r>
          </w:p>
        </w:tc>
        <w:tc>
          <w:tcPr>
            <w:tcW w:w="623" w:type="dxa"/>
            <w:tcBorders>
              <w:bottom w:val="single" w:sz="4" w:space="0" w:color="auto"/>
            </w:tcBorders>
            <w:shd w:val="clear" w:color="auto" w:fill="auto"/>
            <w:noWrap/>
            <w:vAlign w:val="bottom"/>
            <w:hideMark/>
          </w:tcPr>
          <w:p w:rsidR="000C6F62" w:rsidRPr="0096342D" w:rsidRDefault="000C6F62" w:rsidP="002901D2">
            <w:pPr>
              <w:spacing w:after="0" w:line="240" w:lineRule="auto"/>
              <w:ind w:right="144"/>
              <w:jc w:val="right"/>
              <w:rPr>
                <w:rFonts w:eastAsia="Times New Roman" w:cs="Times New Roman"/>
                <w:color w:val="000000"/>
                <w:sz w:val="18"/>
                <w:szCs w:val="18"/>
              </w:rPr>
            </w:pPr>
            <w:r w:rsidRPr="0096342D">
              <w:rPr>
                <w:rFonts w:eastAsia="Times New Roman" w:cs="Times New Roman"/>
                <w:color w:val="000000"/>
                <w:sz w:val="18"/>
                <w:szCs w:val="18"/>
              </w:rPr>
              <w:t>98</w:t>
            </w:r>
          </w:p>
        </w:tc>
      </w:tr>
      <w:tr w:rsidR="002901D2" w:rsidRPr="000C6F62" w:rsidTr="00034D0F">
        <w:trPr>
          <w:trHeight w:val="144"/>
          <w:jc w:val="center"/>
        </w:trPr>
        <w:tc>
          <w:tcPr>
            <w:tcW w:w="9864" w:type="dxa"/>
            <w:gridSpan w:val="13"/>
            <w:tcBorders>
              <w:top w:val="single" w:sz="4" w:space="0" w:color="auto"/>
            </w:tcBorders>
            <w:shd w:val="clear" w:color="auto" w:fill="auto"/>
            <w:noWrap/>
            <w:vAlign w:val="bottom"/>
            <w:hideMark/>
          </w:tcPr>
          <w:p w:rsidR="002901D2" w:rsidRPr="0096342D" w:rsidRDefault="002901D2" w:rsidP="00DE7230">
            <w:pPr>
              <w:spacing w:before="120" w:after="0" w:line="240" w:lineRule="auto"/>
              <w:jc w:val="left"/>
              <w:rPr>
                <w:rFonts w:eastAsia="Times New Roman" w:cs="Times New Roman"/>
                <w:color w:val="000000"/>
                <w:sz w:val="20"/>
                <w:szCs w:val="20"/>
              </w:rPr>
            </w:pPr>
            <w:r w:rsidRPr="0096342D">
              <w:rPr>
                <w:rFonts w:eastAsia="Times New Roman" w:cs="Times New Roman"/>
                <w:i/>
                <w:iCs/>
                <w:color w:val="000000"/>
                <w:sz w:val="20"/>
                <w:szCs w:val="20"/>
              </w:rPr>
              <w:t xml:space="preserve">Source: </w:t>
            </w:r>
            <w:r w:rsidRPr="0096342D">
              <w:rPr>
                <w:rFonts w:eastAsia="Times New Roman" w:cs="Times New Roman"/>
                <w:color w:val="000000"/>
                <w:sz w:val="20"/>
                <w:szCs w:val="20"/>
              </w:rPr>
              <w:t xml:space="preserve">Official data, World Bank staff calculations. </w:t>
            </w:r>
          </w:p>
        </w:tc>
      </w:tr>
    </w:tbl>
    <w:p w:rsidR="000C6F62" w:rsidRDefault="000C6F62" w:rsidP="006F0A8E">
      <w:pPr>
        <w:pStyle w:val="ListParagraph"/>
        <w:tabs>
          <w:tab w:val="left" w:pos="720"/>
        </w:tabs>
        <w:spacing w:line="240" w:lineRule="auto"/>
        <w:ind w:left="0"/>
        <w:contextualSpacing w:val="0"/>
        <w:rPr>
          <w:rFonts w:cs="Times New Roman"/>
          <w:b/>
          <w:sz w:val="22"/>
        </w:rPr>
      </w:pPr>
    </w:p>
    <w:p w:rsidR="000C6F62" w:rsidRPr="00BA1B5B" w:rsidRDefault="000C6F62" w:rsidP="006F0A8E">
      <w:pPr>
        <w:pStyle w:val="ListParagraph"/>
        <w:tabs>
          <w:tab w:val="left" w:pos="720"/>
        </w:tabs>
        <w:spacing w:line="240" w:lineRule="auto"/>
        <w:ind w:left="0"/>
        <w:contextualSpacing w:val="0"/>
        <w:rPr>
          <w:rFonts w:cs="Times New Roman"/>
          <w:sz w:val="22"/>
        </w:rPr>
      </w:pPr>
    </w:p>
    <w:tbl>
      <w:tblPr>
        <w:tblStyle w:val="TableGrid"/>
        <w:tblW w:w="9929" w:type="dxa"/>
        <w:jc w:val="center"/>
        <w:tblLayout w:type="fixed"/>
        <w:tblLook w:val="04A0" w:firstRow="1" w:lastRow="0" w:firstColumn="1" w:lastColumn="0" w:noHBand="0" w:noVBand="1"/>
      </w:tblPr>
      <w:tblGrid>
        <w:gridCol w:w="9929"/>
      </w:tblGrid>
      <w:tr w:rsidR="004C38D3" w:rsidRPr="004C38D3" w:rsidTr="00FC7BCA">
        <w:trPr>
          <w:trHeight w:val="10340"/>
          <w:jc w:val="center"/>
        </w:trPr>
        <w:tc>
          <w:tcPr>
            <w:tcW w:w="9929" w:type="dxa"/>
          </w:tcPr>
          <w:p w:rsidR="004C38D3" w:rsidRPr="00990B12" w:rsidRDefault="002B6C3B" w:rsidP="00D857DA">
            <w:pPr>
              <w:pStyle w:val="Caption"/>
              <w:rPr>
                <w:rFonts w:eastAsiaTheme="minorHAnsi"/>
                <w:b w:val="0"/>
                <w:szCs w:val="20"/>
              </w:rPr>
            </w:pPr>
            <w:bookmarkStart w:id="18" w:name="_Toc378151236"/>
            <w:r w:rsidRPr="002B6C3B">
              <w:lastRenderedPageBreak/>
              <w:t xml:space="preserve">Box </w:t>
            </w:r>
            <w:fldSimple w:instr=" SEQ Box \* ARABIC ">
              <w:r w:rsidR="0056192E">
                <w:rPr>
                  <w:noProof/>
                </w:rPr>
                <w:t>1</w:t>
              </w:r>
            </w:fldSimple>
            <w:r w:rsidRPr="002B6C3B">
              <w:t xml:space="preserve">: </w:t>
            </w:r>
            <w:r w:rsidR="00743658">
              <w:t xml:space="preserve">The Belarus-Kazakhstan-Russia </w:t>
            </w:r>
            <w:r w:rsidR="004C38D3" w:rsidRPr="002B6C3B">
              <w:t xml:space="preserve">Customs </w:t>
            </w:r>
            <w:r w:rsidR="004C38D3" w:rsidRPr="00990B12">
              <w:rPr>
                <w:b w:val="0"/>
                <w:szCs w:val="20"/>
              </w:rPr>
              <w:t>Union</w:t>
            </w:r>
            <w:bookmarkEnd w:id="18"/>
            <w:r w:rsidR="004C38D3" w:rsidRPr="00990B12">
              <w:rPr>
                <w:b w:val="0"/>
                <w:szCs w:val="20"/>
              </w:rPr>
              <w:t xml:space="preserve"> </w:t>
            </w:r>
          </w:p>
          <w:p w:rsidR="004C38D3" w:rsidRPr="00990B12" w:rsidRDefault="00CF36CF" w:rsidP="00DB569F">
            <w:pPr>
              <w:spacing w:after="120" w:line="240" w:lineRule="auto"/>
              <w:rPr>
                <w:rFonts w:eastAsiaTheme="minorHAnsi"/>
                <w:sz w:val="20"/>
                <w:szCs w:val="20"/>
              </w:rPr>
            </w:pPr>
            <w:r w:rsidRPr="00990B12">
              <w:rPr>
                <w:sz w:val="20"/>
                <w:szCs w:val="20"/>
              </w:rPr>
              <w:t xml:space="preserve">The CU </w:t>
            </w:r>
            <w:r>
              <w:rPr>
                <w:sz w:val="20"/>
                <w:szCs w:val="20"/>
              </w:rPr>
              <w:t>was implemented in</w:t>
            </w:r>
            <w:r w:rsidRPr="00990B12">
              <w:rPr>
                <w:sz w:val="20"/>
                <w:szCs w:val="20"/>
              </w:rPr>
              <w:t xml:space="preserve"> 2010.</w:t>
            </w:r>
            <w:r w:rsidR="00786508">
              <w:rPr>
                <w:sz w:val="20"/>
                <w:szCs w:val="20"/>
              </w:rPr>
              <w:t xml:space="preserve"> </w:t>
            </w:r>
            <w:r w:rsidR="004C38D3" w:rsidRPr="00990B12">
              <w:rPr>
                <w:sz w:val="20"/>
                <w:szCs w:val="20"/>
              </w:rPr>
              <w:t>Kazakhstan</w:t>
            </w:r>
            <w:r>
              <w:rPr>
                <w:sz w:val="20"/>
                <w:szCs w:val="20"/>
              </w:rPr>
              <w:t>’s entry into</w:t>
            </w:r>
            <w:r w:rsidR="004C38D3" w:rsidRPr="00990B12">
              <w:rPr>
                <w:sz w:val="20"/>
                <w:szCs w:val="20"/>
              </w:rPr>
              <w:t xml:space="preserve"> </w:t>
            </w:r>
            <w:r w:rsidR="003805E7" w:rsidRPr="00990B12">
              <w:rPr>
                <w:sz w:val="20"/>
                <w:szCs w:val="20"/>
              </w:rPr>
              <w:t xml:space="preserve">the </w:t>
            </w:r>
            <w:r w:rsidR="004C1B07">
              <w:rPr>
                <w:sz w:val="20"/>
                <w:szCs w:val="20"/>
              </w:rPr>
              <w:t>C</w:t>
            </w:r>
            <w:r w:rsidR="003805E7" w:rsidRPr="00990B12">
              <w:rPr>
                <w:sz w:val="20"/>
                <w:szCs w:val="20"/>
              </w:rPr>
              <w:t>ustoms</w:t>
            </w:r>
            <w:r w:rsidR="004C38D3" w:rsidRPr="00990B12">
              <w:rPr>
                <w:sz w:val="20"/>
                <w:szCs w:val="20"/>
              </w:rPr>
              <w:t xml:space="preserve"> </w:t>
            </w:r>
            <w:r w:rsidR="004C1B07">
              <w:rPr>
                <w:sz w:val="20"/>
                <w:szCs w:val="20"/>
              </w:rPr>
              <w:t>U</w:t>
            </w:r>
            <w:r w:rsidR="004C38D3" w:rsidRPr="00990B12">
              <w:rPr>
                <w:sz w:val="20"/>
                <w:szCs w:val="20"/>
              </w:rPr>
              <w:t xml:space="preserve">nion marked a major change in </w:t>
            </w:r>
            <w:r w:rsidR="00B03899" w:rsidRPr="00990B12">
              <w:rPr>
                <w:sz w:val="20"/>
                <w:szCs w:val="20"/>
              </w:rPr>
              <w:t>its trade</w:t>
            </w:r>
            <w:r w:rsidR="004C38D3" w:rsidRPr="00990B12">
              <w:rPr>
                <w:sz w:val="20"/>
                <w:szCs w:val="20"/>
              </w:rPr>
              <w:t xml:space="preserve"> policy.</w:t>
            </w:r>
            <w:r w:rsidR="00786508">
              <w:rPr>
                <w:sz w:val="20"/>
                <w:szCs w:val="20"/>
              </w:rPr>
              <w:t xml:space="preserve"> </w:t>
            </w:r>
            <w:r w:rsidR="004C38D3" w:rsidRPr="00990B12">
              <w:rPr>
                <w:sz w:val="20"/>
                <w:szCs w:val="20"/>
              </w:rPr>
              <w:t>Kazakhstan</w:t>
            </w:r>
            <w:r w:rsidR="00FE1162">
              <w:rPr>
                <w:sz w:val="20"/>
                <w:szCs w:val="20"/>
              </w:rPr>
              <w:t xml:space="preserve"> </w:t>
            </w:r>
            <w:r w:rsidR="004C38D3" w:rsidRPr="00990B12">
              <w:rPr>
                <w:sz w:val="20"/>
                <w:szCs w:val="20"/>
              </w:rPr>
              <w:t>join</w:t>
            </w:r>
            <w:r w:rsidR="00FE1162">
              <w:rPr>
                <w:sz w:val="20"/>
                <w:szCs w:val="20"/>
              </w:rPr>
              <w:t>ed</w:t>
            </w:r>
            <w:r w:rsidR="004C38D3" w:rsidRPr="00990B12">
              <w:rPr>
                <w:sz w:val="20"/>
                <w:szCs w:val="20"/>
              </w:rPr>
              <w:t xml:space="preserve"> the CU </w:t>
            </w:r>
            <w:r w:rsidR="007E5502">
              <w:rPr>
                <w:sz w:val="20"/>
                <w:szCs w:val="20"/>
              </w:rPr>
              <w:t xml:space="preserve">to </w:t>
            </w:r>
            <w:r w:rsidR="004C38D3" w:rsidRPr="00990B12">
              <w:rPr>
                <w:sz w:val="20"/>
                <w:szCs w:val="20"/>
              </w:rPr>
              <w:t xml:space="preserve">help attract investment </w:t>
            </w:r>
            <w:r w:rsidR="007E5502">
              <w:rPr>
                <w:sz w:val="20"/>
                <w:szCs w:val="20"/>
              </w:rPr>
              <w:t xml:space="preserve">and </w:t>
            </w:r>
            <w:r w:rsidR="004C38D3" w:rsidRPr="00990B12">
              <w:rPr>
                <w:sz w:val="20"/>
                <w:szCs w:val="20"/>
              </w:rPr>
              <w:t>smooth the way to a common economic space of 170 million people. With free trade agreements between the three countrie</w:t>
            </w:r>
            <w:r w:rsidR="004F29D5">
              <w:rPr>
                <w:sz w:val="20"/>
                <w:szCs w:val="20"/>
              </w:rPr>
              <w:t>s already in place before the CU implementation</w:t>
            </w:r>
            <w:r w:rsidR="004C38D3" w:rsidRPr="00990B12">
              <w:rPr>
                <w:sz w:val="20"/>
                <w:szCs w:val="20"/>
              </w:rPr>
              <w:t>, the major steps taken by the CU until now have been the adoption of a common external tariff (CET), adoption of the new customs code and elimination of customs clearance along internal borders.</w:t>
            </w:r>
            <w:r w:rsidR="00786508">
              <w:rPr>
                <w:sz w:val="20"/>
                <w:szCs w:val="20"/>
              </w:rPr>
              <w:t xml:space="preserve"> </w:t>
            </w:r>
            <w:r w:rsidR="004C38D3" w:rsidRPr="00990B12">
              <w:rPr>
                <w:sz w:val="20"/>
                <w:szCs w:val="20"/>
              </w:rPr>
              <w:t>The CU is slated to become a Comm</w:t>
            </w:r>
            <w:r>
              <w:rPr>
                <w:sz w:val="20"/>
                <w:szCs w:val="20"/>
              </w:rPr>
              <w:t>on Economic Space by 2015.</w:t>
            </w:r>
            <w:r w:rsidR="00786508">
              <w:rPr>
                <w:sz w:val="20"/>
                <w:szCs w:val="20"/>
              </w:rPr>
              <w:t xml:space="preserve"> </w:t>
            </w:r>
            <w:r>
              <w:rPr>
                <w:sz w:val="20"/>
                <w:szCs w:val="20"/>
              </w:rPr>
              <w:t>In p</w:t>
            </w:r>
            <w:r w:rsidR="004C38D3" w:rsidRPr="00990B12">
              <w:rPr>
                <w:sz w:val="20"/>
                <w:szCs w:val="20"/>
              </w:rPr>
              <w:t xml:space="preserve">arallel, Kazakhstan is expected to join the WTO </w:t>
            </w:r>
            <w:r>
              <w:rPr>
                <w:sz w:val="20"/>
                <w:szCs w:val="20"/>
              </w:rPr>
              <w:t>in the near future.</w:t>
            </w:r>
            <w:r w:rsidR="00786508">
              <w:rPr>
                <w:sz w:val="20"/>
                <w:szCs w:val="20"/>
              </w:rPr>
              <w:t xml:space="preserve"> </w:t>
            </w:r>
          </w:p>
          <w:p w:rsidR="008A68AE" w:rsidRPr="008A68AE" w:rsidRDefault="004C38D3" w:rsidP="00B10FD8">
            <w:pPr>
              <w:spacing w:after="120" w:line="240" w:lineRule="auto"/>
              <w:rPr>
                <w:rFonts w:cs="Times New Roman"/>
                <w:sz w:val="20"/>
                <w:szCs w:val="20"/>
              </w:rPr>
            </w:pPr>
            <w:r w:rsidRPr="00990B12">
              <w:rPr>
                <w:sz w:val="20"/>
                <w:szCs w:val="20"/>
              </w:rPr>
              <w:t>Kazakhstan’s tariffs increased significantly as a result of implementing the CET, with trade-weighted average tariff protection levels nearly doubling from 6.72 to 11.51</w:t>
            </w:r>
            <w:r w:rsidR="00F338C2">
              <w:rPr>
                <w:sz w:val="20"/>
                <w:szCs w:val="20"/>
              </w:rPr>
              <w:t xml:space="preserve"> percent</w:t>
            </w:r>
            <w:r w:rsidRPr="00990B12">
              <w:rPr>
                <w:sz w:val="20"/>
                <w:szCs w:val="20"/>
              </w:rPr>
              <w:t xml:space="preserve">. Tariff dispersion measured by </w:t>
            </w:r>
            <w:r w:rsidR="004F29D5">
              <w:rPr>
                <w:sz w:val="20"/>
                <w:szCs w:val="20"/>
              </w:rPr>
              <w:t xml:space="preserve">the </w:t>
            </w:r>
            <w:r w:rsidRPr="00990B12">
              <w:rPr>
                <w:sz w:val="20"/>
                <w:szCs w:val="20"/>
              </w:rPr>
              <w:t>standard deviation of the average effective rate increased as well (World Bank, 2012). With the accession of Russia to the WTO in late 2011, about 1200 CU tariff lines were revised downward</w:t>
            </w:r>
            <w:r w:rsidR="004F29D5">
              <w:rPr>
                <w:sz w:val="20"/>
                <w:szCs w:val="20"/>
              </w:rPr>
              <w:t>.</w:t>
            </w:r>
            <w:r w:rsidR="00786508">
              <w:rPr>
                <w:sz w:val="20"/>
                <w:szCs w:val="20"/>
              </w:rPr>
              <w:t xml:space="preserve"> </w:t>
            </w:r>
            <w:r w:rsidRPr="00990B12">
              <w:rPr>
                <w:sz w:val="20"/>
                <w:szCs w:val="20"/>
              </w:rPr>
              <w:t>A recent World Bank report (2012) predicted that the increa</w:t>
            </w:r>
            <w:r w:rsidR="00B03899">
              <w:rPr>
                <w:sz w:val="20"/>
                <w:szCs w:val="20"/>
              </w:rPr>
              <w:t>se in the external tariff level</w:t>
            </w:r>
            <w:r w:rsidRPr="00990B12">
              <w:rPr>
                <w:sz w:val="20"/>
                <w:szCs w:val="20"/>
              </w:rPr>
              <w:t xml:space="preserve"> would cost 0.</w:t>
            </w:r>
            <w:r w:rsidR="008A68AE">
              <w:rPr>
                <w:sz w:val="20"/>
                <w:szCs w:val="20"/>
              </w:rPr>
              <w:t>2</w:t>
            </w:r>
            <w:r w:rsidR="00F338C2">
              <w:rPr>
                <w:sz w:val="20"/>
                <w:szCs w:val="20"/>
              </w:rPr>
              <w:t xml:space="preserve"> percent</w:t>
            </w:r>
            <w:r w:rsidRPr="00990B12">
              <w:rPr>
                <w:sz w:val="20"/>
                <w:szCs w:val="20"/>
              </w:rPr>
              <w:t xml:space="preserve"> in real income per year as of mid-2011. </w:t>
            </w:r>
            <w:r w:rsidR="008A68AE" w:rsidRPr="008A68AE">
              <w:rPr>
                <w:rFonts w:cs="Times New Roman"/>
                <w:sz w:val="20"/>
                <w:szCs w:val="20"/>
              </w:rPr>
              <w:t>Two scenarios explore</w:t>
            </w:r>
            <w:r w:rsidR="008A68AE">
              <w:rPr>
                <w:rFonts w:cs="Times New Roman"/>
                <w:sz w:val="20"/>
                <w:szCs w:val="20"/>
              </w:rPr>
              <w:t>d</w:t>
            </w:r>
            <w:r w:rsidR="008A68AE" w:rsidRPr="008A68AE">
              <w:rPr>
                <w:rFonts w:cs="Times New Roman"/>
                <w:sz w:val="20"/>
                <w:szCs w:val="20"/>
              </w:rPr>
              <w:t xml:space="preserve"> the potential gains or losses in joining the Customs Union.</w:t>
            </w:r>
            <w:r w:rsidR="00786508">
              <w:rPr>
                <w:rFonts w:cs="Times New Roman"/>
                <w:sz w:val="20"/>
                <w:szCs w:val="20"/>
              </w:rPr>
              <w:t xml:space="preserve"> </w:t>
            </w:r>
            <w:r w:rsidR="008A68AE" w:rsidRPr="008A68AE">
              <w:rPr>
                <w:rFonts w:cs="Times New Roman"/>
                <w:sz w:val="20"/>
                <w:szCs w:val="20"/>
              </w:rPr>
              <w:t>The pessimistic scenario assumes that Kazakhstan will adopt the higher external tariffs fully but not make any progress in reducing non-tariff measures or costs related to trade facilitation.</w:t>
            </w:r>
            <w:r w:rsidR="00786508">
              <w:rPr>
                <w:rFonts w:cs="Times New Roman"/>
                <w:sz w:val="20"/>
                <w:szCs w:val="20"/>
              </w:rPr>
              <w:t xml:space="preserve"> </w:t>
            </w:r>
            <w:r w:rsidR="008A68AE" w:rsidRPr="008A68AE">
              <w:rPr>
                <w:rFonts w:cs="Times New Roman"/>
                <w:sz w:val="20"/>
                <w:szCs w:val="20"/>
              </w:rPr>
              <w:t>The optimistic scenario assumes full implementation of the common external tariffs but also substantial reduction in non-tariff measures and costs related to trade facilitation.</w:t>
            </w:r>
            <w:r w:rsidR="00786508">
              <w:rPr>
                <w:rFonts w:cs="Times New Roman"/>
                <w:sz w:val="20"/>
                <w:szCs w:val="20"/>
              </w:rPr>
              <w:t xml:space="preserve"> </w:t>
            </w:r>
            <w:r w:rsidR="008A68AE" w:rsidRPr="008A68AE">
              <w:rPr>
                <w:rFonts w:cs="Times New Roman"/>
                <w:sz w:val="20"/>
                <w:szCs w:val="20"/>
              </w:rPr>
              <w:t>The analysis finds that Kazakhstan will lose about 0.3 percent in real income per year as a result of fully implementing the common external tariff (compared to its 2009 tariffs).</w:t>
            </w:r>
            <w:r w:rsidR="00786508">
              <w:rPr>
                <w:rFonts w:cs="Times New Roman"/>
                <w:sz w:val="20"/>
                <w:szCs w:val="20"/>
              </w:rPr>
              <w:t xml:space="preserve"> </w:t>
            </w:r>
            <w:r w:rsidR="008A68AE" w:rsidRPr="008A68AE">
              <w:rPr>
                <w:rFonts w:cs="Times New Roman"/>
                <w:sz w:val="20"/>
                <w:szCs w:val="20"/>
              </w:rPr>
              <w:t>In the optimistic scenario, the real income would increase by about 1.5 percent of consumption per year mainly due to reduced trade-facilitations costs.</w:t>
            </w:r>
            <w:r w:rsidR="00786508">
              <w:rPr>
                <w:rFonts w:cs="Times New Roman"/>
                <w:sz w:val="20"/>
                <w:szCs w:val="20"/>
              </w:rPr>
              <w:t xml:space="preserve"> </w:t>
            </w:r>
            <w:r w:rsidR="008A68AE" w:rsidRPr="008A68AE">
              <w:rPr>
                <w:rFonts w:cs="Times New Roman"/>
                <w:sz w:val="20"/>
                <w:szCs w:val="20"/>
              </w:rPr>
              <w:t xml:space="preserve">The gains from reduced non-tariff measures </w:t>
            </w:r>
            <w:r w:rsidR="008A68AE" w:rsidRPr="00B10FD8">
              <w:rPr>
                <w:sz w:val="20"/>
                <w:szCs w:val="20"/>
              </w:rPr>
              <w:t>roughly</w:t>
            </w:r>
            <w:r w:rsidR="008A68AE" w:rsidRPr="008A68AE">
              <w:rPr>
                <w:rFonts w:cs="Times New Roman"/>
                <w:sz w:val="20"/>
                <w:szCs w:val="20"/>
              </w:rPr>
              <w:t xml:space="preserve"> offset the losses from adopting the common external tariff.</w:t>
            </w:r>
          </w:p>
          <w:p w:rsidR="004C38D3" w:rsidRPr="008A68AE" w:rsidRDefault="004C38D3" w:rsidP="00DB569F">
            <w:pPr>
              <w:spacing w:after="120" w:line="240" w:lineRule="auto"/>
              <w:rPr>
                <w:sz w:val="20"/>
                <w:szCs w:val="20"/>
              </w:rPr>
            </w:pPr>
            <w:r w:rsidRPr="00990B12">
              <w:rPr>
                <w:sz w:val="20"/>
                <w:szCs w:val="20"/>
              </w:rPr>
              <w:t>While manufacturing sectors were seen to benefit from higher</w:t>
            </w:r>
            <w:r w:rsidR="00621DA3">
              <w:rPr>
                <w:sz w:val="20"/>
                <w:szCs w:val="20"/>
              </w:rPr>
              <w:t xml:space="preserve"> tariff</w:t>
            </w:r>
            <w:r w:rsidRPr="00990B12">
              <w:rPr>
                <w:sz w:val="20"/>
                <w:szCs w:val="20"/>
              </w:rPr>
              <w:t xml:space="preserve"> protection, services were said to lose as they would not receive</w:t>
            </w:r>
            <w:r w:rsidR="00621DA3">
              <w:rPr>
                <w:sz w:val="20"/>
                <w:szCs w:val="20"/>
              </w:rPr>
              <w:t xml:space="preserve"> similar</w:t>
            </w:r>
            <w:r w:rsidRPr="00990B12">
              <w:rPr>
                <w:sz w:val="20"/>
                <w:szCs w:val="20"/>
              </w:rPr>
              <w:t xml:space="preserve"> protection. The costs to business and consumers of imports had increased and resources were shifting to areas of inefficient production. Perhaps most important from a dynamic perspective, less imported technology from the more technologically advanced countries of the world (as a result of tariff-induced diversion to </w:t>
            </w:r>
            <w:r w:rsidRPr="008A68AE">
              <w:rPr>
                <w:sz w:val="20"/>
                <w:szCs w:val="20"/>
              </w:rPr>
              <w:t xml:space="preserve">CU partners) threatened to cause a loss in Kazakhstan’s long-term productivity gains. </w:t>
            </w:r>
          </w:p>
          <w:p w:rsidR="004C38D3" w:rsidRPr="00990B12" w:rsidRDefault="004F29D5" w:rsidP="00D857DA">
            <w:pPr>
              <w:pStyle w:val="Caption"/>
              <w:rPr>
                <w:rFonts w:eastAsiaTheme="minorHAnsi"/>
              </w:rPr>
            </w:pPr>
            <w:r>
              <w:t>W</w:t>
            </w:r>
            <w:r w:rsidR="004C38D3" w:rsidRPr="00990B12">
              <w:t xml:space="preserve">elfare </w:t>
            </w:r>
            <w:r w:rsidR="00DE7230">
              <w:t>Impact of the Customs Union</w:t>
            </w:r>
          </w:p>
          <w:tbl>
            <w:tblPr>
              <w:tblStyle w:val="LightShading1"/>
              <w:tblW w:w="9579" w:type="dxa"/>
              <w:tblBorders>
                <w:top w:val="none" w:sz="0" w:space="0" w:color="auto"/>
                <w:bottom w:val="none" w:sz="0" w:space="0" w:color="auto"/>
              </w:tblBorders>
              <w:tblLayout w:type="fixed"/>
              <w:tblLook w:val="04A0" w:firstRow="1" w:lastRow="0" w:firstColumn="1" w:lastColumn="0" w:noHBand="0" w:noVBand="1"/>
            </w:tblPr>
            <w:tblGrid>
              <w:gridCol w:w="2109"/>
              <w:gridCol w:w="1620"/>
              <w:gridCol w:w="1260"/>
              <w:gridCol w:w="1440"/>
              <w:gridCol w:w="1530"/>
              <w:gridCol w:w="1620"/>
            </w:tblGrid>
            <w:tr w:rsidR="004C38D3" w:rsidRPr="00B10FD8" w:rsidTr="00FC7BCA">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bottom w:val="single" w:sz="4" w:space="0" w:color="auto"/>
                  </w:tcBorders>
                </w:tcPr>
                <w:p w:rsidR="004C38D3" w:rsidRPr="00DA4A08" w:rsidRDefault="004C38D3" w:rsidP="00D857DA">
                  <w:pPr>
                    <w:spacing w:line="240" w:lineRule="auto"/>
                    <w:rPr>
                      <w:rFonts w:asciiTheme="minorHAnsi" w:eastAsia="Calibri" w:hAnsiTheme="minorHAnsi"/>
                      <w:b w:val="0"/>
                      <w:sz w:val="19"/>
                      <w:szCs w:val="19"/>
                    </w:rPr>
                  </w:pPr>
                </w:p>
              </w:tc>
              <w:tc>
                <w:tcPr>
                  <w:tcW w:w="1620" w:type="dxa"/>
                  <w:tcBorders>
                    <w:top w:val="single" w:sz="4" w:space="0" w:color="auto"/>
                    <w:bottom w:val="single" w:sz="4" w:space="0" w:color="auto"/>
                  </w:tcBorders>
                  <w:vAlign w:val="center"/>
                </w:tcPr>
                <w:p w:rsidR="004C38D3" w:rsidRPr="00DA4A08" w:rsidRDefault="004C38D3" w:rsidP="008E443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sz w:val="19"/>
                      <w:szCs w:val="19"/>
                    </w:rPr>
                  </w:pPr>
                  <w:r w:rsidRPr="00DA4A08">
                    <w:rPr>
                      <w:b w:val="0"/>
                      <w:sz w:val="19"/>
                      <w:szCs w:val="19"/>
                    </w:rPr>
                    <w:t xml:space="preserve">Customs Union </w:t>
                  </w:r>
                  <w:r w:rsidRPr="00DA4A08">
                    <w:rPr>
                      <w:b w:val="0"/>
                      <w:sz w:val="19"/>
                      <w:szCs w:val="19"/>
                    </w:rPr>
                    <w:br/>
                    <w:t>Immediate Impact</w:t>
                  </w:r>
                </w:p>
              </w:tc>
              <w:tc>
                <w:tcPr>
                  <w:tcW w:w="2700" w:type="dxa"/>
                  <w:gridSpan w:val="2"/>
                  <w:tcBorders>
                    <w:top w:val="single" w:sz="4" w:space="0" w:color="auto"/>
                    <w:bottom w:val="single" w:sz="4" w:space="0" w:color="auto"/>
                  </w:tcBorders>
                  <w:vAlign w:val="center"/>
                </w:tcPr>
                <w:p w:rsidR="004C38D3" w:rsidRPr="00DA4A08" w:rsidRDefault="004C38D3" w:rsidP="008E443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sz w:val="19"/>
                      <w:szCs w:val="19"/>
                    </w:rPr>
                  </w:pPr>
                  <w:r w:rsidRPr="00DA4A08">
                    <w:rPr>
                      <w:b w:val="0"/>
                      <w:sz w:val="19"/>
                      <w:szCs w:val="19"/>
                    </w:rPr>
                    <w:t>Customs Union Outlook</w:t>
                  </w:r>
                </w:p>
              </w:tc>
              <w:tc>
                <w:tcPr>
                  <w:tcW w:w="3150" w:type="dxa"/>
                  <w:gridSpan w:val="2"/>
                  <w:tcBorders>
                    <w:top w:val="single" w:sz="4" w:space="0" w:color="auto"/>
                    <w:bottom w:val="single" w:sz="4" w:space="0" w:color="auto"/>
                  </w:tcBorders>
                  <w:vAlign w:val="center"/>
                </w:tcPr>
                <w:p w:rsidR="004C38D3" w:rsidRPr="00DA4A08" w:rsidRDefault="004C38D3" w:rsidP="00F607C7">
                  <w:pPr>
                    <w:spacing w:before="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sz w:val="19"/>
                      <w:szCs w:val="19"/>
                    </w:rPr>
                  </w:pPr>
                  <w:r w:rsidRPr="00DA4A08">
                    <w:rPr>
                      <w:b w:val="0"/>
                      <w:sz w:val="19"/>
                      <w:szCs w:val="19"/>
                    </w:rPr>
                    <w:t>Decomposition of</w:t>
                  </w:r>
                </w:p>
                <w:p w:rsidR="004C38D3" w:rsidRPr="00DA4A08" w:rsidRDefault="004C38D3" w:rsidP="00F607C7">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sz w:val="19"/>
                      <w:szCs w:val="19"/>
                    </w:rPr>
                  </w:pPr>
                  <w:r w:rsidRPr="00DA4A08">
                    <w:rPr>
                      <w:b w:val="0"/>
                      <w:sz w:val="19"/>
                      <w:szCs w:val="19"/>
                    </w:rPr>
                    <w:t>Optimistic</w:t>
                  </w:r>
                  <w:r w:rsidRPr="00DA4A08">
                    <w:rPr>
                      <w:b w:val="0"/>
                      <w:sz w:val="19"/>
                      <w:szCs w:val="19"/>
                    </w:rPr>
                    <w:br/>
                    <w:t>Customs Union Scenario</w:t>
                  </w:r>
                </w:p>
              </w:tc>
            </w:tr>
            <w:tr w:rsidR="004C38D3" w:rsidRPr="00B10FD8" w:rsidTr="00FC7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bottom w:val="single" w:sz="4" w:space="0" w:color="auto"/>
                  </w:tcBorders>
                  <w:shd w:val="clear" w:color="auto" w:fill="auto"/>
                </w:tcPr>
                <w:p w:rsidR="004C38D3" w:rsidRPr="00DA4A08" w:rsidRDefault="004C38D3" w:rsidP="00D857DA">
                  <w:pPr>
                    <w:spacing w:line="276" w:lineRule="auto"/>
                    <w:rPr>
                      <w:rFonts w:asciiTheme="minorHAnsi" w:eastAsia="Calibri" w:hAnsiTheme="minorHAnsi"/>
                      <w:b w:val="0"/>
                      <w:sz w:val="19"/>
                      <w:szCs w:val="19"/>
                    </w:rPr>
                  </w:pPr>
                </w:p>
              </w:tc>
              <w:tc>
                <w:tcPr>
                  <w:tcW w:w="1620" w:type="dxa"/>
                  <w:tcBorders>
                    <w:top w:val="single" w:sz="4" w:space="0" w:color="auto"/>
                    <w:bottom w:val="single" w:sz="4" w:space="0" w:color="auto"/>
                  </w:tcBorders>
                  <w:shd w:val="clear" w:color="auto" w:fill="auto"/>
                  <w:vAlign w:val="center"/>
                </w:tcPr>
                <w:p w:rsidR="004C38D3" w:rsidRPr="00DA4A08" w:rsidRDefault="004C38D3" w:rsidP="00EE65E4">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Cs/>
                      <w:sz w:val="19"/>
                      <w:szCs w:val="19"/>
                    </w:rPr>
                  </w:pPr>
                  <w:r w:rsidRPr="00DA4A08">
                    <w:rPr>
                      <w:bCs/>
                      <w:sz w:val="19"/>
                      <w:szCs w:val="19"/>
                    </w:rPr>
                    <w:t>2011 tariffs</w:t>
                  </w:r>
                  <w:r w:rsidRPr="00DA4A08">
                    <w:rPr>
                      <w:bCs/>
                      <w:sz w:val="19"/>
                      <w:szCs w:val="19"/>
                    </w:rPr>
                    <w:br/>
                  </w:r>
                  <w:r w:rsidR="00EE65E4" w:rsidRPr="00DA4A08">
                    <w:rPr>
                      <w:bCs/>
                      <w:sz w:val="19"/>
                      <w:szCs w:val="19"/>
                    </w:rPr>
                    <w:t>t</w:t>
                  </w:r>
                  <w:r w:rsidRPr="00DA4A08">
                    <w:rPr>
                      <w:bCs/>
                      <w:sz w:val="19"/>
                      <w:szCs w:val="19"/>
                    </w:rPr>
                    <w:t>ransition rates</w:t>
                  </w:r>
                </w:p>
              </w:tc>
              <w:tc>
                <w:tcPr>
                  <w:tcW w:w="1260" w:type="dxa"/>
                  <w:tcBorders>
                    <w:top w:val="single" w:sz="4" w:space="0" w:color="auto"/>
                    <w:bottom w:val="single" w:sz="4" w:space="0" w:color="auto"/>
                  </w:tcBorders>
                  <w:shd w:val="clear" w:color="auto" w:fill="auto"/>
                  <w:vAlign w:val="center"/>
                </w:tcPr>
                <w:p w:rsidR="004C38D3" w:rsidRPr="00DA4A08" w:rsidRDefault="00B03899" w:rsidP="008E44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Cs/>
                      <w:sz w:val="19"/>
                      <w:szCs w:val="19"/>
                    </w:rPr>
                  </w:pPr>
                  <w:r w:rsidRPr="00DA4A08">
                    <w:rPr>
                      <w:bCs/>
                      <w:sz w:val="19"/>
                      <w:szCs w:val="19"/>
                    </w:rPr>
                    <w:t>Pessimistic</w:t>
                  </w:r>
                  <w:r w:rsidRPr="00DA4A08">
                    <w:rPr>
                      <w:bCs/>
                      <w:sz w:val="19"/>
                      <w:szCs w:val="19"/>
                      <w:vertAlign w:val="superscript"/>
                    </w:rPr>
                    <w:t>a</w:t>
                  </w:r>
                  <w:r w:rsidR="0012291C" w:rsidRPr="00DA4A08">
                    <w:rPr>
                      <w:bCs/>
                      <w:sz w:val="19"/>
                      <w:szCs w:val="19"/>
                      <w:vertAlign w:val="superscript"/>
                    </w:rPr>
                    <w:t>/</w:t>
                  </w:r>
                  <w:r w:rsidR="004C38D3" w:rsidRPr="00DA4A08">
                    <w:rPr>
                      <w:bCs/>
                      <w:sz w:val="19"/>
                      <w:szCs w:val="19"/>
                    </w:rPr>
                    <w:br/>
                  </w:r>
                </w:p>
              </w:tc>
              <w:tc>
                <w:tcPr>
                  <w:tcW w:w="1440" w:type="dxa"/>
                  <w:tcBorders>
                    <w:top w:val="single" w:sz="4" w:space="0" w:color="auto"/>
                    <w:bottom w:val="single" w:sz="4" w:space="0" w:color="auto"/>
                  </w:tcBorders>
                  <w:shd w:val="clear" w:color="auto" w:fill="auto"/>
                  <w:vAlign w:val="center"/>
                </w:tcPr>
                <w:p w:rsidR="004C38D3" w:rsidRPr="00DA4A08" w:rsidRDefault="00B03899" w:rsidP="008E44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Cs/>
                      <w:sz w:val="19"/>
                      <w:szCs w:val="19"/>
                    </w:rPr>
                  </w:pPr>
                  <w:r w:rsidRPr="00DA4A08">
                    <w:rPr>
                      <w:bCs/>
                      <w:sz w:val="19"/>
                      <w:szCs w:val="19"/>
                    </w:rPr>
                    <w:t>Optimistic</w:t>
                  </w:r>
                  <w:r w:rsidRPr="00DA4A08">
                    <w:rPr>
                      <w:bCs/>
                      <w:sz w:val="19"/>
                      <w:szCs w:val="19"/>
                      <w:vertAlign w:val="superscript"/>
                    </w:rPr>
                    <w:t>b</w:t>
                  </w:r>
                  <w:r w:rsidR="0012291C" w:rsidRPr="00DA4A08">
                    <w:rPr>
                      <w:bCs/>
                      <w:sz w:val="19"/>
                      <w:szCs w:val="19"/>
                      <w:vertAlign w:val="superscript"/>
                    </w:rPr>
                    <w:t>/</w:t>
                  </w:r>
                  <w:r w:rsidR="004C38D3" w:rsidRPr="00DA4A08">
                    <w:rPr>
                      <w:bCs/>
                      <w:sz w:val="19"/>
                      <w:szCs w:val="19"/>
                    </w:rPr>
                    <w:br/>
                  </w:r>
                </w:p>
              </w:tc>
              <w:tc>
                <w:tcPr>
                  <w:tcW w:w="1530" w:type="dxa"/>
                  <w:tcBorders>
                    <w:top w:val="single" w:sz="4" w:space="0" w:color="auto"/>
                    <w:bottom w:val="single" w:sz="4" w:space="0" w:color="auto"/>
                  </w:tcBorders>
                  <w:shd w:val="clear" w:color="auto" w:fill="auto"/>
                  <w:vAlign w:val="center"/>
                </w:tcPr>
                <w:p w:rsidR="004C38D3" w:rsidRPr="00DA4A08" w:rsidRDefault="00EE65E4" w:rsidP="008E44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9"/>
                      <w:szCs w:val="19"/>
                    </w:rPr>
                  </w:pPr>
                  <w:r w:rsidRPr="00DA4A08">
                    <w:rPr>
                      <w:sz w:val="19"/>
                      <w:szCs w:val="19"/>
                    </w:rPr>
                    <w:t>Regional cuts in border c</w:t>
                  </w:r>
                  <w:r w:rsidR="004C38D3" w:rsidRPr="00DA4A08">
                    <w:rPr>
                      <w:sz w:val="19"/>
                      <w:szCs w:val="19"/>
                    </w:rPr>
                    <w:t>osts</w:t>
                  </w:r>
                </w:p>
              </w:tc>
              <w:tc>
                <w:tcPr>
                  <w:tcW w:w="1620" w:type="dxa"/>
                  <w:tcBorders>
                    <w:top w:val="single" w:sz="4" w:space="0" w:color="auto"/>
                    <w:bottom w:val="single" w:sz="4" w:space="0" w:color="auto"/>
                  </w:tcBorders>
                  <w:shd w:val="clear" w:color="auto" w:fill="auto"/>
                  <w:vAlign w:val="center"/>
                </w:tcPr>
                <w:p w:rsidR="004C38D3" w:rsidRPr="00DA4A08" w:rsidRDefault="004C38D3" w:rsidP="00621DA3">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9"/>
                      <w:szCs w:val="19"/>
                    </w:rPr>
                  </w:pPr>
                  <w:r w:rsidRPr="00DA4A08">
                    <w:rPr>
                      <w:sz w:val="19"/>
                      <w:szCs w:val="19"/>
                    </w:rPr>
                    <w:t>Regional cuts in NT</w:t>
                  </w:r>
                  <w:r w:rsidR="00621DA3" w:rsidRPr="00DA4A08">
                    <w:rPr>
                      <w:sz w:val="19"/>
                      <w:szCs w:val="19"/>
                    </w:rPr>
                    <w:t>M</w:t>
                  </w:r>
                  <w:r w:rsidRPr="00DA4A08">
                    <w:rPr>
                      <w:sz w:val="19"/>
                      <w:szCs w:val="19"/>
                    </w:rPr>
                    <w:t>s</w:t>
                  </w:r>
                </w:p>
              </w:tc>
            </w:tr>
            <w:tr w:rsidR="004C38D3" w:rsidRPr="00B10FD8" w:rsidTr="00FC7BCA">
              <w:trPr>
                <w:trHeight w:val="288"/>
              </w:trPr>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vAlign w:val="center"/>
                </w:tcPr>
                <w:p w:rsidR="004C38D3" w:rsidRPr="00DA4A08" w:rsidRDefault="004C38D3" w:rsidP="00D857DA">
                  <w:pPr>
                    <w:spacing w:line="240" w:lineRule="auto"/>
                    <w:jc w:val="left"/>
                    <w:rPr>
                      <w:rFonts w:asciiTheme="minorHAnsi" w:eastAsia="Calibri" w:hAnsiTheme="minorHAnsi"/>
                      <w:b w:val="0"/>
                      <w:sz w:val="19"/>
                      <w:szCs w:val="19"/>
                    </w:rPr>
                  </w:pPr>
                  <w:r w:rsidRPr="00DA4A08">
                    <w:rPr>
                      <w:b w:val="0"/>
                      <w:sz w:val="19"/>
                      <w:szCs w:val="19"/>
                    </w:rPr>
                    <w:t>As</w:t>
                  </w:r>
                  <w:r w:rsidR="00B03899" w:rsidRPr="00DA4A08">
                    <w:rPr>
                      <w:b w:val="0"/>
                      <w:sz w:val="19"/>
                      <w:szCs w:val="19"/>
                    </w:rPr>
                    <w:t xml:space="preserve"> </w:t>
                  </w:r>
                  <w:r w:rsidRPr="00DA4A08">
                    <w:rPr>
                      <w:b w:val="0"/>
                      <w:sz w:val="19"/>
                      <w:szCs w:val="19"/>
                    </w:rPr>
                    <w:t>% of consumption</w:t>
                  </w:r>
                </w:p>
              </w:tc>
              <w:tc>
                <w:tcPr>
                  <w:tcW w:w="1620" w:type="dxa"/>
                  <w:tcBorders>
                    <w:top w:val="single" w:sz="4" w:space="0" w:color="auto"/>
                  </w:tcBorders>
                  <w:vAlign w:val="center"/>
                </w:tcPr>
                <w:p w:rsidR="004C38D3" w:rsidRPr="00DA4A08" w:rsidRDefault="004C38D3" w:rsidP="00D857D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Cs/>
                      <w:sz w:val="19"/>
                      <w:szCs w:val="19"/>
                    </w:rPr>
                  </w:pPr>
                  <w:r w:rsidRPr="00DA4A08">
                    <w:rPr>
                      <w:bCs/>
                      <w:sz w:val="19"/>
                      <w:szCs w:val="19"/>
                    </w:rPr>
                    <w:t>-0.2</w:t>
                  </w:r>
                </w:p>
              </w:tc>
              <w:tc>
                <w:tcPr>
                  <w:tcW w:w="1260" w:type="dxa"/>
                  <w:tcBorders>
                    <w:top w:val="single" w:sz="4" w:space="0" w:color="auto"/>
                  </w:tcBorders>
                  <w:vAlign w:val="center"/>
                </w:tcPr>
                <w:p w:rsidR="004C38D3" w:rsidRPr="00DA4A08" w:rsidRDefault="004C38D3" w:rsidP="00D857D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Cs/>
                      <w:sz w:val="19"/>
                      <w:szCs w:val="19"/>
                    </w:rPr>
                  </w:pPr>
                  <w:r w:rsidRPr="00DA4A08">
                    <w:rPr>
                      <w:bCs/>
                      <w:sz w:val="19"/>
                      <w:szCs w:val="19"/>
                    </w:rPr>
                    <w:t>-0.3</w:t>
                  </w:r>
                </w:p>
              </w:tc>
              <w:tc>
                <w:tcPr>
                  <w:tcW w:w="1440" w:type="dxa"/>
                  <w:tcBorders>
                    <w:top w:val="single" w:sz="4" w:space="0" w:color="auto"/>
                  </w:tcBorders>
                  <w:vAlign w:val="center"/>
                </w:tcPr>
                <w:p w:rsidR="004C38D3" w:rsidRPr="00DA4A08" w:rsidRDefault="004C38D3" w:rsidP="00D857D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Cs/>
                      <w:sz w:val="19"/>
                      <w:szCs w:val="19"/>
                    </w:rPr>
                  </w:pPr>
                  <w:r w:rsidRPr="00DA4A08">
                    <w:rPr>
                      <w:bCs/>
                      <w:sz w:val="19"/>
                      <w:szCs w:val="19"/>
                    </w:rPr>
                    <w:t>1.5</w:t>
                  </w:r>
                </w:p>
              </w:tc>
              <w:tc>
                <w:tcPr>
                  <w:tcW w:w="1530" w:type="dxa"/>
                  <w:tcBorders>
                    <w:top w:val="single" w:sz="4" w:space="0" w:color="auto"/>
                  </w:tcBorders>
                  <w:vAlign w:val="center"/>
                </w:tcPr>
                <w:p w:rsidR="004C38D3" w:rsidRPr="00DA4A08" w:rsidRDefault="004C38D3" w:rsidP="00D857D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9"/>
                      <w:szCs w:val="19"/>
                    </w:rPr>
                  </w:pPr>
                  <w:r w:rsidRPr="00DA4A08">
                    <w:rPr>
                      <w:sz w:val="19"/>
                      <w:szCs w:val="19"/>
                    </w:rPr>
                    <w:t>1.4</w:t>
                  </w:r>
                </w:p>
              </w:tc>
              <w:tc>
                <w:tcPr>
                  <w:tcW w:w="1620" w:type="dxa"/>
                  <w:tcBorders>
                    <w:top w:val="single" w:sz="4" w:space="0" w:color="auto"/>
                  </w:tcBorders>
                  <w:vAlign w:val="center"/>
                </w:tcPr>
                <w:p w:rsidR="004C38D3" w:rsidRPr="00DA4A08" w:rsidRDefault="004C38D3" w:rsidP="00D857D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9"/>
                      <w:szCs w:val="19"/>
                    </w:rPr>
                  </w:pPr>
                  <w:r w:rsidRPr="00DA4A08">
                    <w:rPr>
                      <w:sz w:val="19"/>
                      <w:szCs w:val="19"/>
                    </w:rPr>
                    <w:t>0.4</w:t>
                  </w:r>
                </w:p>
              </w:tc>
            </w:tr>
            <w:tr w:rsidR="004C38D3" w:rsidRPr="00990B12" w:rsidTr="00FC7B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shd w:val="clear" w:color="auto" w:fill="auto"/>
                  <w:vAlign w:val="center"/>
                </w:tcPr>
                <w:p w:rsidR="004C38D3" w:rsidRPr="00DA4A08" w:rsidRDefault="004C38D3" w:rsidP="00D857DA">
                  <w:pPr>
                    <w:spacing w:line="240" w:lineRule="auto"/>
                    <w:jc w:val="left"/>
                    <w:rPr>
                      <w:rFonts w:asciiTheme="minorHAnsi" w:eastAsia="Calibri" w:hAnsiTheme="minorHAnsi"/>
                      <w:b w:val="0"/>
                      <w:sz w:val="19"/>
                      <w:szCs w:val="19"/>
                    </w:rPr>
                  </w:pPr>
                  <w:r w:rsidRPr="00DA4A08">
                    <w:rPr>
                      <w:b w:val="0"/>
                      <w:sz w:val="19"/>
                      <w:szCs w:val="19"/>
                    </w:rPr>
                    <w:t>As</w:t>
                  </w:r>
                  <w:r w:rsidR="00B03899" w:rsidRPr="00DA4A08">
                    <w:rPr>
                      <w:b w:val="0"/>
                      <w:sz w:val="19"/>
                      <w:szCs w:val="19"/>
                    </w:rPr>
                    <w:t xml:space="preserve"> </w:t>
                  </w:r>
                  <w:r w:rsidRPr="00DA4A08">
                    <w:rPr>
                      <w:b w:val="0"/>
                      <w:sz w:val="19"/>
                      <w:szCs w:val="19"/>
                    </w:rPr>
                    <w:t>% of GDP</w:t>
                  </w:r>
                </w:p>
              </w:tc>
              <w:tc>
                <w:tcPr>
                  <w:tcW w:w="1620" w:type="dxa"/>
                  <w:tcBorders>
                    <w:bottom w:val="single" w:sz="4" w:space="0" w:color="auto"/>
                  </w:tcBorders>
                  <w:shd w:val="clear" w:color="auto" w:fill="auto"/>
                  <w:vAlign w:val="center"/>
                </w:tcPr>
                <w:p w:rsidR="004C38D3" w:rsidRPr="00DA4A08" w:rsidRDefault="004C38D3" w:rsidP="00D857DA">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Cs/>
                      <w:sz w:val="19"/>
                      <w:szCs w:val="19"/>
                    </w:rPr>
                  </w:pPr>
                  <w:r w:rsidRPr="00DA4A08">
                    <w:rPr>
                      <w:bCs/>
                      <w:sz w:val="19"/>
                      <w:szCs w:val="19"/>
                    </w:rPr>
                    <w:t>-0.1</w:t>
                  </w:r>
                </w:p>
              </w:tc>
              <w:tc>
                <w:tcPr>
                  <w:tcW w:w="1260" w:type="dxa"/>
                  <w:tcBorders>
                    <w:bottom w:val="single" w:sz="4" w:space="0" w:color="auto"/>
                  </w:tcBorders>
                  <w:shd w:val="clear" w:color="auto" w:fill="auto"/>
                  <w:vAlign w:val="center"/>
                </w:tcPr>
                <w:p w:rsidR="004C38D3" w:rsidRPr="00DA4A08" w:rsidRDefault="004C38D3" w:rsidP="00D857DA">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Cs/>
                      <w:sz w:val="19"/>
                      <w:szCs w:val="19"/>
                    </w:rPr>
                  </w:pPr>
                  <w:r w:rsidRPr="00DA4A08">
                    <w:rPr>
                      <w:bCs/>
                      <w:sz w:val="19"/>
                      <w:szCs w:val="19"/>
                    </w:rPr>
                    <w:t>-0.1</w:t>
                  </w:r>
                </w:p>
              </w:tc>
              <w:tc>
                <w:tcPr>
                  <w:tcW w:w="1440" w:type="dxa"/>
                  <w:tcBorders>
                    <w:bottom w:val="single" w:sz="4" w:space="0" w:color="auto"/>
                  </w:tcBorders>
                  <w:shd w:val="clear" w:color="auto" w:fill="auto"/>
                  <w:vAlign w:val="center"/>
                </w:tcPr>
                <w:p w:rsidR="004C38D3" w:rsidRPr="00DA4A08" w:rsidRDefault="004C38D3" w:rsidP="00D857DA">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Cs/>
                      <w:sz w:val="19"/>
                      <w:szCs w:val="19"/>
                    </w:rPr>
                  </w:pPr>
                  <w:r w:rsidRPr="00DA4A08">
                    <w:rPr>
                      <w:bCs/>
                      <w:sz w:val="19"/>
                      <w:szCs w:val="19"/>
                    </w:rPr>
                    <w:t>0.7</w:t>
                  </w:r>
                </w:p>
              </w:tc>
              <w:tc>
                <w:tcPr>
                  <w:tcW w:w="1530" w:type="dxa"/>
                  <w:tcBorders>
                    <w:bottom w:val="single" w:sz="4" w:space="0" w:color="auto"/>
                  </w:tcBorders>
                  <w:shd w:val="clear" w:color="auto" w:fill="auto"/>
                  <w:vAlign w:val="center"/>
                </w:tcPr>
                <w:p w:rsidR="004C38D3" w:rsidRPr="00DA4A08" w:rsidRDefault="004C38D3" w:rsidP="00D857DA">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9"/>
                      <w:szCs w:val="19"/>
                    </w:rPr>
                  </w:pPr>
                  <w:r w:rsidRPr="00DA4A08">
                    <w:rPr>
                      <w:sz w:val="19"/>
                      <w:szCs w:val="19"/>
                    </w:rPr>
                    <w:t>0.7</w:t>
                  </w:r>
                </w:p>
              </w:tc>
              <w:tc>
                <w:tcPr>
                  <w:tcW w:w="1620" w:type="dxa"/>
                  <w:tcBorders>
                    <w:bottom w:val="single" w:sz="4" w:space="0" w:color="auto"/>
                  </w:tcBorders>
                  <w:shd w:val="clear" w:color="auto" w:fill="auto"/>
                  <w:vAlign w:val="center"/>
                </w:tcPr>
                <w:p w:rsidR="004C38D3" w:rsidRPr="00DA4A08" w:rsidRDefault="004C38D3" w:rsidP="00D857DA">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9"/>
                      <w:szCs w:val="19"/>
                    </w:rPr>
                  </w:pPr>
                  <w:r w:rsidRPr="00DA4A08">
                    <w:rPr>
                      <w:sz w:val="19"/>
                      <w:szCs w:val="19"/>
                    </w:rPr>
                    <w:t>0.2</w:t>
                  </w:r>
                </w:p>
              </w:tc>
            </w:tr>
          </w:tbl>
          <w:p w:rsidR="004C38D3" w:rsidRPr="00746472" w:rsidRDefault="004C38D3" w:rsidP="005A5562">
            <w:pPr>
              <w:autoSpaceDE w:val="0"/>
              <w:autoSpaceDN w:val="0"/>
              <w:adjustRightInd w:val="0"/>
              <w:spacing w:before="120" w:after="60" w:line="240" w:lineRule="auto"/>
              <w:rPr>
                <w:bCs/>
                <w:sz w:val="18"/>
                <w:szCs w:val="18"/>
              </w:rPr>
            </w:pPr>
            <w:r w:rsidRPr="00746472">
              <w:rPr>
                <w:bCs/>
                <w:i/>
                <w:sz w:val="18"/>
                <w:szCs w:val="18"/>
              </w:rPr>
              <w:t xml:space="preserve">Source: </w:t>
            </w:r>
            <w:r w:rsidRPr="00746472">
              <w:rPr>
                <w:bCs/>
                <w:sz w:val="18"/>
                <w:szCs w:val="18"/>
              </w:rPr>
              <w:t>World Bank (2012)</w:t>
            </w:r>
            <w:r w:rsidR="00B03899" w:rsidRPr="00746472">
              <w:rPr>
                <w:bCs/>
                <w:sz w:val="18"/>
                <w:szCs w:val="18"/>
              </w:rPr>
              <w:t>.</w:t>
            </w:r>
            <w:r w:rsidR="005A5562">
              <w:rPr>
                <w:rFonts w:cs="Times New Roman"/>
                <w:sz w:val="20"/>
                <w:szCs w:val="20"/>
              </w:rPr>
              <w:t xml:space="preserve"> </w:t>
            </w:r>
          </w:p>
          <w:p w:rsidR="00B03899" w:rsidRDefault="00B03899" w:rsidP="00DA4A08">
            <w:pPr>
              <w:spacing w:after="120" w:line="240" w:lineRule="auto"/>
              <w:rPr>
                <w:bCs/>
                <w:sz w:val="18"/>
                <w:szCs w:val="18"/>
              </w:rPr>
            </w:pPr>
            <w:r w:rsidRPr="00746472">
              <w:rPr>
                <w:bCs/>
                <w:sz w:val="18"/>
                <w:szCs w:val="18"/>
              </w:rPr>
              <w:t>Note: a</w:t>
            </w:r>
            <w:r w:rsidR="00DF6FDA" w:rsidRPr="00746472">
              <w:rPr>
                <w:bCs/>
                <w:sz w:val="18"/>
                <w:szCs w:val="18"/>
              </w:rPr>
              <w:t>/</w:t>
            </w:r>
            <w:r w:rsidRPr="00746472">
              <w:rPr>
                <w:bCs/>
                <w:sz w:val="18"/>
                <w:szCs w:val="18"/>
              </w:rPr>
              <w:t xml:space="preserve"> Pessimis</w:t>
            </w:r>
            <w:r w:rsidR="00DF6FDA" w:rsidRPr="00746472">
              <w:rPr>
                <w:bCs/>
                <w:sz w:val="18"/>
                <w:szCs w:val="18"/>
              </w:rPr>
              <w:t xml:space="preserve">tic Scenario: </w:t>
            </w:r>
            <w:r w:rsidR="00621DA3">
              <w:rPr>
                <w:bCs/>
                <w:sz w:val="18"/>
                <w:szCs w:val="18"/>
              </w:rPr>
              <w:t>only tariff increases, no improvements in border or NTM costs</w:t>
            </w:r>
            <w:r w:rsidR="00DF6FDA" w:rsidRPr="00746472">
              <w:rPr>
                <w:bCs/>
                <w:sz w:val="18"/>
                <w:szCs w:val="18"/>
              </w:rPr>
              <w:t>; b/</w:t>
            </w:r>
            <w:r w:rsidRPr="00746472">
              <w:rPr>
                <w:bCs/>
                <w:sz w:val="18"/>
                <w:szCs w:val="18"/>
              </w:rPr>
              <w:t xml:space="preserve"> Optimistic Scenario: </w:t>
            </w:r>
            <w:r w:rsidR="00621DA3">
              <w:rPr>
                <w:bCs/>
                <w:sz w:val="18"/>
                <w:szCs w:val="18"/>
              </w:rPr>
              <w:t>tariff increases, but there are 30 percent cut</w:t>
            </w:r>
            <w:r w:rsidRPr="00746472">
              <w:rPr>
                <w:bCs/>
                <w:sz w:val="18"/>
                <w:szCs w:val="18"/>
              </w:rPr>
              <w:t xml:space="preserve"> in </w:t>
            </w:r>
            <w:r w:rsidR="00621DA3">
              <w:rPr>
                <w:bCs/>
                <w:sz w:val="18"/>
                <w:szCs w:val="18"/>
              </w:rPr>
              <w:t xml:space="preserve">CU related </w:t>
            </w:r>
            <w:r w:rsidRPr="00746472">
              <w:rPr>
                <w:bCs/>
                <w:sz w:val="18"/>
                <w:szCs w:val="18"/>
              </w:rPr>
              <w:t>NT</w:t>
            </w:r>
            <w:r w:rsidR="00621DA3">
              <w:rPr>
                <w:bCs/>
                <w:sz w:val="18"/>
                <w:szCs w:val="18"/>
              </w:rPr>
              <w:t>M</w:t>
            </w:r>
            <w:r w:rsidRPr="00746472">
              <w:rPr>
                <w:bCs/>
                <w:sz w:val="18"/>
                <w:szCs w:val="18"/>
              </w:rPr>
              <w:t>s and</w:t>
            </w:r>
            <w:r w:rsidR="00621DA3">
              <w:rPr>
                <w:bCs/>
                <w:sz w:val="18"/>
                <w:szCs w:val="18"/>
              </w:rPr>
              <w:t xml:space="preserve"> b</w:t>
            </w:r>
            <w:r w:rsidRPr="00746472">
              <w:rPr>
                <w:bCs/>
                <w:sz w:val="18"/>
                <w:szCs w:val="18"/>
              </w:rPr>
              <w:t xml:space="preserve">order </w:t>
            </w:r>
            <w:r w:rsidR="00621DA3">
              <w:rPr>
                <w:bCs/>
                <w:sz w:val="18"/>
                <w:szCs w:val="18"/>
              </w:rPr>
              <w:t>c</w:t>
            </w:r>
            <w:r w:rsidRPr="00746472">
              <w:rPr>
                <w:bCs/>
                <w:sz w:val="18"/>
                <w:szCs w:val="18"/>
              </w:rPr>
              <w:t>osts</w:t>
            </w:r>
            <w:r w:rsidR="00621DA3">
              <w:rPr>
                <w:bCs/>
                <w:sz w:val="18"/>
                <w:szCs w:val="18"/>
              </w:rPr>
              <w:t>.</w:t>
            </w:r>
          </w:p>
          <w:p w:rsidR="005A5562" w:rsidRPr="005A5562" w:rsidRDefault="004C38D3" w:rsidP="005A5562">
            <w:pPr>
              <w:keepNext/>
              <w:spacing w:after="120" w:line="240" w:lineRule="auto"/>
              <w:rPr>
                <w:bCs/>
                <w:sz w:val="18"/>
                <w:szCs w:val="18"/>
              </w:rPr>
            </w:pPr>
            <w:r w:rsidRPr="001B1BC0">
              <w:rPr>
                <w:sz w:val="20"/>
                <w:szCs w:val="20"/>
              </w:rPr>
              <w:t xml:space="preserve">Besides the impact on tariffs, the CU has also had important effects on NTMs. Traditionally a relatively open </w:t>
            </w:r>
            <w:r w:rsidR="00F44F2C" w:rsidRPr="001B1BC0">
              <w:rPr>
                <w:sz w:val="20"/>
                <w:szCs w:val="20"/>
              </w:rPr>
              <w:t>economy;</w:t>
            </w:r>
            <w:r w:rsidRPr="001B1BC0">
              <w:rPr>
                <w:sz w:val="20"/>
                <w:szCs w:val="20"/>
              </w:rPr>
              <w:t xml:space="preserve"> Kazakhstan has now aligned its trade policy to the more restrictive Russian standards and technical regulations. The regulatory framework,</w:t>
            </w:r>
            <w:r w:rsidR="00786508">
              <w:rPr>
                <w:sz w:val="20"/>
                <w:szCs w:val="20"/>
              </w:rPr>
              <w:t xml:space="preserve"> </w:t>
            </w:r>
            <w:r w:rsidRPr="001B1BC0">
              <w:rPr>
                <w:sz w:val="20"/>
                <w:szCs w:val="20"/>
              </w:rPr>
              <w:t>such as procedures on declaring goods, customs valuations, and import licensing as well as SPS and TBT measures,</w:t>
            </w:r>
            <w:r w:rsidR="00786508">
              <w:rPr>
                <w:sz w:val="20"/>
                <w:szCs w:val="20"/>
              </w:rPr>
              <w:t xml:space="preserve"> </w:t>
            </w:r>
            <w:r w:rsidRPr="001B1BC0">
              <w:rPr>
                <w:sz w:val="20"/>
                <w:szCs w:val="20"/>
              </w:rPr>
              <w:t>have mostly been revised to comply with the Russian approach</w:t>
            </w:r>
            <w:r w:rsidR="005A5562">
              <w:rPr>
                <w:sz w:val="20"/>
                <w:szCs w:val="20"/>
              </w:rPr>
              <w:t>. (</w:t>
            </w:r>
            <w:r w:rsidR="005A5562">
              <w:rPr>
                <w:rFonts w:cs="Times New Roman"/>
                <w:sz w:val="20"/>
                <w:szCs w:val="20"/>
              </w:rPr>
              <w:t xml:space="preserve">Tarr D. and Jensen, J. </w:t>
            </w:r>
            <w:r w:rsidR="005A5562" w:rsidRPr="004F29D5">
              <w:rPr>
                <w:rFonts w:cs="Times New Roman"/>
                <w:i/>
                <w:sz w:val="20"/>
                <w:szCs w:val="20"/>
              </w:rPr>
              <w:t>Assessment of Costs and Benefits of the Customs Union for Kazakhstan</w:t>
            </w:r>
            <w:r w:rsidR="005A5562">
              <w:rPr>
                <w:rFonts w:cs="Times New Roman"/>
                <w:sz w:val="20"/>
                <w:szCs w:val="20"/>
              </w:rPr>
              <w:t>.</w:t>
            </w:r>
            <w:r w:rsidR="005A5562" w:rsidRPr="004F29D5">
              <w:rPr>
                <w:sz w:val="20"/>
                <w:szCs w:val="20"/>
              </w:rPr>
              <w:t>2012.</w:t>
            </w:r>
            <w:r w:rsidR="005A5562" w:rsidRPr="004F29D5">
              <w:rPr>
                <w:rFonts w:cs="Times New Roman"/>
                <w:sz w:val="20"/>
                <w:szCs w:val="20"/>
              </w:rPr>
              <w:t xml:space="preserve"> World Bank</w:t>
            </w:r>
            <w:r w:rsidR="005A5562">
              <w:rPr>
                <w:rFonts w:cs="Times New Roman"/>
                <w:sz w:val="20"/>
                <w:szCs w:val="20"/>
              </w:rPr>
              <w:t>).</w:t>
            </w:r>
          </w:p>
        </w:tc>
      </w:tr>
    </w:tbl>
    <w:p w:rsidR="00652A32" w:rsidRDefault="00652A32" w:rsidP="00652A32">
      <w:r>
        <w:br w:type="page"/>
      </w:r>
    </w:p>
    <w:p w:rsidR="005C016D" w:rsidRPr="00652A32" w:rsidRDefault="00BA5689" w:rsidP="00946D71">
      <w:pPr>
        <w:pStyle w:val="Heading2"/>
      </w:pPr>
      <w:bookmarkStart w:id="19" w:name="_Toc371607424"/>
      <w:bookmarkStart w:id="20" w:name="_Toc378151200"/>
      <w:r w:rsidRPr="00652A32">
        <w:lastRenderedPageBreak/>
        <w:t xml:space="preserve">Joining </w:t>
      </w:r>
      <w:r w:rsidR="005F2099">
        <w:t>t</w:t>
      </w:r>
      <w:r w:rsidR="005F2099" w:rsidRPr="00652A32">
        <w:t xml:space="preserve">he </w:t>
      </w:r>
      <w:r w:rsidRPr="00652A32">
        <w:t xml:space="preserve">WTO </w:t>
      </w:r>
      <w:r w:rsidR="005F2099" w:rsidRPr="00652A32">
        <w:t xml:space="preserve">Will </w:t>
      </w:r>
      <w:r w:rsidR="00C11554">
        <w:t>Offset Some of the Negative</w:t>
      </w:r>
      <w:r w:rsidR="005F2099" w:rsidRPr="00652A32">
        <w:t xml:space="preserve"> Impact</w:t>
      </w:r>
      <w:r w:rsidR="002A2CBC">
        <w:t>s</w:t>
      </w:r>
      <w:r w:rsidR="005F2099" w:rsidRPr="00652A32">
        <w:t xml:space="preserve"> of</w:t>
      </w:r>
      <w:r w:rsidR="00C11554">
        <w:t xml:space="preserve"> </w:t>
      </w:r>
      <w:r w:rsidR="005F2099" w:rsidRPr="00652A32">
        <w:t xml:space="preserve">Joining the </w:t>
      </w:r>
      <w:r w:rsidRPr="00652A32">
        <w:t>Customs Union</w:t>
      </w:r>
      <w:bookmarkEnd w:id="19"/>
      <w:bookmarkEnd w:id="20"/>
      <w:r w:rsidR="00273ADF" w:rsidRPr="00652A32">
        <w:t xml:space="preserve"> </w:t>
      </w:r>
    </w:p>
    <w:p w:rsidR="001B5907" w:rsidRPr="00382886" w:rsidRDefault="00353A7A" w:rsidP="00382886">
      <w:pPr>
        <w:pStyle w:val="ListParagraph"/>
        <w:numPr>
          <w:ilvl w:val="0"/>
          <w:numId w:val="1"/>
        </w:numPr>
        <w:tabs>
          <w:tab w:val="left" w:pos="720"/>
        </w:tabs>
        <w:spacing w:line="240" w:lineRule="auto"/>
        <w:ind w:left="0" w:firstLine="0"/>
        <w:contextualSpacing w:val="0"/>
        <w:rPr>
          <w:rFonts w:cs="Times New Roman"/>
          <w:b/>
          <w:sz w:val="22"/>
        </w:rPr>
      </w:pPr>
      <w:r w:rsidRPr="00353A7A">
        <w:rPr>
          <w:rFonts w:cs="Times New Roman"/>
          <w:b/>
          <w:sz w:val="22"/>
        </w:rPr>
        <w:t>Joining the WTO using Russia’s tariff schedule will reduce Kaz</w:t>
      </w:r>
      <w:r w:rsidR="00382886">
        <w:rPr>
          <w:rFonts w:cs="Times New Roman"/>
          <w:b/>
          <w:sz w:val="22"/>
        </w:rPr>
        <w:t>akh</w:t>
      </w:r>
      <w:r w:rsidRPr="00353A7A">
        <w:rPr>
          <w:rFonts w:cs="Times New Roman"/>
          <w:b/>
          <w:sz w:val="22"/>
        </w:rPr>
        <w:t>stan</w:t>
      </w:r>
      <w:r w:rsidR="007E5502">
        <w:rPr>
          <w:rFonts w:cs="Times New Roman"/>
          <w:b/>
          <w:sz w:val="22"/>
        </w:rPr>
        <w:t>’s</w:t>
      </w:r>
      <w:r w:rsidRPr="00353A7A">
        <w:rPr>
          <w:rFonts w:cs="Times New Roman"/>
          <w:b/>
          <w:sz w:val="22"/>
        </w:rPr>
        <w:t xml:space="preserve"> tariff rates substantially and raise consumption and GDP. </w:t>
      </w:r>
      <w:r w:rsidR="00382886">
        <w:rPr>
          <w:rFonts w:cs="Times New Roman"/>
          <w:sz w:val="22"/>
        </w:rPr>
        <w:t xml:space="preserve">The scenario </w:t>
      </w:r>
      <w:r w:rsidR="00BA5689" w:rsidRPr="00382886">
        <w:rPr>
          <w:rFonts w:cs="Times New Roman"/>
          <w:sz w:val="22"/>
        </w:rPr>
        <w:t xml:space="preserve">was chosen by the authorities given Kazakhstan’s ongoing regional integration efforts </w:t>
      </w:r>
      <w:r w:rsidR="00273ADF" w:rsidRPr="00382886">
        <w:rPr>
          <w:rFonts w:cs="Times New Roman"/>
          <w:sz w:val="22"/>
        </w:rPr>
        <w:t xml:space="preserve">and WTO negotiations and </w:t>
      </w:r>
      <w:r w:rsidR="00BA5689" w:rsidRPr="00382886">
        <w:rPr>
          <w:rFonts w:cs="Times New Roman"/>
          <w:sz w:val="22"/>
        </w:rPr>
        <w:t>Russia’s 2011 accession to the WTO.</w:t>
      </w:r>
      <w:r w:rsidR="00786508">
        <w:rPr>
          <w:rFonts w:cs="Times New Roman"/>
          <w:sz w:val="22"/>
        </w:rPr>
        <w:t xml:space="preserve"> </w:t>
      </w:r>
      <w:r w:rsidR="00EC28C4" w:rsidRPr="00382886">
        <w:rPr>
          <w:rFonts w:cs="Times New Roman"/>
          <w:sz w:val="22"/>
        </w:rPr>
        <w:t xml:space="preserve">This study uses the same </w:t>
      </w:r>
      <w:r w:rsidR="00382886">
        <w:rPr>
          <w:rFonts w:cs="Times New Roman"/>
          <w:sz w:val="22"/>
        </w:rPr>
        <w:t xml:space="preserve">CGE </w:t>
      </w:r>
      <w:r w:rsidR="00EC28C4" w:rsidRPr="00382886">
        <w:rPr>
          <w:rFonts w:cs="Times New Roman"/>
          <w:sz w:val="22"/>
        </w:rPr>
        <w:t>model that was used by Tarr</w:t>
      </w:r>
      <w:r w:rsidR="003D3C8A">
        <w:rPr>
          <w:rFonts w:cs="Times New Roman"/>
          <w:sz w:val="22"/>
        </w:rPr>
        <w:t xml:space="preserve"> and Jensen</w:t>
      </w:r>
      <w:r w:rsidR="00EC28C4" w:rsidRPr="00382886">
        <w:rPr>
          <w:rFonts w:cs="Times New Roman"/>
          <w:sz w:val="22"/>
        </w:rPr>
        <w:t xml:space="preserve"> (2012) to study the impact of Kazakhstan joining the Customs Union, but </w:t>
      </w:r>
      <w:r w:rsidR="005C016D" w:rsidRPr="00382886">
        <w:rPr>
          <w:rFonts w:cs="Times New Roman"/>
          <w:sz w:val="22"/>
        </w:rPr>
        <w:t>it looks</w:t>
      </w:r>
      <w:r w:rsidR="00EC28C4" w:rsidRPr="00382886">
        <w:rPr>
          <w:rFonts w:cs="Times New Roman"/>
          <w:sz w:val="22"/>
        </w:rPr>
        <w:t xml:space="preserve"> at WTO accession and uses the 2012 tariff rates as the departure point</w:t>
      </w:r>
      <w:r w:rsidR="003D3C8A">
        <w:rPr>
          <w:rFonts w:cs="Times New Roman"/>
          <w:sz w:val="22"/>
        </w:rPr>
        <w:t xml:space="preserve"> (Box 1)</w:t>
      </w:r>
      <w:r w:rsidR="00EC28C4" w:rsidRPr="00382886">
        <w:rPr>
          <w:rFonts w:cs="Times New Roman"/>
          <w:sz w:val="22"/>
        </w:rPr>
        <w:t>.</w:t>
      </w:r>
      <w:r w:rsidR="00EC28C4" w:rsidRPr="00EC28C4">
        <w:rPr>
          <w:rFonts w:cs="Times New Roman"/>
          <w:sz w:val="22"/>
          <w:vertAlign w:val="superscript"/>
        </w:rPr>
        <w:footnoteReference w:id="6"/>
      </w:r>
      <w:r w:rsidR="00786508">
        <w:rPr>
          <w:rFonts w:cs="Times New Roman"/>
          <w:sz w:val="22"/>
        </w:rPr>
        <w:t xml:space="preserve"> </w:t>
      </w:r>
      <w:r w:rsidR="00445B30">
        <w:rPr>
          <w:rFonts w:cs="Times New Roman"/>
          <w:sz w:val="22"/>
        </w:rPr>
        <w:t>It</w:t>
      </w:r>
      <w:r w:rsidR="0094753D">
        <w:rPr>
          <w:rFonts w:cs="Times New Roman"/>
          <w:sz w:val="22"/>
        </w:rPr>
        <w:t xml:space="preserve"> assume</w:t>
      </w:r>
      <w:r w:rsidR="00445B30">
        <w:rPr>
          <w:rFonts w:cs="Times New Roman"/>
          <w:sz w:val="22"/>
        </w:rPr>
        <w:t>s</w:t>
      </w:r>
      <w:r w:rsidR="0094753D">
        <w:rPr>
          <w:rFonts w:cs="Times New Roman"/>
          <w:sz w:val="22"/>
        </w:rPr>
        <w:t xml:space="preserve"> </w:t>
      </w:r>
      <w:r w:rsidR="007E5502">
        <w:rPr>
          <w:rFonts w:cs="Times New Roman"/>
          <w:sz w:val="22"/>
        </w:rPr>
        <w:t xml:space="preserve">2012 as the </w:t>
      </w:r>
      <w:r w:rsidR="0094753D">
        <w:rPr>
          <w:rFonts w:cs="Times New Roman"/>
          <w:sz w:val="22"/>
        </w:rPr>
        <w:t xml:space="preserve">implementation, when Russia started implementing its WTO </w:t>
      </w:r>
      <w:r w:rsidR="007E5502">
        <w:rPr>
          <w:rFonts w:cs="Times New Roman"/>
          <w:sz w:val="22"/>
        </w:rPr>
        <w:t xml:space="preserve">tariff </w:t>
      </w:r>
      <w:r w:rsidR="0094753D">
        <w:rPr>
          <w:rFonts w:cs="Times New Roman"/>
          <w:sz w:val="22"/>
        </w:rPr>
        <w:t>obligations.</w:t>
      </w:r>
      <w:r w:rsidR="00786508">
        <w:rPr>
          <w:rFonts w:cs="Times New Roman"/>
          <w:sz w:val="22"/>
        </w:rPr>
        <w:t xml:space="preserve"> </w:t>
      </w:r>
      <w:r w:rsidR="009F1377" w:rsidRPr="00382886">
        <w:rPr>
          <w:rFonts w:cs="Times New Roman"/>
          <w:sz w:val="22"/>
        </w:rPr>
        <w:t xml:space="preserve">The choice of 2020 as </w:t>
      </w:r>
      <w:r w:rsidR="007E5502">
        <w:rPr>
          <w:rFonts w:cs="Times New Roman"/>
          <w:sz w:val="22"/>
        </w:rPr>
        <w:t xml:space="preserve">the </w:t>
      </w:r>
      <w:r w:rsidR="009F1377" w:rsidRPr="00382886">
        <w:rPr>
          <w:rFonts w:cs="Times New Roman"/>
          <w:sz w:val="22"/>
        </w:rPr>
        <w:t xml:space="preserve">end-date is </w:t>
      </w:r>
      <w:r w:rsidR="007E5502">
        <w:rPr>
          <w:rFonts w:cs="Times New Roman"/>
          <w:sz w:val="22"/>
        </w:rPr>
        <w:t xml:space="preserve">intended </w:t>
      </w:r>
      <w:r w:rsidR="00C11554">
        <w:rPr>
          <w:rFonts w:cs="Times New Roman"/>
          <w:sz w:val="22"/>
        </w:rPr>
        <w:t xml:space="preserve">to </w:t>
      </w:r>
      <w:r w:rsidR="007E5502">
        <w:rPr>
          <w:rFonts w:cs="Times New Roman"/>
          <w:sz w:val="22"/>
        </w:rPr>
        <w:t xml:space="preserve">illustrate </w:t>
      </w:r>
      <w:r w:rsidR="009F1377" w:rsidRPr="00382886">
        <w:rPr>
          <w:rFonts w:cs="Times New Roman"/>
          <w:sz w:val="22"/>
        </w:rPr>
        <w:t>a decade of trade</w:t>
      </w:r>
      <w:r w:rsidR="0094753D">
        <w:rPr>
          <w:rFonts w:cs="Times New Roman"/>
          <w:sz w:val="22"/>
        </w:rPr>
        <w:t xml:space="preserve"> development</w:t>
      </w:r>
      <w:r w:rsidR="007E5502">
        <w:rPr>
          <w:rFonts w:cs="Times New Roman"/>
          <w:sz w:val="22"/>
        </w:rPr>
        <w:t>s</w:t>
      </w:r>
      <w:r w:rsidR="009F1377" w:rsidRPr="00382886">
        <w:rPr>
          <w:rFonts w:cs="Times New Roman"/>
          <w:sz w:val="22"/>
        </w:rPr>
        <w:t>.</w:t>
      </w:r>
      <w:r w:rsidR="00EC28C4" w:rsidRPr="00382886">
        <w:rPr>
          <w:rFonts w:cs="Times New Roman"/>
          <w:sz w:val="22"/>
        </w:rPr>
        <w:t xml:space="preserve"> The model is used to consider how lower tariff rates will impact Kazakhstan’s domestic production, trade volumes, household welfare, and GDP.</w:t>
      </w:r>
      <w:r w:rsidR="00786508">
        <w:rPr>
          <w:rFonts w:cs="Times New Roman"/>
          <w:sz w:val="22"/>
        </w:rPr>
        <w:t xml:space="preserve"> </w:t>
      </w:r>
      <w:r w:rsidR="00EC28C4" w:rsidRPr="00382886">
        <w:rPr>
          <w:rFonts w:cs="Times New Roman"/>
          <w:sz w:val="22"/>
        </w:rPr>
        <w:t>Constant returns to scale and competition are assumed.</w:t>
      </w:r>
      <w:r w:rsidR="00786508">
        <w:rPr>
          <w:rFonts w:cs="Times New Roman"/>
          <w:sz w:val="22"/>
        </w:rPr>
        <w:t xml:space="preserve"> </w:t>
      </w:r>
      <w:r w:rsidR="00EC28C4" w:rsidRPr="00382886">
        <w:rPr>
          <w:rFonts w:cs="Times New Roman"/>
          <w:sz w:val="22"/>
        </w:rPr>
        <w:t xml:space="preserve">Two additional scenarios offer a re-take on the potential “optimistic” and “pessimistic” scenarios that were described in </w:t>
      </w:r>
      <w:r w:rsidR="003D3C8A">
        <w:rPr>
          <w:rFonts w:cs="Times New Roman"/>
          <w:sz w:val="22"/>
        </w:rPr>
        <w:t>Tarr and Jensen’s</w:t>
      </w:r>
      <w:r w:rsidR="00273ADF" w:rsidRPr="00382886">
        <w:rPr>
          <w:rFonts w:cs="Times New Roman"/>
          <w:sz w:val="22"/>
        </w:rPr>
        <w:t xml:space="preserve"> </w:t>
      </w:r>
      <w:r w:rsidR="008018D7" w:rsidRPr="00382886">
        <w:rPr>
          <w:rFonts w:cs="Times New Roman"/>
          <w:sz w:val="22"/>
        </w:rPr>
        <w:t>2012 study</w:t>
      </w:r>
      <w:r w:rsidR="003D3C8A">
        <w:rPr>
          <w:rFonts w:cs="Times New Roman"/>
          <w:sz w:val="22"/>
        </w:rPr>
        <w:t xml:space="preserve"> (Box 1)</w:t>
      </w:r>
      <w:r w:rsidR="00EC28C4" w:rsidRPr="00382886">
        <w:rPr>
          <w:rFonts w:cs="Times New Roman"/>
          <w:sz w:val="22"/>
        </w:rPr>
        <w:t>.</w:t>
      </w:r>
      <w:r w:rsidR="00786508">
        <w:rPr>
          <w:rFonts w:cs="Times New Roman"/>
          <w:sz w:val="22"/>
        </w:rPr>
        <w:t xml:space="preserve"> </w:t>
      </w:r>
      <w:r w:rsidR="00EC28C4" w:rsidRPr="00382886">
        <w:rPr>
          <w:rFonts w:cs="Times New Roman"/>
          <w:sz w:val="22"/>
        </w:rPr>
        <w:t>An update on the border costs and trade facilitation is included.</w:t>
      </w:r>
      <w:r w:rsidR="00786508">
        <w:rPr>
          <w:rFonts w:cs="Times New Roman"/>
          <w:sz w:val="22"/>
        </w:rPr>
        <w:t xml:space="preserve"> </w:t>
      </w:r>
      <w:r w:rsidR="00EC28C4" w:rsidRPr="00382886">
        <w:rPr>
          <w:rFonts w:cs="Times New Roman"/>
          <w:sz w:val="22"/>
        </w:rPr>
        <w:t>We do not account for services and economies of scale in the model.</w:t>
      </w:r>
      <w:r w:rsidR="00786508">
        <w:rPr>
          <w:rFonts w:cs="Times New Roman"/>
          <w:sz w:val="22"/>
        </w:rPr>
        <w:t xml:space="preserve"> </w:t>
      </w:r>
      <w:r w:rsidR="00EC28C4" w:rsidRPr="00382886">
        <w:rPr>
          <w:rFonts w:cs="Times New Roman"/>
          <w:sz w:val="22"/>
        </w:rPr>
        <w:t>Adding the services sector and a fuller assessment of the gains from regulatory improvements and trade facilitation is expected to enhance the impact of WTO accession</w:t>
      </w:r>
      <w:r w:rsidR="008A68AE">
        <w:rPr>
          <w:rFonts w:cs="Times New Roman"/>
          <w:sz w:val="22"/>
        </w:rPr>
        <w:t>.</w:t>
      </w:r>
      <w:r w:rsidR="008A68AE">
        <w:rPr>
          <w:rStyle w:val="FootnoteReference"/>
          <w:sz w:val="22"/>
        </w:rPr>
        <w:footnoteReference w:id="7"/>
      </w:r>
      <w:r w:rsidR="00EC28C4" w:rsidRPr="00382886">
        <w:rPr>
          <w:rFonts w:cs="Times New Roman"/>
          <w:sz w:val="22"/>
        </w:rPr>
        <w:t xml:space="preserve"> </w:t>
      </w:r>
    </w:p>
    <w:p w:rsidR="00BC37E4" w:rsidRDefault="00EC28C4" w:rsidP="005E2BA3">
      <w:pPr>
        <w:pStyle w:val="ListParagraph"/>
        <w:numPr>
          <w:ilvl w:val="0"/>
          <w:numId w:val="1"/>
        </w:numPr>
        <w:tabs>
          <w:tab w:val="left" w:pos="720"/>
        </w:tabs>
        <w:spacing w:line="240" w:lineRule="auto"/>
        <w:ind w:left="0" w:firstLine="0"/>
        <w:contextualSpacing w:val="0"/>
        <w:rPr>
          <w:rFonts w:cs="Times New Roman"/>
          <w:sz w:val="22"/>
        </w:rPr>
      </w:pPr>
      <w:bookmarkStart w:id="21" w:name="_Toc371607733"/>
      <w:bookmarkStart w:id="22" w:name="_Toc371607817"/>
      <w:r w:rsidRPr="005E2BA3">
        <w:rPr>
          <w:rFonts w:cs="Times New Roman"/>
          <w:b/>
          <w:sz w:val="22"/>
        </w:rPr>
        <w:t>Adopting</w:t>
      </w:r>
      <w:r w:rsidR="00190F39" w:rsidRPr="005E2BA3">
        <w:rPr>
          <w:rFonts w:cs="Times New Roman"/>
          <w:b/>
          <w:sz w:val="22"/>
        </w:rPr>
        <w:t xml:space="preserve"> </w:t>
      </w:r>
      <w:r w:rsidR="00BA5689" w:rsidRPr="005E2BA3">
        <w:rPr>
          <w:rFonts w:cs="Times New Roman"/>
          <w:b/>
          <w:sz w:val="22"/>
        </w:rPr>
        <w:t>the same tariff schedule as</w:t>
      </w:r>
      <w:r w:rsidRPr="005E2BA3">
        <w:rPr>
          <w:rFonts w:cs="Times New Roman"/>
          <w:b/>
          <w:sz w:val="22"/>
        </w:rPr>
        <w:t xml:space="preserve"> </w:t>
      </w:r>
      <w:r w:rsidR="000B4FAE" w:rsidRPr="005E2BA3">
        <w:rPr>
          <w:rFonts w:cs="Times New Roman"/>
          <w:b/>
          <w:sz w:val="22"/>
        </w:rPr>
        <w:t>Russia</w:t>
      </w:r>
      <w:r w:rsidR="00C51738" w:rsidRPr="005E2BA3">
        <w:rPr>
          <w:rFonts w:cs="Times New Roman"/>
          <w:b/>
          <w:sz w:val="22"/>
        </w:rPr>
        <w:t xml:space="preserve"> </w:t>
      </w:r>
      <w:r w:rsidRPr="005E2BA3">
        <w:rPr>
          <w:rFonts w:cs="Times New Roman"/>
          <w:b/>
          <w:sz w:val="22"/>
        </w:rPr>
        <w:t xml:space="preserve">to accede to the WTO will lead to a sharp decline in </w:t>
      </w:r>
      <w:r w:rsidR="007E5502">
        <w:rPr>
          <w:rFonts w:cs="Times New Roman"/>
          <w:b/>
          <w:sz w:val="22"/>
        </w:rPr>
        <w:t xml:space="preserve">average </w:t>
      </w:r>
      <w:r w:rsidRPr="005E2BA3">
        <w:rPr>
          <w:rFonts w:cs="Times New Roman"/>
          <w:b/>
          <w:sz w:val="22"/>
        </w:rPr>
        <w:t>tariff rates.</w:t>
      </w:r>
      <w:r w:rsidRPr="005E2BA3">
        <w:rPr>
          <w:rFonts w:cs="Times New Roman"/>
          <w:sz w:val="22"/>
        </w:rPr>
        <w:t xml:space="preserve"> The current un</w:t>
      </w:r>
      <w:r w:rsidR="005652FE">
        <w:rPr>
          <w:rFonts w:cs="Times New Roman"/>
          <w:sz w:val="22"/>
        </w:rPr>
        <w:t>-</w:t>
      </w:r>
      <w:r w:rsidRPr="005E2BA3">
        <w:rPr>
          <w:rFonts w:cs="Times New Roman"/>
          <w:sz w:val="22"/>
        </w:rPr>
        <w:t xml:space="preserve">weighted mean tariff rates would decline from 10.6 percent at </w:t>
      </w:r>
      <w:r w:rsidR="00ED6340">
        <w:rPr>
          <w:rFonts w:cs="Times New Roman"/>
          <w:sz w:val="22"/>
        </w:rPr>
        <w:t xml:space="preserve">the end of </w:t>
      </w:r>
      <w:r w:rsidRPr="005E2BA3">
        <w:rPr>
          <w:rFonts w:cs="Times New Roman"/>
          <w:sz w:val="22"/>
        </w:rPr>
        <w:t>2012 to 7.9 percent in 2020.</w:t>
      </w:r>
      <w:r w:rsidR="00786508">
        <w:rPr>
          <w:rFonts w:cs="Times New Roman"/>
          <w:sz w:val="22"/>
        </w:rPr>
        <w:t xml:space="preserve"> </w:t>
      </w:r>
      <w:r w:rsidRPr="005E2BA3">
        <w:rPr>
          <w:rFonts w:cs="Times New Roman"/>
          <w:sz w:val="22"/>
        </w:rPr>
        <w:t>Average trade-weighted rates will fall from 8.9 percent</w:t>
      </w:r>
      <w:r w:rsidR="00190F39" w:rsidRPr="005E2BA3">
        <w:rPr>
          <w:rFonts w:cs="Times New Roman"/>
          <w:sz w:val="22"/>
        </w:rPr>
        <w:t xml:space="preserve"> in 2012</w:t>
      </w:r>
      <w:r w:rsidRPr="005E2BA3">
        <w:rPr>
          <w:rFonts w:cs="Times New Roman"/>
          <w:sz w:val="22"/>
        </w:rPr>
        <w:t xml:space="preserve"> back down to 5.5 percent by 2020</w:t>
      </w:r>
      <w:r w:rsidR="00190F39" w:rsidRPr="005E2BA3">
        <w:rPr>
          <w:rFonts w:cs="Times New Roman"/>
          <w:sz w:val="22"/>
        </w:rPr>
        <w:t>.</w:t>
      </w:r>
      <w:r w:rsidR="00786508">
        <w:rPr>
          <w:rFonts w:cs="Times New Roman"/>
          <w:sz w:val="22"/>
        </w:rPr>
        <w:t xml:space="preserve"> </w:t>
      </w:r>
      <w:r w:rsidR="009360ED" w:rsidRPr="005E2BA3">
        <w:rPr>
          <w:rFonts w:cs="Times New Roman"/>
          <w:sz w:val="22"/>
        </w:rPr>
        <w:t>Most</w:t>
      </w:r>
      <w:r w:rsidRPr="005E2BA3">
        <w:rPr>
          <w:rFonts w:cs="Times New Roman"/>
          <w:sz w:val="22"/>
        </w:rPr>
        <w:t xml:space="preserve"> of the reductions </w:t>
      </w:r>
      <w:r w:rsidR="009360ED" w:rsidRPr="005E2BA3">
        <w:rPr>
          <w:rFonts w:cs="Times New Roman"/>
          <w:sz w:val="22"/>
        </w:rPr>
        <w:t xml:space="preserve">occur </w:t>
      </w:r>
      <w:r w:rsidRPr="005E2BA3">
        <w:rPr>
          <w:rFonts w:cs="Times New Roman"/>
          <w:sz w:val="22"/>
        </w:rPr>
        <w:t>by 2016 while a few sectors are liberalized more slowly.</w:t>
      </w:r>
      <w:r w:rsidR="00786508">
        <w:rPr>
          <w:rFonts w:cs="Times New Roman"/>
          <w:sz w:val="22"/>
        </w:rPr>
        <w:t xml:space="preserve"> </w:t>
      </w:r>
      <w:r w:rsidRPr="005E2BA3">
        <w:rPr>
          <w:rFonts w:cs="Times New Roman"/>
          <w:sz w:val="22"/>
        </w:rPr>
        <w:t xml:space="preserve">The 2020 tariff regime is similar to Kazakhstan’s pre-Customs Union rates in 2009, which </w:t>
      </w:r>
      <w:r w:rsidR="00ED6340">
        <w:rPr>
          <w:rFonts w:cs="Times New Roman"/>
          <w:sz w:val="22"/>
        </w:rPr>
        <w:t xml:space="preserve">averaged </w:t>
      </w:r>
      <w:r w:rsidRPr="005E2BA3">
        <w:rPr>
          <w:rFonts w:cs="Times New Roman"/>
          <w:sz w:val="22"/>
        </w:rPr>
        <w:t>5.3 percent</w:t>
      </w:r>
      <w:r w:rsidR="00ED6340">
        <w:rPr>
          <w:rFonts w:cs="Times New Roman"/>
          <w:sz w:val="22"/>
        </w:rPr>
        <w:t xml:space="preserve"> </w:t>
      </w:r>
      <w:r w:rsidRPr="005E2BA3">
        <w:rPr>
          <w:rFonts w:cs="Times New Roman"/>
          <w:sz w:val="22"/>
        </w:rPr>
        <w:t xml:space="preserve">on a trade-weighted basis (Shypotylo, 2013). The trade weighted tariff dispersion (standard deviation) will also fall </w:t>
      </w:r>
      <w:r w:rsidR="00E06096">
        <w:rPr>
          <w:rFonts w:cs="Times New Roman"/>
          <w:sz w:val="22"/>
        </w:rPr>
        <w:t>sha</w:t>
      </w:r>
      <w:r w:rsidR="00ED6340">
        <w:rPr>
          <w:rFonts w:cs="Times New Roman"/>
          <w:sz w:val="22"/>
        </w:rPr>
        <w:t>r</w:t>
      </w:r>
      <w:r w:rsidR="00E06096">
        <w:rPr>
          <w:rFonts w:cs="Times New Roman"/>
          <w:sz w:val="22"/>
        </w:rPr>
        <w:t>ply</w:t>
      </w:r>
      <w:r w:rsidRPr="005E2BA3">
        <w:rPr>
          <w:rFonts w:cs="Times New Roman"/>
          <w:sz w:val="22"/>
        </w:rPr>
        <w:t xml:space="preserve"> from 8.77 in 2012 to 5 by 2020</w:t>
      </w:r>
      <w:r w:rsidR="00A24FB5" w:rsidRPr="005E2BA3">
        <w:rPr>
          <w:rFonts w:cs="Times New Roman"/>
          <w:sz w:val="22"/>
        </w:rPr>
        <w:t xml:space="preserve"> (Table</w:t>
      </w:r>
      <w:r w:rsidR="00C4227C" w:rsidRPr="005E2BA3">
        <w:rPr>
          <w:rFonts w:cs="Times New Roman"/>
          <w:sz w:val="22"/>
        </w:rPr>
        <w:t xml:space="preserve"> 3</w:t>
      </w:r>
      <w:r w:rsidR="00A24FB5" w:rsidRPr="005E2BA3">
        <w:rPr>
          <w:rFonts w:cs="Times New Roman"/>
          <w:sz w:val="22"/>
        </w:rPr>
        <w:t>)</w:t>
      </w:r>
      <w:r w:rsidRPr="005E2BA3">
        <w:rPr>
          <w:rFonts w:cs="Times New Roman"/>
          <w:sz w:val="22"/>
        </w:rPr>
        <w:t>.</w:t>
      </w:r>
      <w:r w:rsidR="00786508">
        <w:rPr>
          <w:rFonts w:cs="Times New Roman"/>
          <w:sz w:val="22"/>
        </w:rPr>
        <w:t xml:space="preserve"> </w:t>
      </w:r>
      <w:r w:rsidR="00541442" w:rsidRPr="005E2BA3">
        <w:rPr>
          <w:rFonts w:cs="Times New Roman"/>
          <w:sz w:val="22"/>
        </w:rPr>
        <w:t xml:space="preserve">Figure </w:t>
      </w:r>
      <w:r w:rsidR="004702C4">
        <w:rPr>
          <w:rFonts w:cs="Times New Roman"/>
          <w:sz w:val="22"/>
        </w:rPr>
        <w:t>3</w:t>
      </w:r>
      <w:r w:rsidR="00541442" w:rsidRPr="005E2BA3">
        <w:rPr>
          <w:rFonts w:cs="Times New Roman"/>
          <w:sz w:val="22"/>
        </w:rPr>
        <w:t xml:space="preserve"> shows </w:t>
      </w:r>
      <w:r w:rsidRPr="005E2BA3">
        <w:rPr>
          <w:rFonts w:cs="Times New Roman"/>
          <w:sz w:val="22"/>
        </w:rPr>
        <w:t xml:space="preserve">first </w:t>
      </w:r>
      <w:r w:rsidR="00541442" w:rsidRPr="005E2BA3">
        <w:rPr>
          <w:rFonts w:cs="Times New Roman"/>
          <w:sz w:val="22"/>
        </w:rPr>
        <w:t>the almost unanimous tariff increases in 2010 related to joining the CU and</w:t>
      </w:r>
      <w:r w:rsidRPr="005E2BA3">
        <w:rPr>
          <w:rFonts w:cs="Times New Roman"/>
          <w:sz w:val="22"/>
        </w:rPr>
        <w:t xml:space="preserve"> then a gradual decrease in tariff rates</w:t>
      </w:r>
      <w:r w:rsidR="00541442" w:rsidRPr="005E2BA3">
        <w:rPr>
          <w:rFonts w:cs="Times New Roman"/>
          <w:sz w:val="22"/>
        </w:rPr>
        <w:t xml:space="preserve"> associated with the current scenario of acceding to the WTO.</w:t>
      </w:r>
      <w:bookmarkEnd w:id="21"/>
      <w:bookmarkEnd w:id="22"/>
      <w:r w:rsidR="003D3C8A">
        <w:rPr>
          <w:rFonts w:cs="Times New Roman"/>
          <w:sz w:val="22"/>
        </w:rPr>
        <w:t xml:space="preserve"> </w:t>
      </w:r>
    </w:p>
    <w:p w:rsidR="000F1FF7" w:rsidRDefault="00B10FD8">
      <w:pPr>
        <w:spacing w:line="276" w:lineRule="auto"/>
        <w:jc w:val="left"/>
        <w:rPr>
          <w:highlight w:val="yellow"/>
        </w:rPr>
      </w:pPr>
      <w:r>
        <w:rPr>
          <w:highlight w:val="yellow"/>
        </w:rPr>
        <w:br w:type="page"/>
      </w:r>
    </w:p>
    <w:p w:rsidR="00CC4E3E" w:rsidRPr="00B10FD8" w:rsidRDefault="00CC4E3E" w:rsidP="00CC4E3E">
      <w:pPr>
        <w:pStyle w:val="Caption"/>
      </w:pPr>
      <w:bookmarkStart w:id="23" w:name="_Toc378151214"/>
      <w:r w:rsidRPr="00B10FD8">
        <w:lastRenderedPageBreak/>
        <w:t xml:space="preserve">Table </w:t>
      </w:r>
      <w:fldSimple w:instr=" SEQ Table \* ARABIC ">
        <w:r w:rsidR="0056192E">
          <w:rPr>
            <w:noProof/>
          </w:rPr>
          <w:t>6</w:t>
        </w:r>
      </w:fldSimple>
      <w:r w:rsidRPr="00B10FD8">
        <w:t xml:space="preserve">: By 2020 </w:t>
      </w:r>
      <w:r>
        <w:t>Mean Tariffs Will be Close t</w:t>
      </w:r>
      <w:r w:rsidRPr="00B10FD8">
        <w:t>o Pre-CU Rates</w:t>
      </w:r>
      <w:bookmarkEnd w:id="23"/>
    </w:p>
    <w:p w:rsidR="00CC4E3E" w:rsidRDefault="00CC4E3E" w:rsidP="00CC4E3E">
      <w:pPr>
        <w:pStyle w:val="ListParagraph"/>
        <w:tabs>
          <w:tab w:val="left" w:pos="720"/>
        </w:tabs>
        <w:spacing w:after="60" w:line="240" w:lineRule="auto"/>
        <w:ind w:left="0"/>
        <w:contextualSpacing w:val="0"/>
        <w:jc w:val="center"/>
        <w:rPr>
          <w:sz w:val="20"/>
          <w:szCs w:val="20"/>
        </w:rPr>
      </w:pPr>
      <w:r w:rsidRPr="00445B30">
        <w:rPr>
          <w:sz w:val="20"/>
          <w:szCs w:val="20"/>
        </w:rPr>
        <w:t>(In percent)</w:t>
      </w:r>
    </w:p>
    <w:tbl>
      <w:tblPr>
        <w:tblW w:w="7485" w:type="dxa"/>
        <w:jc w:val="center"/>
        <w:tblLayout w:type="fixed"/>
        <w:tblLook w:val="04A0" w:firstRow="1" w:lastRow="0" w:firstColumn="1" w:lastColumn="0" w:noHBand="0" w:noVBand="1"/>
      </w:tblPr>
      <w:tblGrid>
        <w:gridCol w:w="1070"/>
        <w:gridCol w:w="1000"/>
        <w:gridCol w:w="1178"/>
        <w:gridCol w:w="1530"/>
        <w:gridCol w:w="1170"/>
        <w:gridCol w:w="1537"/>
      </w:tblGrid>
      <w:tr w:rsidR="00856671" w:rsidRPr="002F7786" w:rsidTr="00856671">
        <w:trPr>
          <w:jc w:val="center"/>
        </w:trPr>
        <w:tc>
          <w:tcPr>
            <w:tcW w:w="1070" w:type="dxa"/>
            <w:vMerge w:val="restart"/>
            <w:tcBorders>
              <w:top w:val="single" w:sz="4" w:space="0" w:color="auto"/>
            </w:tcBorders>
            <w:shd w:val="clear" w:color="auto" w:fill="auto"/>
            <w:noWrap/>
            <w:vAlign w:val="center"/>
            <w:hideMark/>
          </w:tcPr>
          <w:p w:rsidR="00856671" w:rsidRPr="00BC37E4" w:rsidRDefault="00856671" w:rsidP="00856671">
            <w:pPr>
              <w:spacing w:after="0" w:line="240" w:lineRule="auto"/>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Year</w:t>
            </w:r>
          </w:p>
        </w:tc>
        <w:tc>
          <w:tcPr>
            <w:tcW w:w="1000" w:type="dxa"/>
            <w:vMerge w:val="restart"/>
            <w:tcBorders>
              <w:top w:val="single" w:sz="4" w:space="0" w:color="auto"/>
              <w:right w:val="single" w:sz="4" w:space="0" w:color="auto"/>
            </w:tcBorders>
            <w:shd w:val="clear" w:color="auto" w:fill="auto"/>
            <w:vAlign w:val="center"/>
            <w:hideMark/>
          </w:tcPr>
          <w:p w:rsidR="00856671" w:rsidRPr="00BC37E4" w:rsidRDefault="00856671" w:rsidP="00856671">
            <w:pPr>
              <w:spacing w:after="0" w:line="240" w:lineRule="auto"/>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N</w:t>
            </w:r>
          </w:p>
        </w:tc>
        <w:tc>
          <w:tcPr>
            <w:tcW w:w="2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6671" w:rsidRPr="00BC37E4" w:rsidRDefault="00856671" w:rsidP="00856671">
            <w:pPr>
              <w:spacing w:before="60" w:after="60" w:line="240" w:lineRule="auto"/>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Mean</w:t>
            </w:r>
          </w:p>
        </w:tc>
        <w:tc>
          <w:tcPr>
            <w:tcW w:w="2707" w:type="dxa"/>
            <w:gridSpan w:val="2"/>
            <w:tcBorders>
              <w:top w:val="single" w:sz="4" w:space="0" w:color="auto"/>
              <w:left w:val="single" w:sz="4" w:space="0" w:color="auto"/>
              <w:bottom w:val="single" w:sz="4" w:space="0" w:color="auto"/>
            </w:tcBorders>
            <w:shd w:val="clear" w:color="auto" w:fill="auto"/>
            <w:vAlign w:val="center"/>
            <w:hideMark/>
          </w:tcPr>
          <w:p w:rsidR="00856671" w:rsidRPr="00BC37E4" w:rsidRDefault="00856671" w:rsidP="00856671">
            <w:pPr>
              <w:spacing w:before="60" w:after="60" w:line="240" w:lineRule="auto"/>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Standard Deviation</w:t>
            </w:r>
          </w:p>
        </w:tc>
      </w:tr>
      <w:tr w:rsidR="00856671" w:rsidRPr="002F7786" w:rsidTr="00856671">
        <w:trPr>
          <w:jc w:val="center"/>
        </w:trPr>
        <w:tc>
          <w:tcPr>
            <w:tcW w:w="1070" w:type="dxa"/>
            <w:vMerge/>
            <w:tcBorders>
              <w:bottom w:val="single" w:sz="4" w:space="0" w:color="auto"/>
            </w:tcBorders>
            <w:vAlign w:val="center"/>
            <w:hideMark/>
          </w:tcPr>
          <w:p w:rsidR="00856671" w:rsidRPr="00BC37E4" w:rsidRDefault="00856671" w:rsidP="00856671">
            <w:pPr>
              <w:spacing w:after="0" w:line="240" w:lineRule="auto"/>
              <w:rPr>
                <w:rFonts w:eastAsia="Times New Roman" w:cs="Times New Roman"/>
                <w:color w:val="000000"/>
                <w:sz w:val="20"/>
                <w:szCs w:val="20"/>
                <w:lang w:eastAsia="ru-RU"/>
              </w:rPr>
            </w:pPr>
          </w:p>
        </w:tc>
        <w:tc>
          <w:tcPr>
            <w:tcW w:w="1000" w:type="dxa"/>
            <w:vMerge/>
            <w:tcBorders>
              <w:bottom w:val="single" w:sz="4" w:space="0" w:color="auto"/>
              <w:right w:val="single" w:sz="4" w:space="0" w:color="auto"/>
            </w:tcBorders>
            <w:vAlign w:val="center"/>
            <w:hideMark/>
          </w:tcPr>
          <w:p w:rsidR="00856671" w:rsidRPr="00BC37E4" w:rsidRDefault="00856671" w:rsidP="00856671">
            <w:pPr>
              <w:spacing w:after="0" w:line="240" w:lineRule="auto"/>
              <w:rPr>
                <w:rFonts w:eastAsia="Times New Roman" w:cs="Times New Roman"/>
                <w:color w:val="000000"/>
                <w:sz w:val="20"/>
                <w:szCs w:val="20"/>
                <w:lang w:eastAsia="ru-RU"/>
              </w:rPr>
            </w:pPr>
          </w:p>
        </w:tc>
        <w:tc>
          <w:tcPr>
            <w:tcW w:w="1178" w:type="dxa"/>
            <w:tcBorders>
              <w:top w:val="single" w:sz="4" w:space="0" w:color="auto"/>
              <w:left w:val="single" w:sz="4" w:space="0" w:color="auto"/>
              <w:bottom w:val="single" w:sz="4" w:space="0" w:color="auto"/>
            </w:tcBorders>
            <w:shd w:val="clear" w:color="auto" w:fill="auto"/>
            <w:vAlign w:val="center"/>
            <w:hideMark/>
          </w:tcPr>
          <w:p w:rsidR="00856671" w:rsidRPr="00BC37E4" w:rsidRDefault="00856671" w:rsidP="00856671">
            <w:pPr>
              <w:spacing w:before="60" w:after="60" w:line="240" w:lineRule="auto"/>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Simple</w:t>
            </w:r>
          </w:p>
        </w:tc>
        <w:tc>
          <w:tcPr>
            <w:tcW w:w="1530" w:type="dxa"/>
            <w:tcBorders>
              <w:top w:val="single" w:sz="4" w:space="0" w:color="auto"/>
              <w:bottom w:val="single" w:sz="4" w:space="0" w:color="auto"/>
              <w:right w:val="single" w:sz="4" w:space="0" w:color="auto"/>
            </w:tcBorders>
            <w:shd w:val="clear" w:color="auto" w:fill="auto"/>
            <w:vAlign w:val="center"/>
            <w:hideMark/>
          </w:tcPr>
          <w:p w:rsidR="00856671" w:rsidRPr="00BC37E4" w:rsidRDefault="00856671" w:rsidP="00856671">
            <w:pPr>
              <w:spacing w:before="60" w:after="60" w:line="240" w:lineRule="auto"/>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 xml:space="preserve">Trade </w:t>
            </w:r>
            <w:r>
              <w:rPr>
                <w:rFonts w:eastAsia="Times New Roman" w:cs="Times New Roman"/>
                <w:color w:val="000000"/>
                <w:sz w:val="20"/>
                <w:szCs w:val="20"/>
                <w:lang w:eastAsia="ru-RU"/>
              </w:rPr>
              <w:t>W</w:t>
            </w:r>
            <w:r w:rsidRPr="00BC37E4">
              <w:rPr>
                <w:rFonts w:eastAsia="Times New Roman" w:cs="Times New Roman"/>
                <w:color w:val="000000"/>
                <w:sz w:val="20"/>
                <w:szCs w:val="20"/>
                <w:lang w:eastAsia="ru-RU"/>
              </w:rPr>
              <w:t>eighted</w:t>
            </w:r>
          </w:p>
        </w:tc>
        <w:tc>
          <w:tcPr>
            <w:tcW w:w="1170" w:type="dxa"/>
            <w:tcBorders>
              <w:top w:val="single" w:sz="4" w:space="0" w:color="auto"/>
              <w:left w:val="single" w:sz="4" w:space="0" w:color="auto"/>
              <w:bottom w:val="single" w:sz="4" w:space="0" w:color="auto"/>
            </w:tcBorders>
            <w:shd w:val="clear" w:color="auto" w:fill="auto"/>
            <w:vAlign w:val="center"/>
            <w:hideMark/>
          </w:tcPr>
          <w:p w:rsidR="00856671" w:rsidRPr="00BC37E4" w:rsidRDefault="00856671" w:rsidP="00856671">
            <w:pPr>
              <w:spacing w:before="60" w:after="60" w:line="240" w:lineRule="auto"/>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Simple</w:t>
            </w:r>
          </w:p>
        </w:tc>
        <w:tc>
          <w:tcPr>
            <w:tcW w:w="1537" w:type="dxa"/>
            <w:tcBorders>
              <w:top w:val="single" w:sz="4" w:space="0" w:color="auto"/>
              <w:bottom w:val="single" w:sz="4" w:space="0" w:color="auto"/>
            </w:tcBorders>
            <w:shd w:val="clear" w:color="auto" w:fill="auto"/>
            <w:vAlign w:val="center"/>
            <w:hideMark/>
          </w:tcPr>
          <w:p w:rsidR="00856671" w:rsidRPr="00BC37E4" w:rsidRDefault="00856671" w:rsidP="00856671">
            <w:pPr>
              <w:spacing w:before="60" w:after="60" w:line="240" w:lineRule="auto"/>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 xml:space="preserve">Trade </w:t>
            </w:r>
            <w:r>
              <w:rPr>
                <w:rFonts w:eastAsia="Times New Roman" w:cs="Times New Roman"/>
                <w:color w:val="000000"/>
                <w:sz w:val="20"/>
                <w:szCs w:val="20"/>
                <w:lang w:eastAsia="ru-RU"/>
              </w:rPr>
              <w:t>W</w:t>
            </w:r>
            <w:r w:rsidRPr="00BC37E4">
              <w:rPr>
                <w:rFonts w:eastAsia="Times New Roman" w:cs="Times New Roman"/>
                <w:color w:val="000000"/>
                <w:sz w:val="20"/>
                <w:szCs w:val="20"/>
                <w:lang w:eastAsia="ru-RU"/>
              </w:rPr>
              <w:t>eighted</w:t>
            </w:r>
          </w:p>
        </w:tc>
      </w:tr>
      <w:tr w:rsidR="00856671" w:rsidRPr="002F7786" w:rsidTr="00DA4A08">
        <w:trPr>
          <w:trHeight w:val="288"/>
          <w:jc w:val="center"/>
        </w:trPr>
        <w:tc>
          <w:tcPr>
            <w:tcW w:w="1070" w:type="dxa"/>
            <w:tcBorders>
              <w:top w:val="single" w:sz="4" w:space="0" w:color="auto"/>
            </w:tcBorders>
            <w:shd w:val="clear" w:color="auto" w:fill="auto"/>
            <w:noWrap/>
            <w:vAlign w:val="center"/>
            <w:hideMark/>
          </w:tcPr>
          <w:p w:rsidR="00856671" w:rsidRPr="00BC37E4" w:rsidRDefault="00856671" w:rsidP="00856671">
            <w:pPr>
              <w:spacing w:after="0" w:line="240" w:lineRule="auto"/>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2009</w:t>
            </w:r>
          </w:p>
        </w:tc>
        <w:tc>
          <w:tcPr>
            <w:tcW w:w="1000" w:type="dxa"/>
            <w:tcBorders>
              <w:top w:val="single" w:sz="4" w:space="0" w:color="auto"/>
              <w:right w:val="single" w:sz="4" w:space="0" w:color="auto"/>
            </w:tcBorders>
            <w:shd w:val="clear" w:color="auto" w:fill="auto"/>
            <w:noWrap/>
            <w:vAlign w:val="center"/>
            <w:hideMark/>
          </w:tcPr>
          <w:p w:rsidR="00856671" w:rsidRPr="00BC37E4" w:rsidRDefault="00856671" w:rsidP="00856671">
            <w:pPr>
              <w:spacing w:after="0" w:line="240" w:lineRule="auto"/>
              <w:ind w:right="86"/>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10,853</w:t>
            </w:r>
          </w:p>
        </w:tc>
        <w:tc>
          <w:tcPr>
            <w:tcW w:w="1178" w:type="dxa"/>
            <w:tcBorders>
              <w:top w:val="single" w:sz="4" w:space="0" w:color="auto"/>
              <w:left w:val="single" w:sz="4" w:space="0" w:color="auto"/>
            </w:tcBorders>
            <w:shd w:val="clear" w:color="auto" w:fill="auto"/>
            <w:noWrap/>
            <w:vAlign w:val="center"/>
            <w:hideMark/>
          </w:tcPr>
          <w:p w:rsidR="00856671" w:rsidRPr="00BC37E4" w:rsidRDefault="00856671" w:rsidP="00856671">
            <w:pPr>
              <w:spacing w:after="0" w:line="240" w:lineRule="auto"/>
              <w:ind w:right="230"/>
              <w:jc w:val="right"/>
              <w:rPr>
                <w:rFonts w:eastAsia="Times New Roman" w:cs="Times New Roman"/>
                <w:color w:val="000000"/>
                <w:sz w:val="20"/>
                <w:szCs w:val="20"/>
                <w:lang w:eastAsia="ru-RU"/>
              </w:rPr>
            </w:pPr>
            <w:r w:rsidRPr="00BC37E4">
              <w:rPr>
                <w:rFonts w:eastAsia="Times New Roman" w:cs="Times New Roman"/>
                <w:color w:val="000000"/>
                <w:sz w:val="20"/>
                <w:szCs w:val="20"/>
                <w:lang w:eastAsia="ru-RU"/>
              </w:rPr>
              <w:t>6.72</w:t>
            </w:r>
          </w:p>
        </w:tc>
        <w:tc>
          <w:tcPr>
            <w:tcW w:w="1530" w:type="dxa"/>
            <w:tcBorders>
              <w:top w:val="single" w:sz="4" w:space="0" w:color="auto"/>
              <w:right w:val="single" w:sz="4" w:space="0" w:color="auto"/>
            </w:tcBorders>
            <w:shd w:val="clear" w:color="auto" w:fill="auto"/>
            <w:noWrap/>
            <w:vAlign w:val="center"/>
            <w:hideMark/>
          </w:tcPr>
          <w:p w:rsidR="00856671" w:rsidRPr="00BC37E4" w:rsidRDefault="00856671" w:rsidP="00856671">
            <w:pPr>
              <w:spacing w:after="0" w:line="240" w:lineRule="auto"/>
              <w:ind w:right="518"/>
              <w:jc w:val="right"/>
              <w:rPr>
                <w:rFonts w:eastAsia="Times New Roman" w:cs="Times New Roman"/>
                <w:color w:val="000000"/>
                <w:sz w:val="20"/>
                <w:szCs w:val="20"/>
                <w:lang w:eastAsia="ru-RU"/>
              </w:rPr>
            </w:pPr>
            <w:r w:rsidRPr="00BC37E4">
              <w:rPr>
                <w:rFonts w:eastAsia="Times New Roman" w:cs="Times New Roman"/>
                <w:color w:val="000000"/>
                <w:sz w:val="20"/>
                <w:szCs w:val="20"/>
                <w:lang w:eastAsia="ru-RU"/>
              </w:rPr>
              <w:t>5.33</w:t>
            </w:r>
          </w:p>
        </w:tc>
        <w:tc>
          <w:tcPr>
            <w:tcW w:w="1170" w:type="dxa"/>
            <w:tcBorders>
              <w:top w:val="single" w:sz="4" w:space="0" w:color="auto"/>
              <w:left w:val="single" w:sz="4" w:space="0" w:color="auto"/>
            </w:tcBorders>
            <w:shd w:val="clear" w:color="auto" w:fill="auto"/>
            <w:noWrap/>
            <w:vAlign w:val="center"/>
            <w:hideMark/>
          </w:tcPr>
          <w:p w:rsidR="00856671" w:rsidRPr="00BC37E4" w:rsidRDefault="00856671" w:rsidP="00856671">
            <w:pPr>
              <w:spacing w:after="0" w:line="240" w:lineRule="auto"/>
              <w:ind w:right="374"/>
              <w:jc w:val="right"/>
              <w:rPr>
                <w:rFonts w:eastAsia="Times New Roman" w:cs="Times New Roman"/>
                <w:color w:val="000000"/>
                <w:sz w:val="20"/>
                <w:szCs w:val="20"/>
                <w:lang w:eastAsia="ru-RU"/>
              </w:rPr>
            </w:pPr>
            <w:r w:rsidRPr="00BC37E4">
              <w:rPr>
                <w:rFonts w:eastAsia="Times New Roman" w:cs="Times New Roman"/>
                <w:color w:val="000000"/>
                <w:sz w:val="20"/>
                <w:szCs w:val="20"/>
                <w:lang w:eastAsia="ru-RU"/>
              </w:rPr>
              <w:t>9.8</w:t>
            </w:r>
          </w:p>
        </w:tc>
        <w:tc>
          <w:tcPr>
            <w:tcW w:w="1537" w:type="dxa"/>
            <w:tcBorders>
              <w:top w:val="single" w:sz="4" w:space="0" w:color="auto"/>
            </w:tcBorders>
            <w:shd w:val="clear" w:color="auto" w:fill="auto"/>
            <w:noWrap/>
            <w:vAlign w:val="center"/>
            <w:hideMark/>
          </w:tcPr>
          <w:p w:rsidR="00856671" w:rsidRPr="00BC37E4" w:rsidRDefault="00856671" w:rsidP="00856671">
            <w:pPr>
              <w:spacing w:after="0" w:line="240" w:lineRule="auto"/>
              <w:ind w:right="518"/>
              <w:jc w:val="right"/>
              <w:rPr>
                <w:rFonts w:eastAsia="Times New Roman" w:cs="Times New Roman"/>
                <w:color w:val="000000"/>
                <w:sz w:val="20"/>
                <w:szCs w:val="20"/>
                <w:lang w:eastAsia="ru-RU"/>
              </w:rPr>
            </w:pPr>
            <w:r w:rsidRPr="00BC37E4">
              <w:rPr>
                <w:rFonts w:eastAsia="Times New Roman" w:cs="Times New Roman"/>
                <w:color w:val="000000"/>
                <w:sz w:val="20"/>
                <w:szCs w:val="20"/>
                <w:lang w:eastAsia="ru-RU"/>
              </w:rPr>
              <w:t>8.3</w:t>
            </w:r>
          </w:p>
        </w:tc>
      </w:tr>
      <w:tr w:rsidR="00856671" w:rsidRPr="002F7786" w:rsidTr="00DA4A08">
        <w:trPr>
          <w:trHeight w:val="288"/>
          <w:jc w:val="center"/>
        </w:trPr>
        <w:tc>
          <w:tcPr>
            <w:tcW w:w="1070" w:type="dxa"/>
            <w:shd w:val="clear" w:color="auto" w:fill="auto"/>
            <w:noWrap/>
            <w:vAlign w:val="center"/>
            <w:hideMark/>
          </w:tcPr>
          <w:p w:rsidR="00856671" w:rsidRPr="00BC37E4" w:rsidRDefault="00856671" w:rsidP="00856671">
            <w:pPr>
              <w:spacing w:after="0" w:line="240" w:lineRule="auto"/>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2012</w:t>
            </w:r>
          </w:p>
        </w:tc>
        <w:tc>
          <w:tcPr>
            <w:tcW w:w="1000" w:type="dxa"/>
            <w:tcBorders>
              <w:right w:val="single" w:sz="4" w:space="0" w:color="auto"/>
            </w:tcBorders>
            <w:shd w:val="clear" w:color="auto" w:fill="auto"/>
            <w:noWrap/>
            <w:vAlign w:val="center"/>
            <w:hideMark/>
          </w:tcPr>
          <w:p w:rsidR="00856671" w:rsidRPr="00BC37E4" w:rsidRDefault="00856671" w:rsidP="00856671">
            <w:pPr>
              <w:spacing w:after="0" w:line="240" w:lineRule="auto"/>
              <w:ind w:right="86"/>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11,313</w:t>
            </w:r>
          </w:p>
        </w:tc>
        <w:tc>
          <w:tcPr>
            <w:tcW w:w="1178" w:type="dxa"/>
            <w:tcBorders>
              <w:left w:val="single" w:sz="4" w:space="0" w:color="auto"/>
            </w:tcBorders>
            <w:shd w:val="clear" w:color="auto" w:fill="auto"/>
            <w:noWrap/>
            <w:vAlign w:val="center"/>
            <w:hideMark/>
          </w:tcPr>
          <w:p w:rsidR="00856671" w:rsidRPr="00BC37E4" w:rsidRDefault="00856671" w:rsidP="00856671">
            <w:pPr>
              <w:spacing w:after="0" w:line="240" w:lineRule="auto"/>
              <w:ind w:right="230"/>
              <w:jc w:val="right"/>
              <w:rPr>
                <w:rFonts w:eastAsia="Times New Roman" w:cs="Times New Roman"/>
                <w:color w:val="000000"/>
                <w:sz w:val="20"/>
                <w:szCs w:val="20"/>
                <w:lang w:eastAsia="ru-RU"/>
              </w:rPr>
            </w:pPr>
            <w:r w:rsidRPr="00BC37E4">
              <w:rPr>
                <w:rFonts w:eastAsia="Times New Roman" w:cs="Times New Roman"/>
                <w:color w:val="000000"/>
                <w:sz w:val="20"/>
                <w:szCs w:val="20"/>
                <w:lang w:eastAsia="ru-RU"/>
              </w:rPr>
              <w:t>10.64</w:t>
            </w:r>
          </w:p>
        </w:tc>
        <w:tc>
          <w:tcPr>
            <w:tcW w:w="1530" w:type="dxa"/>
            <w:tcBorders>
              <w:right w:val="single" w:sz="4" w:space="0" w:color="auto"/>
            </w:tcBorders>
            <w:shd w:val="clear" w:color="auto" w:fill="auto"/>
            <w:noWrap/>
            <w:vAlign w:val="center"/>
            <w:hideMark/>
          </w:tcPr>
          <w:p w:rsidR="00856671" w:rsidRPr="00BC37E4" w:rsidRDefault="00856671" w:rsidP="00856671">
            <w:pPr>
              <w:spacing w:after="0" w:line="240" w:lineRule="auto"/>
              <w:ind w:right="518"/>
              <w:jc w:val="right"/>
              <w:rPr>
                <w:rFonts w:eastAsia="Times New Roman" w:cs="Times New Roman"/>
                <w:color w:val="000000"/>
                <w:sz w:val="20"/>
                <w:szCs w:val="20"/>
                <w:lang w:eastAsia="ru-RU"/>
              </w:rPr>
            </w:pPr>
            <w:r w:rsidRPr="00BC37E4">
              <w:rPr>
                <w:rFonts w:eastAsia="Times New Roman" w:cs="Times New Roman"/>
                <w:color w:val="000000"/>
                <w:sz w:val="20"/>
                <w:szCs w:val="20"/>
                <w:lang w:eastAsia="ru-RU"/>
              </w:rPr>
              <w:t>8.93</w:t>
            </w:r>
          </w:p>
        </w:tc>
        <w:tc>
          <w:tcPr>
            <w:tcW w:w="1170" w:type="dxa"/>
            <w:tcBorders>
              <w:left w:val="single" w:sz="4" w:space="0" w:color="auto"/>
            </w:tcBorders>
            <w:shd w:val="clear" w:color="auto" w:fill="auto"/>
            <w:noWrap/>
            <w:vAlign w:val="center"/>
            <w:hideMark/>
          </w:tcPr>
          <w:p w:rsidR="00856671" w:rsidRPr="00BC37E4" w:rsidRDefault="00856671" w:rsidP="00856671">
            <w:pPr>
              <w:spacing w:after="0" w:line="240" w:lineRule="auto"/>
              <w:ind w:right="360"/>
              <w:jc w:val="right"/>
              <w:rPr>
                <w:rFonts w:eastAsia="Times New Roman" w:cs="Times New Roman"/>
                <w:color w:val="000000"/>
                <w:sz w:val="20"/>
                <w:szCs w:val="20"/>
                <w:lang w:eastAsia="ru-RU"/>
              </w:rPr>
            </w:pPr>
            <w:r w:rsidRPr="00BC37E4">
              <w:rPr>
                <w:rFonts w:eastAsia="Times New Roman" w:cs="Times New Roman"/>
                <w:color w:val="000000"/>
                <w:sz w:val="20"/>
                <w:szCs w:val="20"/>
                <w:lang w:eastAsia="ru-RU"/>
              </w:rPr>
              <w:t>13.80</w:t>
            </w:r>
          </w:p>
        </w:tc>
        <w:tc>
          <w:tcPr>
            <w:tcW w:w="1537" w:type="dxa"/>
            <w:shd w:val="clear" w:color="auto" w:fill="auto"/>
            <w:noWrap/>
            <w:vAlign w:val="center"/>
            <w:hideMark/>
          </w:tcPr>
          <w:p w:rsidR="00856671" w:rsidRPr="00BC37E4" w:rsidRDefault="00856671" w:rsidP="00856671">
            <w:pPr>
              <w:spacing w:after="0" w:line="240" w:lineRule="auto"/>
              <w:ind w:right="518"/>
              <w:jc w:val="right"/>
              <w:rPr>
                <w:rFonts w:eastAsia="Times New Roman" w:cs="Times New Roman"/>
                <w:color w:val="000000"/>
                <w:sz w:val="20"/>
                <w:szCs w:val="20"/>
                <w:lang w:eastAsia="ru-RU"/>
              </w:rPr>
            </w:pPr>
            <w:r w:rsidRPr="00BC37E4">
              <w:rPr>
                <w:rFonts w:eastAsia="Times New Roman" w:cs="Times New Roman"/>
                <w:color w:val="000000"/>
                <w:sz w:val="20"/>
                <w:szCs w:val="20"/>
                <w:lang w:eastAsia="ru-RU"/>
              </w:rPr>
              <w:t>8.77</w:t>
            </w:r>
          </w:p>
        </w:tc>
      </w:tr>
      <w:tr w:rsidR="00856671" w:rsidRPr="002F7786" w:rsidTr="00DA4A08">
        <w:trPr>
          <w:trHeight w:val="288"/>
          <w:jc w:val="center"/>
        </w:trPr>
        <w:tc>
          <w:tcPr>
            <w:tcW w:w="1070" w:type="dxa"/>
            <w:tcBorders>
              <w:bottom w:val="single" w:sz="4" w:space="0" w:color="auto"/>
            </w:tcBorders>
            <w:shd w:val="clear" w:color="auto" w:fill="auto"/>
            <w:noWrap/>
            <w:vAlign w:val="center"/>
            <w:hideMark/>
          </w:tcPr>
          <w:p w:rsidR="00856671" w:rsidRPr="00BC37E4" w:rsidRDefault="00856671" w:rsidP="00856671">
            <w:pPr>
              <w:spacing w:after="0" w:line="240" w:lineRule="auto"/>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2020</w:t>
            </w:r>
          </w:p>
        </w:tc>
        <w:tc>
          <w:tcPr>
            <w:tcW w:w="1000" w:type="dxa"/>
            <w:tcBorders>
              <w:bottom w:val="single" w:sz="4" w:space="0" w:color="auto"/>
              <w:right w:val="single" w:sz="4" w:space="0" w:color="auto"/>
            </w:tcBorders>
            <w:shd w:val="clear" w:color="auto" w:fill="auto"/>
            <w:noWrap/>
            <w:vAlign w:val="center"/>
            <w:hideMark/>
          </w:tcPr>
          <w:p w:rsidR="00856671" w:rsidRPr="00BC37E4" w:rsidRDefault="00856671" w:rsidP="00856671">
            <w:pPr>
              <w:spacing w:after="0" w:line="240" w:lineRule="auto"/>
              <w:ind w:right="86"/>
              <w:jc w:val="center"/>
              <w:rPr>
                <w:rFonts w:eastAsia="Times New Roman" w:cs="Times New Roman"/>
                <w:color w:val="000000"/>
                <w:sz w:val="20"/>
                <w:szCs w:val="20"/>
                <w:lang w:eastAsia="ru-RU"/>
              </w:rPr>
            </w:pPr>
            <w:r w:rsidRPr="00BC37E4">
              <w:rPr>
                <w:rFonts w:eastAsia="Times New Roman" w:cs="Times New Roman"/>
                <w:color w:val="000000"/>
                <w:sz w:val="20"/>
                <w:szCs w:val="20"/>
                <w:lang w:eastAsia="ru-RU"/>
              </w:rPr>
              <w:t>11,557</w:t>
            </w:r>
          </w:p>
        </w:tc>
        <w:tc>
          <w:tcPr>
            <w:tcW w:w="1178" w:type="dxa"/>
            <w:tcBorders>
              <w:left w:val="single" w:sz="4" w:space="0" w:color="auto"/>
              <w:bottom w:val="single" w:sz="4" w:space="0" w:color="auto"/>
            </w:tcBorders>
            <w:shd w:val="clear" w:color="auto" w:fill="auto"/>
            <w:noWrap/>
            <w:vAlign w:val="center"/>
            <w:hideMark/>
          </w:tcPr>
          <w:p w:rsidR="00856671" w:rsidRPr="00BC37E4" w:rsidRDefault="00856671" w:rsidP="00856671">
            <w:pPr>
              <w:spacing w:after="0" w:line="240" w:lineRule="auto"/>
              <w:ind w:right="230"/>
              <w:jc w:val="right"/>
              <w:rPr>
                <w:rFonts w:eastAsia="Times New Roman" w:cs="Times New Roman"/>
                <w:color w:val="000000"/>
                <w:sz w:val="20"/>
                <w:szCs w:val="20"/>
                <w:lang w:eastAsia="ru-RU"/>
              </w:rPr>
            </w:pPr>
            <w:r w:rsidRPr="00BC37E4">
              <w:rPr>
                <w:rFonts w:eastAsia="Times New Roman" w:cs="Times New Roman"/>
                <w:color w:val="000000"/>
                <w:sz w:val="20"/>
                <w:szCs w:val="20"/>
                <w:lang w:eastAsia="ru-RU"/>
              </w:rPr>
              <w:t>7.89</w:t>
            </w:r>
          </w:p>
        </w:tc>
        <w:tc>
          <w:tcPr>
            <w:tcW w:w="1530" w:type="dxa"/>
            <w:tcBorders>
              <w:bottom w:val="single" w:sz="4" w:space="0" w:color="auto"/>
              <w:right w:val="single" w:sz="4" w:space="0" w:color="auto"/>
            </w:tcBorders>
            <w:shd w:val="clear" w:color="auto" w:fill="auto"/>
            <w:noWrap/>
            <w:vAlign w:val="center"/>
            <w:hideMark/>
          </w:tcPr>
          <w:p w:rsidR="00856671" w:rsidRPr="00BC37E4" w:rsidRDefault="00856671" w:rsidP="00856671">
            <w:pPr>
              <w:spacing w:after="0" w:line="240" w:lineRule="auto"/>
              <w:ind w:right="518"/>
              <w:jc w:val="right"/>
              <w:rPr>
                <w:rFonts w:eastAsia="Times New Roman" w:cs="Times New Roman"/>
                <w:color w:val="000000"/>
                <w:sz w:val="20"/>
                <w:szCs w:val="20"/>
                <w:lang w:eastAsia="ru-RU"/>
              </w:rPr>
            </w:pPr>
            <w:r w:rsidRPr="00BC37E4">
              <w:rPr>
                <w:rFonts w:eastAsia="Times New Roman" w:cs="Times New Roman"/>
                <w:color w:val="000000"/>
                <w:sz w:val="20"/>
                <w:szCs w:val="20"/>
                <w:lang w:eastAsia="ru-RU"/>
              </w:rPr>
              <w:t>5.48</w:t>
            </w:r>
          </w:p>
        </w:tc>
        <w:tc>
          <w:tcPr>
            <w:tcW w:w="1170" w:type="dxa"/>
            <w:tcBorders>
              <w:left w:val="single" w:sz="4" w:space="0" w:color="auto"/>
              <w:bottom w:val="single" w:sz="4" w:space="0" w:color="auto"/>
            </w:tcBorders>
            <w:shd w:val="clear" w:color="auto" w:fill="auto"/>
            <w:noWrap/>
            <w:vAlign w:val="center"/>
            <w:hideMark/>
          </w:tcPr>
          <w:p w:rsidR="00856671" w:rsidRPr="00BC37E4" w:rsidRDefault="00856671" w:rsidP="00856671">
            <w:pPr>
              <w:spacing w:after="0" w:line="240" w:lineRule="auto"/>
              <w:ind w:right="360"/>
              <w:jc w:val="right"/>
              <w:rPr>
                <w:rFonts w:eastAsia="Times New Roman" w:cs="Times New Roman"/>
                <w:color w:val="000000"/>
                <w:sz w:val="20"/>
                <w:szCs w:val="20"/>
                <w:lang w:eastAsia="ru-RU"/>
              </w:rPr>
            </w:pPr>
            <w:r w:rsidRPr="00BC37E4">
              <w:rPr>
                <w:rFonts w:eastAsia="Times New Roman" w:cs="Times New Roman"/>
                <w:color w:val="000000"/>
                <w:sz w:val="20"/>
                <w:szCs w:val="20"/>
                <w:lang w:eastAsia="ru-RU"/>
              </w:rPr>
              <w:t>9.26</w:t>
            </w:r>
          </w:p>
        </w:tc>
        <w:tc>
          <w:tcPr>
            <w:tcW w:w="1537" w:type="dxa"/>
            <w:tcBorders>
              <w:bottom w:val="single" w:sz="4" w:space="0" w:color="auto"/>
            </w:tcBorders>
            <w:shd w:val="clear" w:color="auto" w:fill="auto"/>
            <w:noWrap/>
            <w:vAlign w:val="center"/>
            <w:hideMark/>
          </w:tcPr>
          <w:p w:rsidR="00856671" w:rsidRPr="00BC37E4" w:rsidRDefault="00856671" w:rsidP="00856671">
            <w:pPr>
              <w:spacing w:after="0" w:line="240" w:lineRule="auto"/>
              <w:ind w:right="518"/>
              <w:jc w:val="right"/>
              <w:rPr>
                <w:rFonts w:eastAsia="Times New Roman" w:cs="Times New Roman"/>
                <w:color w:val="000000"/>
                <w:sz w:val="20"/>
                <w:szCs w:val="20"/>
                <w:lang w:eastAsia="ru-RU"/>
              </w:rPr>
            </w:pPr>
            <w:r w:rsidRPr="00BC37E4">
              <w:rPr>
                <w:rFonts w:eastAsia="Times New Roman" w:cs="Times New Roman"/>
                <w:color w:val="000000"/>
                <w:sz w:val="20"/>
                <w:szCs w:val="20"/>
                <w:lang w:eastAsia="ru-RU"/>
              </w:rPr>
              <w:t>5.01</w:t>
            </w:r>
          </w:p>
        </w:tc>
      </w:tr>
      <w:tr w:rsidR="00856671" w:rsidRPr="002F7786" w:rsidTr="00856671">
        <w:trPr>
          <w:trHeight w:val="288"/>
          <w:jc w:val="center"/>
        </w:trPr>
        <w:tc>
          <w:tcPr>
            <w:tcW w:w="7485" w:type="dxa"/>
            <w:gridSpan w:val="6"/>
            <w:tcBorders>
              <w:top w:val="single" w:sz="4" w:space="0" w:color="auto"/>
            </w:tcBorders>
            <w:shd w:val="clear" w:color="auto" w:fill="auto"/>
            <w:noWrap/>
            <w:vAlign w:val="center"/>
          </w:tcPr>
          <w:p w:rsidR="00856671" w:rsidRPr="00DA4A08" w:rsidRDefault="00856671" w:rsidP="00856671">
            <w:pPr>
              <w:spacing w:before="120" w:after="0" w:line="240" w:lineRule="auto"/>
              <w:jc w:val="left"/>
              <w:rPr>
                <w:rFonts w:cs="Times New Roman"/>
                <w:sz w:val="18"/>
                <w:szCs w:val="18"/>
              </w:rPr>
            </w:pPr>
            <w:r w:rsidRPr="00BC37E4">
              <w:rPr>
                <w:rFonts w:cs="Times New Roman"/>
                <w:i/>
                <w:sz w:val="18"/>
                <w:szCs w:val="18"/>
              </w:rPr>
              <w:t xml:space="preserve">Source: </w:t>
            </w:r>
            <w:r w:rsidRPr="00BC37E4">
              <w:rPr>
                <w:rFonts w:cs="Times New Roman"/>
                <w:sz w:val="18"/>
                <w:szCs w:val="18"/>
              </w:rPr>
              <w:t>Official data and World Bank staff calculations, 2013 Note: 2009 statistics are based World Bank (2012) report. Trade weights are computed based on import statistics of Kazakhstan for 2009 (2009 rates) and 2012 (2012 and 2020 rates).</w:t>
            </w:r>
          </w:p>
        </w:tc>
      </w:tr>
    </w:tbl>
    <w:p w:rsidR="00856671" w:rsidRPr="00177590" w:rsidRDefault="00856671" w:rsidP="00177590">
      <w:pPr>
        <w:pStyle w:val="ListParagraph"/>
        <w:tabs>
          <w:tab w:val="left" w:pos="720"/>
        </w:tabs>
        <w:spacing w:after="240" w:line="240" w:lineRule="auto"/>
        <w:ind w:left="0"/>
        <w:contextualSpacing w:val="0"/>
        <w:jc w:val="center"/>
        <w:rPr>
          <w:szCs w:val="24"/>
        </w:rPr>
      </w:pPr>
    </w:p>
    <w:tbl>
      <w:tblPr>
        <w:tblStyle w:val="TableGrid"/>
        <w:tblW w:w="0" w:type="auto"/>
        <w:tblLayout w:type="fixed"/>
        <w:tblLook w:val="04A0" w:firstRow="1" w:lastRow="0" w:firstColumn="1" w:lastColumn="0" w:noHBand="0" w:noVBand="1"/>
      </w:tblPr>
      <w:tblGrid>
        <w:gridCol w:w="9846"/>
      </w:tblGrid>
      <w:tr w:rsidR="000F1FF7" w:rsidRPr="000A7BA6" w:rsidTr="000F1FF7">
        <w:tc>
          <w:tcPr>
            <w:tcW w:w="9846" w:type="dxa"/>
          </w:tcPr>
          <w:p w:rsidR="000F1FF7" w:rsidRPr="00CC4E3E" w:rsidRDefault="00DA4A08" w:rsidP="00DA4A08">
            <w:pPr>
              <w:pStyle w:val="Caption"/>
            </w:pPr>
            <w:bookmarkStart w:id="24" w:name="_Toc378151237"/>
            <w:r w:rsidRPr="00CA4713">
              <w:t xml:space="preserve">Box </w:t>
            </w:r>
            <w:fldSimple w:instr=" SEQ Box \* ARABIC ">
              <w:r w:rsidR="0056192E" w:rsidRPr="00CA4713">
                <w:rPr>
                  <w:noProof/>
                </w:rPr>
                <w:t>2</w:t>
              </w:r>
            </w:fldSimple>
            <w:r w:rsidRPr="00CA4713">
              <w:t>:</w:t>
            </w:r>
            <w:r w:rsidR="000F1FF7" w:rsidRPr="00CA4713">
              <w:t xml:space="preserve"> Status of </w:t>
            </w:r>
            <w:r w:rsidR="00A03E71" w:rsidRPr="00CA4713">
              <w:t>N</w:t>
            </w:r>
            <w:r w:rsidR="000F1FF7" w:rsidRPr="00CA4713">
              <w:t xml:space="preserve">egotiations for WTO </w:t>
            </w:r>
            <w:r w:rsidR="00A03E71" w:rsidRPr="00CA4713">
              <w:t>A</w:t>
            </w:r>
            <w:r w:rsidR="000F1FF7" w:rsidRPr="00CA4713">
              <w:t>ccession</w:t>
            </w:r>
            <w:bookmarkEnd w:id="24"/>
          </w:p>
          <w:p w:rsidR="00764E50" w:rsidRDefault="000F1FF7" w:rsidP="00856671">
            <w:pPr>
              <w:spacing w:after="120" w:line="240" w:lineRule="auto"/>
              <w:rPr>
                <w:rFonts w:cs="Times New Roman"/>
                <w:sz w:val="20"/>
                <w:szCs w:val="20"/>
              </w:rPr>
            </w:pPr>
            <w:r w:rsidRPr="00CC4E3E">
              <w:rPr>
                <w:rFonts w:cs="Times New Roman"/>
                <w:sz w:val="20"/>
                <w:szCs w:val="20"/>
              </w:rPr>
              <w:t xml:space="preserve">Kazakhstan </w:t>
            </w:r>
            <w:r w:rsidR="00961B6F" w:rsidRPr="00CC4E3E">
              <w:rPr>
                <w:rFonts w:cs="Times New Roman"/>
                <w:sz w:val="20"/>
                <w:szCs w:val="20"/>
              </w:rPr>
              <w:t>applied for WTO accession on January 29, 1996.</w:t>
            </w:r>
            <w:r w:rsidRPr="00CC4E3E">
              <w:rPr>
                <w:rFonts w:cs="Times New Roman"/>
                <w:sz w:val="20"/>
                <w:szCs w:val="20"/>
              </w:rPr>
              <w:t xml:space="preserve"> </w:t>
            </w:r>
            <w:r w:rsidR="00961B6F" w:rsidRPr="00CC4E3E">
              <w:rPr>
                <w:rFonts w:cs="Times New Roman"/>
                <w:sz w:val="20"/>
                <w:szCs w:val="20"/>
              </w:rPr>
              <w:t xml:space="preserve">A working party was created on February 6, 1996 to </w:t>
            </w:r>
            <w:r w:rsidR="002D38AE" w:rsidRPr="00CC4E3E">
              <w:rPr>
                <w:rFonts w:cs="Times New Roman"/>
                <w:sz w:val="20"/>
                <w:szCs w:val="20"/>
              </w:rPr>
              <w:t>help support the accession</w:t>
            </w:r>
            <w:r w:rsidR="00961B6F" w:rsidRPr="00CC4E3E">
              <w:rPr>
                <w:rFonts w:cs="Times New Roman"/>
                <w:sz w:val="20"/>
                <w:szCs w:val="20"/>
              </w:rPr>
              <w:t xml:space="preserve"> process.  </w:t>
            </w:r>
            <w:r w:rsidR="00764E50" w:rsidRPr="00CC4E3E">
              <w:rPr>
                <w:rFonts w:cs="Times New Roman"/>
                <w:sz w:val="20"/>
                <w:szCs w:val="20"/>
              </w:rPr>
              <w:t>Negotiations</w:t>
            </w:r>
            <w:r w:rsidR="00961B6F" w:rsidRPr="00CC4E3E">
              <w:rPr>
                <w:rFonts w:cs="Times New Roman"/>
                <w:sz w:val="20"/>
                <w:szCs w:val="20"/>
              </w:rPr>
              <w:t xml:space="preserve"> moved ahead until</w:t>
            </w:r>
            <w:r w:rsidR="00764E50" w:rsidRPr="00CC4E3E">
              <w:rPr>
                <w:rFonts w:cs="Times New Roman"/>
                <w:sz w:val="20"/>
                <w:szCs w:val="20"/>
              </w:rPr>
              <w:t xml:space="preserve"> 2008, </w:t>
            </w:r>
            <w:r w:rsidR="00961B6F" w:rsidRPr="00CC4E3E">
              <w:rPr>
                <w:rFonts w:cs="Times New Roman"/>
                <w:sz w:val="20"/>
                <w:szCs w:val="20"/>
              </w:rPr>
              <w:t xml:space="preserve">when Kazakhstan </w:t>
            </w:r>
            <w:r w:rsidR="001611DB" w:rsidRPr="00CC4E3E">
              <w:rPr>
                <w:rFonts w:cs="Times New Roman"/>
                <w:sz w:val="20"/>
                <w:szCs w:val="20"/>
              </w:rPr>
              <w:t>focu</w:t>
            </w:r>
            <w:r w:rsidR="00764E50" w:rsidRPr="00CC4E3E">
              <w:rPr>
                <w:rFonts w:cs="Times New Roman"/>
                <w:sz w:val="20"/>
                <w:szCs w:val="20"/>
              </w:rPr>
              <w:t>sed</w:t>
            </w:r>
            <w:r w:rsidR="001611DB" w:rsidRPr="00CC4E3E">
              <w:rPr>
                <w:rFonts w:cs="Times New Roman"/>
                <w:sz w:val="20"/>
                <w:szCs w:val="20"/>
              </w:rPr>
              <w:t xml:space="preserve"> on launching the Russia-Belarus-Kazakhstan Custom Union by January 1, 2010.   Since 2010</w:t>
            </w:r>
            <w:r w:rsidR="002D38AE" w:rsidRPr="00CC4E3E">
              <w:rPr>
                <w:rFonts w:cs="Times New Roman"/>
                <w:sz w:val="20"/>
                <w:szCs w:val="20"/>
              </w:rPr>
              <w:t xml:space="preserve">, </w:t>
            </w:r>
            <w:r w:rsidR="001611DB" w:rsidRPr="00CC4E3E">
              <w:rPr>
                <w:rFonts w:cs="Times New Roman"/>
                <w:sz w:val="20"/>
                <w:szCs w:val="20"/>
              </w:rPr>
              <w:t xml:space="preserve">the authorities have intensified their re-engagement in the WTO accession negotiations and are now expected to join the organization in 2014. </w:t>
            </w:r>
            <w:r w:rsidR="00764E50">
              <w:rPr>
                <w:rFonts w:cs="Times New Roman"/>
                <w:sz w:val="20"/>
                <w:szCs w:val="20"/>
              </w:rPr>
              <w:t xml:space="preserve">  </w:t>
            </w:r>
          </w:p>
          <w:p w:rsidR="00A816FC" w:rsidRDefault="00D50737" w:rsidP="00856671">
            <w:pPr>
              <w:spacing w:after="120" w:line="240" w:lineRule="auto"/>
              <w:rPr>
                <w:rFonts w:cs="Times New Roman"/>
                <w:sz w:val="20"/>
                <w:szCs w:val="20"/>
              </w:rPr>
            </w:pPr>
            <w:r w:rsidRPr="00CC4E3E">
              <w:rPr>
                <w:rFonts w:cs="Times New Roman"/>
                <w:sz w:val="20"/>
                <w:szCs w:val="20"/>
              </w:rPr>
              <w:t>T</w:t>
            </w:r>
            <w:r w:rsidR="001611DB" w:rsidRPr="00CC4E3E">
              <w:rPr>
                <w:rFonts w:cs="Times New Roman"/>
                <w:sz w:val="20"/>
                <w:szCs w:val="20"/>
              </w:rPr>
              <w:t xml:space="preserve">he country </w:t>
            </w:r>
            <w:r w:rsidRPr="00CC4E3E">
              <w:rPr>
                <w:rFonts w:cs="Times New Roman"/>
                <w:sz w:val="20"/>
                <w:szCs w:val="20"/>
              </w:rPr>
              <w:t>was</w:t>
            </w:r>
            <w:r w:rsidR="001611DB" w:rsidRPr="00CC4E3E">
              <w:rPr>
                <w:rFonts w:cs="Times New Roman"/>
                <w:sz w:val="20"/>
                <w:szCs w:val="20"/>
              </w:rPr>
              <w:t xml:space="preserve"> considered to be at an advanced stage of negotiations in June 2013.  </w:t>
            </w:r>
            <w:r w:rsidR="00CC713A">
              <w:rPr>
                <w:sz w:val="20"/>
                <w:szCs w:val="20"/>
              </w:rPr>
              <w:t>T</w:t>
            </w:r>
            <w:r w:rsidR="00CC713A" w:rsidRPr="00DE6CA7">
              <w:rPr>
                <w:sz w:val="20"/>
                <w:szCs w:val="20"/>
              </w:rPr>
              <w:t xml:space="preserve">he Working Party on Kazakhstan’s Accession to the WTO consists of 43 members of the WTO, 30 of which have signed bilateral goods market access negotiations with Kazakhstan.  Of these 30, 14 have also reached a bilateral market access agreement in Services. </w:t>
            </w:r>
            <w:r w:rsidR="001611DB" w:rsidRPr="00CC4E3E">
              <w:rPr>
                <w:rFonts w:cs="Times New Roman"/>
                <w:sz w:val="20"/>
                <w:szCs w:val="20"/>
              </w:rPr>
              <w:t xml:space="preserve">The authorities </w:t>
            </w:r>
            <w:r w:rsidR="00CC713A">
              <w:rPr>
                <w:rFonts w:cs="Times New Roman"/>
                <w:sz w:val="20"/>
                <w:szCs w:val="20"/>
              </w:rPr>
              <w:t xml:space="preserve">are said to have </w:t>
            </w:r>
            <w:r w:rsidR="00CE7D1D">
              <w:rPr>
                <w:rFonts w:cs="Times New Roman"/>
                <w:sz w:val="20"/>
                <w:szCs w:val="20"/>
              </w:rPr>
              <w:t xml:space="preserve">a </w:t>
            </w:r>
            <w:r w:rsidR="001118C2">
              <w:rPr>
                <w:rFonts w:cs="Times New Roman"/>
                <w:sz w:val="20"/>
                <w:szCs w:val="20"/>
              </w:rPr>
              <w:t xml:space="preserve">consolidated </w:t>
            </w:r>
            <w:r w:rsidR="00CE7D1D">
              <w:rPr>
                <w:rFonts w:cs="Times New Roman"/>
                <w:sz w:val="20"/>
                <w:szCs w:val="20"/>
              </w:rPr>
              <w:t xml:space="preserve">draft services schedule and as well as a </w:t>
            </w:r>
            <w:r w:rsidR="001118C2">
              <w:rPr>
                <w:rFonts w:cs="Times New Roman"/>
                <w:sz w:val="20"/>
                <w:szCs w:val="20"/>
              </w:rPr>
              <w:t xml:space="preserve">consolidated </w:t>
            </w:r>
            <w:r w:rsidR="00CE7D1D">
              <w:rPr>
                <w:rFonts w:cs="Times New Roman"/>
                <w:sz w:val="20"/>
                <w:szCs w:val="20"/>
              </w:rPr>
              <w:t xml:space="preserve">draft goods tariff schedule, </w:t>
            </w:r>
            <w:r w:rsidR="00CC713A">
              <w:rPr>
                <w:rFonts w:cs="Times New Roman"/>
                <w:sz w:val="20"/>
                <w:szCs w:val="20"/>
              </w:rPr>
              <w:t xml:space="preserve">and have proposed  a </w:t>
            </w:r>
            <w:r w:rsidR="00CC713A" w:rsidRPr="00DE6CA7">
              <w:rPr>
                <w:rFonts w:cs="Times New Roman"/>
                <w:sz w:val="20"/>
                <w:szCs w:val="20"/>
              </w:rPr>
              <w:t>timeline for making their agricultural subsidies WTO compatible (July 1, 2018) and binding export subsidies at zero upon accessio</w:t>
            </w:r>
            <w:r w:rsidR="00CE7D1D">
              <w:rPr>
                <w:rFonts w:cs="Times New Roman"/>
                <w:sz w:val="20"/>
                <w:szCs w:val="20"/>
              </w:rPr>
              <w:t>n.</w:t>
            </w:r>
            <w:r w:rsidR="00CC713A">
              <w:rPr>
                <w:rFonts w:cs="Times New Roman"/>
                <w:sz w:val="20"/>
                <w:szCs w:val="20"/>
              </w:rPr>
              <w:t xml:space="preserve"> </w:t>
            </w:r>
          </w:p>
          <w:p w:rsidR="00CC713A" w:rsidRDefault="000A7BA6" w:rsidP="00856671">
            <w:pPr>
              <w:spacing w:line="240" w:lineRule="auto"/>
              <w:rPr>
                <w:rFonts w:cs="Times New Roman"/>
                <w:sz w:val="20"/>
                <w:szCs w:val="20"/>
                <w:lang w:bidi="ar-SA"/>
              </w:rPr>
            </w:pPr>
            <w:r w:rsidRPr="00CC4E3E">
              <w:rPr>
                <w:rFonts w:cs="Times New Roman"/>
                <w:sz w:val="20"/>
                <w:szCs w:val="20"/>
              </w:rPr>
              <w:t>As of December 2013, however</w:t>
            </w:r>
            <w:r w:rsidR="008D614F" w:rsidRPr="00CC4E3E">
              <w:rPr>
                <w:rFonts w:cs="Times New Roman"/>
                <w:sz w:val="20"/>
                <w:szCs w:val="20"/>
              </w:rPr>
              <w:t>, the authorities</w:t>
            </w:r>
            <w:r w:rsidR="00A816FC" w:rsidRPr="00CC4E3E">
              <w:rPr>
                <w:rFonts w:cs="Times New Roman"/>
                <w:sz w:val="20"/>
                <w:szCs w:val="20"/>
              </w:rPr>
              <w:t xml:space="preserve"> </w:t>
            </w:r>
            <w:r w:rsidR="008D614F" w:rsidRPr="00CC4E3E">
              <w:rPr>
                <w:rFonts w:cs="Times New Roman"/>
                <w:sz w:val="20"/>
                <w:szCs w:val="20"/>
              </w:rPr>
              <w:t>still need</w:t>
            </w:r>
            <w:r w:rsidR="00A816FC" w:rsidRPr="00CC4E3E">
              <w:rPr>
                <w:rFonts w:cs="Times New Roman"/>
                <w:sz w:val="20"/>
                <w:szCs w:val="20"/>
              </w:rPr>
              <w:t xml:space="preserve"> to negotiate a number of critical issues to finalize the accession package.  The </w:t>
            </w:r>
            <w:r w:rsidR="008D614F" w:rsidRPr="00CC4E3E">
              <w:rPr>
                <w:rFonts w:cs="Times New Roman"/>
                <w:sz w:val="20"/>
                <w:szCs w:val="20"/>
              </w:rPr>
              <w:t>principal hurdle i</w:t>
            </w:r>
            <w:r w:rsidR="002D38AE" w:rsidRPr="00CC4E3E">
              <w:rPr>
                <w:rFonts w:cs="Times New Roman"/>
                <w:sz w:val="20"/>
                <w:szCs w:val="20"/>
              </w:rPr>
              <w:t xml:space="preserve">n </w:t>
            </w:r>
            <w:r w:rsidR="008D614F" w:rsidRPr="00CC4E3E">
              <w:rPr>
                <w:rFonts w:cs="Times New Roman"/>
                <w:sz w:val="20"/>
                <w:szCs w:val="20"/>
              </w:rPr>
              <w:t xml:space="preserve">completing Kazakhstan’s market access negotiations is </w:t>
            </w:r>
            <w:r w:rsidR="002D38AE" w:rsidRPr="00CC4E3E">
              <w:rPr>
                <w:rFonts w:cs="Times New Roman"/>
                <w:sz w:val="20"/>
                <w:szCs w:val="20"/>
              </w:rPr>
              <w:t xml:space="preserve">the </w:t>
            </w:r>
            <w:r w:rsidR="00A816FC" w:rsidRPr="00CC4E3E">
              <w:rPr>
                <w:rFonts w:cs="Times New Roman"/>
                <w:sz w:val="20"/>
                <w:szCs w:val="20"/>
              </w:rPr>
              <w:t xml:space="preserve">tariff schedule upon accession.  The tariff negotiations involve resolving discrepancies between bilateral market access agreements negotiated by Kazakhstan with WTO members prior to joining the Custom Union, Russia’s schedule of commitments and the common external tariff of the customs union of Belarus, Russia and Kazakhstan. WTO members did not accept the methodology for adjustment proposed in July 2013 by Kazakhstan. </w:t>
            </w:r>
            <w:r w:rsidR="008D614F" w:rsidRPr="00CC4E3E">
              <w:rPr>
                <w:rFonts w:cs="Times New Roman"/>
                <w:sz w:val="20"/>
                <w:szCs w:val="20"/>
              </w:rPr>
              <w:t>Additionally, the authorities need to finalize negotiations on the tariff rate quota volumes and administration</w:t>
            </w:r>
            <w:r w:rsidR="00CE7D1D">
              <w:rPr>
                <w:rFonts w:cs="Times New Roman"/>
                <w:sz w:val="20"/>
                <w:szCs w:val="20"/>
              </w:rPr>
              <w:t xml:space="preserve"> and export duties</w:t>
            </w:r>
            <w:r w:rsidR="008D614F" w:rsidRPr="00CC4E3E">
              <w:rPr>
                <w:rFonts w:cs="Times New Roman"/>
                <w:sz w:val="20"/>
                <w:szCs w:val="20"/>
              </w:rPr>
              <w:t>; the regulations and practices governing sanitary and phytosanitary (SPS) measures and technical regulations; WTO-inconsistent trade-related investment measures (TRIMS), including those embedded in state-own</w:t>
            </w:r>
            <w:r w:rsidR="00CE7D1D" w:rsidRPr="00CE7D1D">
              <w:rPr>
                <w:rFonts w:cs="Times New Roman"/>
                <w:sz w:val="20"/>
                <w:szCs w:val="20"/>
              </w:rPr>
              <w:t>ed enterprises</w:t>
            </w:r>
            <w:r w:rsidR="00CE7D1D">
              <w:rPr>
                <w:rFonts w:cs="Times New Roman"/>
                <w:sz w:val="20"/>
                <w:szCs w:val="20"/>
              </w:rPr>
              <w:t xml:space="preserve">,  on local content requirements and </w:t>
            </w:r>
            <w:r w:rsidR="00CE7D1D" w:rsidRPr="00DE6CA7">
              <w:rPr>
                <w:rFonts w:cs="Times New Roman"/>
                <w:sz w:val="20"/>
                <w:szCs w:val="20"/>
              </w:rPr>
              <w:t>discriminatory VAT preferences</w:t>
            </w:r>
            <w:r w:rsidR="00CE7D1D">
              <w:rPr>
                <w:rFonts w:cs="Times New Roman"/>
                <w:sz w:val="20"/>
                <w:szCs w:val="20"/>
              </w:rPr>
              <w:t>; trading rights and treatment of natural persons.</w:t>
            </w:r>
          </w:p>
          <w:p w:rsidR="000F1FF7" w:rsidRPr="00856671" w:rsidRDefault="00A816FC" w:rsidP="00856671">
            <w:pPr>
              <w:spacing w:before="120" w:line="240" w:lineRule="auto"/>
              <w:jc w:val="left"/>
              <w:rPr>
                <w:i/>
                <w:sz w:val="18"/>
                <w:szCs w:val="18"/>
              </w:rPr>
            </w:pPr>
            <w:r w:rsidRPr="00856671">
              <w:rPr>
                <w:rFonts w:cs="Times New Roman"/>
                <w:i/>
                <w:sz w:val="18"/>
                <w:szCs w:val="18"/>
              </w:rPr>
              <w:t xml:space="preserve">Source: </w:t>
            </w:r>
            <w:r w:rsidRPr="00856671">
              <w:rPr>
                <w:rFonts w:cs="Times New Roman"/>
                <w:sz w:val="18"/>
                <w:szCs w:val="18"/>
              </w:rPr>
              <w:t>World Bank Staff.</w:t>
            </w:r>
            <w:r w:rsidRPr="00856671">
              <w:rPr>
                <w:rFonts w:ascii="Trebuchet MS" w:hAnsi="Trebuchet MS"/>
                <w:i/>
                <w:sz w:val="18"/>
                <w:szCs w:val="18"/>
              </w:rPr>
              <w:t xml:space="preserve"> </w:t>
            </w:r>
          </w:p>
        </w:tc>
      </w:tr>
    </w:tbl>
    <w:p w:rsidR="00B10FD8" w:rsidRDefault="00B10FD8" w:rsidP="00DA4A08">
      <w:pPr>
        <w:spacing w:after="0" w:line="240" w:lineRule="auto"/>
        <w:jc w:val="left"/>
        <w:rPr>
          <w:highlight w:val="yellow"/>
        </w:rPr>
      </w:pPr>
    </w:p>
    <w:p w:rsidR="00CC4E3E" w:rsidRDefault="00CC4E3E" w:rsidP="00DA4A08">
      <w:pPr>
        <w:pStyle w:val="ListParagraph"/>
        <w:numPr>
          <w:ilvl w:val="0"/>
          <w:numId w:val="1"/>
        </w:numPr>
        <w:tabs>
          <w:tab w:val="left" w:pos="720"/>
        </w:tabs>
        <w:spacing w:after="240" w:line="240" w:lineRule="auto"/>
        <w:ind w:left="0" w:firstLine="0"/>
        <w:contextualSpacing w:val="0"/>
        <w:rPr>
          <w:rFonts w:cs="Times New Roman"/>
          <w:sz w:val="22"/>
        </w:rPr>
      </w:pPr>
      <w:r w:rsidRPr="002F7786">
        <w:rPr>
          <w:rFonts w:cs="Times New Roman"/>
          <w:b/>
          <w:sz w:val="22"/>
        </w:rPr>
        <w:t>The overall results from tariff reduction suggest gains for the economy</w:t>
      </w:r>
      <w:r w:rsidRPr="00ED316B">
        <w:rPr>
          <w:rFonts w:cs="Times New Roman"/>
          <w:b/>
          <w:sz w:val="22"/>
        </w:rPr>
        <w:t>.</w:t>
      </w:r>
      <w:r>
        <w:rPr>
          <w:rFonts w:cs="Times New Roman"/>
          <w:b/>
          <w:sz w:val="22"/>
        </w:rPr>
        <w:t xml:space="preserve"> </w:t>
      </w:r>
      <w:r w:rsidRPr="00ED316B">
        <w:rPr>
          <w:rFonts w:cs="Times New Roman"/>
          <w:sz w:val="22"/>
        </w:rPr>
        <w:t xml:space="preserve">Gains from tariff liberalization in goods </w:t>
      </w:r>
      <w:r>
        <w:rPr>
          <w:rFonts w:cs="Times New Roman"/>
          <w:sz w:val="22"/>
        </w:rPr>
        <w:t xml:space="preserve">will improve welfare by </w:t>
      </w:r>
      <w:r w:rsidRPr="00ED316B">
        <w:rPr>
          <w:rFonts w:cs="Times New Roman"/>
          <w:sz w:val="22"/>
        </w:rPr>
        <w:t xml:space="preserve">0.3 percent </w:t>
      </w:r>
      <w:r>
        <w:rPr>
          <w:rFonts w:cs="Times New Roman"/>
          <w:sz w:val="22"/>
        </w:rPr>
        <w:t>(as percent of consumption) per year by</w:t>
      </w:r>
      <w:r w:rsidRPr="00ED316B">
        <w:rPr>
          <w:rFonts w:cs="Times New Roman"/>
          <w:sz w:val="22"/>
        </w:rPr>
        <w:t xml:space="preserve"> 2020 (</w:t>
      </w:r>
      <w:r>
        <w:rPr>
          <w:rFonts w:cs="Times New Roman"/>
          <w:sz w:val="22"/>
        </w:rPr>
        <w:t xml:space="preserve">or </w:t>
      </w:r>
      <w:r w:rsidRPr="00ED316B">
        <w:rPr>
          <w:rFonts w:cs="Times New Roman"/>
          <w:sz w:val="22"/>
        </w:rPr>
        <w:t>0.1 percent of GDP</w:t>
      </w:r>
      <w:r>
        <w:rPr>
          <w:rFonts w:cs="Times New Roman"/>
          <w:sz w:val="22"/>
        </w:rPr>
        <w:t xml:space="preserve"> per year by 2020</w:t>
      </w:r>
      <w:r w:rsidRPr="00ED316B">
        <w:rPr>
          <w:rFonts w:cs="Times New Roman"/>
          <w:sz w:val="22"/>
        </w:rPr>
        <w:t xml:space="preserve">). </w:t>
      </w:r>
      <w:r w:rsidRPr="00A73C75">
        <w:rPr>
          <w:rFonts w:cs="Times New Roman"/>
          <w:sz w:val="22"/>
          <w:vertAlign w:val="superscript"/>
        </w:rPr>
        <w:footnoteReference w:id="8"/>
      </w:r>
      <w:r>
        <w:rPr>
          <w:rFonts w:cs="Times New Roman"/>
          <w:sz w:val="22"/>
          <w:vertAlign w:val="superscript"/>
        </w:rPr>
        <w:t xml:space="preserve"> </w:t>
      </w:r>
      <w:r>
        <w:rPr>
          <w:rFonts w:cs="Times New Roman"/>
          <w:sz w:val="22"/>
        </w:rPr>
        <w:t xml:space="preserve">This is compared to 2012 CGE results that showed membership in the CU would have a negative effect on the GDP (-0.1 percent of GDP). </w:t>
      </w:r>
      <w:r w:rsidRPr="00ED316B">
        <w:rPr>
          <w:rFonts w:cs="Times New Roman"/>
          <w:sz w:val="22"/>
        </w:rPr>
        <w:t>Most of the gains will kick in by 2016, when most of the tariff liberalization will take place.</w:t>
      </w:r>
      <w:r>
        <w:rPr>
          <w:rFonts w:cs="Times New Roman"/>
          <w:sz w:val="22"/>
        </w:rPr>
        <w:t xml:space="preserve"> </w:t>
      </w:r>
      <w:r w:rsidRPr="00ED316B">
        <w:rPr>
          <w:rFonts w:cs="Times New Roman"/>
          <w:sz w:val="22"/>
        </w:rPr>
        <w:t>In 2020, aggregate exports would be 0.7 percent higher and aggregate imports would be 0.9 percent higher holding all else equal.</w:t>
      </w:r>
      <w:r>
        <w:rPr>
          <w:rFonts w:cs="Times New Roman"/>
          <w:sz w:val="22"/>
        </w:rPr>
        <w:t xml:space="preserve"> </w:t>
      </w:r>
      <w:r w:rsidRPr="00ED316B">
        <w:rPr>
          <w:rFonts w:cs="Times New Roman"/>
          <w:sz w:val="22"/>
        </w:rPr>
        <w:t>Labor and capital earnings grow modestly, between 0.5-0.6 percent and demand for labor increases as well.</w:t>
      </w:r>
      <w:r>
        <w:rPr>
          <w:rFonts w:cs="Times New Roman"/>
          <w:sz w:val="22"/>
        </w:rPr>
        <w:t xml:space="preserve"> </w:t>
      </w:r>
      <w:r w:rsidRPr="00ED316B">
        <w:rPr>
          <w:rFonts w:cs="Times New Roman"/>
          <w:sz w:val="22"/>
        </w:rPr>
        <w:t xml:space="preserve">As tariff rates decline, government budget revenue </w:t>
      </w:r>
      <w:r>
        <w:rPr>
          <w:rFonts w:cs="Times New Roman"/>
          <w:sz w:val="22"/>
        </w:rPr>
        <w:t>will</w:t>
      </w:r>
      <w:r w:rsidRPr="00ED316B">
        <w:rPr>
          <w:rFonts w:cs="Times New Roman"/>
          <w:sz w:val="22"/>
        </w:rPr>
        <w:t xml:space="preserve"> decline, </w:t>
      </w:r>
      <w:r>
        <w:rPr>
          <w:rFonts w:cs="Times New Roman"/>
          <w:sz w:val="22"/>
        </w:rPr>
        <w:t>by</w:t>
      </w:r>
      <w:r w:rsidRPr="00ED316B">
        <w:rPr>
          <w:rFonts w:cs="Times New Roman"/>
          <w:sz w:val="22"/>
        </w:rPr>
        <w:t xml:space="preserve"> </w:t>
      </w:r>
      <w:r>
        <w:rPr>
          <w:rFonts w:cs="Times New Roman"/>
          <w:sz w:val="22"/>
        </w:rPr>
        <w:t xml:space="preserve">26 percent in by 2016 and about </w:t>
      </w:r>
      <w:r w:rsidRPr="00ED316B">
        <w:rPr>
          <w:rFonts w:cs="Times New Roman"/>
          <w:sz w:val="22"/>
        </w:rPr>
        <w:t xml:space="preserve">30 percent by 2020. Because </w:t>
      </w:r>
      <w:r w:rsidRPr="00ED316B">
        <w:rPr>
          <w:rFonts w:cs="Times New Roman"/>
          <w:sz w:val="22"/>
        </w:rPr>
        <w:lastRenderedPageBreak/>
        <w:t xml:space="preserve">these revenue losses are not offset by compensating taxes elsewhere in the model, part of the welfare gains are attributed directly to the transfer of revenues from the government toward the private sector. </w:t>
      </w:r>
      <w:r>
        <w:rPr>
          <w:rFonts w:cs="Times New Roman"/>
          <w:sz w:val="22"/>
        </w:rPr>
        <w:t xml:space="preserve">While </w:t>
      </w:r>
      <w:r w:rsidRPr="00ED316B">
        <w:rPr>
          <w:rFonts w:cs="Times New Roman"/>
          <w:sz w:val="22"/>
        </w:rPr>
        <w:t xml:space="preserve">Kazakhstan’s fiscal position is strong, the loss in revenues </w:t>
      </w:r>
      <w:r>
        <w:rPr>
          <w:rFonts w:cs="Times New Roman"/>
          <w:sz w:val="22"/>
        </w:rPr>
        <w:t>could be</w:t>
      </w:r>
      <w:r w:rsidRPr="00ED316B">
        <w:rPr>
          <w:rFonts w:cs="Times New Roman"/>
          <w:sz w:val="22"/>
        </w:rPr>
        <w:t xml:space="preserve"> a significant issue</w:t>
      </w:r>
      <w:r>
        <w:rPr>
          <w:rFonts w:cs="Times New Roman"/>
          <w:sz w:val="22"/>
        </w:rPr>
        <w:t xml:space="preserve"> as they contribute to non-petroleum revenues</w:t>
      </w:r>
      <w:r w:rsidRPr="00ED316B">
        <w:rPr>
          <w:rFonts w:cs="Times New Roman"/>
          <w:sz w:val="22"/>
        </w:rPr>
        <w:t xml:space="preserve">. Capital and labor both benefit in the aggregate from the liberalization of trade, though, there will be a differentiated sectoral </w:t>
      </w:r>
      <w:r w:rsidRPr="001B1BC0">
        <w:rPr>
          <w:rFonts w:cs="Times New Roman"/>
          <w:sz w:val="22"/>
        </w:rPr>
        <w:t xml:space="preserve">response </w:t>
      </w:r>
      <w:r w:rsidRPr="00666A9F">
        <w:rPr>
          <w:rFonts w:cs="Times New Roman"/>
          <w:sz w:val="22"/>
        </w:rPr>
        <w:t xml:space="preserve">(Table </w:t>
      </w:r>
      <w:r>
        <w:rPr>
          <w:rFonts w:cs="Times New Roman"/>
          <w:sz w:val="22"/>
        </w:rPr>
        <w:t>9</w:t>
      </w:r>
      <w:r w:rsidRPr="00666A9F">
        <w:rPr>
          <w:rFonts w:cs="Times New Roman"/>
          <w:sz w:val="22"/>
        </w:rPr>
        <w:t>).</w:t>
      </w:r>
      <w:r>
        <w:rPr>
          <w:rFonts w:cs="Times New Roman"/>
          <w:sz w:val="22"/>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tblGrid>
      <w:tr w:rsidR="002F7786" w:rsidTr="000B7CF1">
        <w:trPr>
          <w:jc w:val="center"/>
        </w:trPr>
        <w:tc>
          <w:tcPr>
            <w:tcW w:w="8208" w:type="dxa"/>
          </w:tcPr>
          <w:p w:rsidR="002F7786" w:rsidRDefault="004702C4" w:rsidP="004702C4">
            <w:pPr>
              <w:pStyle w:val="Caption"/>
            </w:pPr>
            <w:bookmarkStart w:id="25" w:name="_Toc378151227"/>
            <w:r>
              <w:t xml:space="preserve">Figure </w:t>
            </w:r>
            <w:fldSimple w:instr=" SEQ Figure \* ARABIC ">
              <w:r w:rsidR="00CE6F8C">
                <w:rPr>
                  <w:noProof/>
                </w:rPr>
                <w:t>3</w:t>
              </w:r>
            </w:fldSimple>
            <w:r>
              <w:t xml:space="preserve">: </w:t>
            </w:r>
            <w:r w:rsidR="002F7786" w:rsidRPr="00652A32">
              <w:t xml:space="preserve">Acceding to the WTO </w:t>
            </w:r>
            <w:r w:rsidR="00980027" w:rsidRPr="00652A32">
              <w:t xml:space="preserve">Using </w:t>
            </w:r>
            <w:r w:rsidR="002F7786" w:rsidRPr="00652A32">
              <w:t xml:space="preserve">Russia’s </w:t>
            </w:r>
            <w:r w:rsidR="00980027" w:rsidRPr="00652A32">
              <w:t>Tariff Schedule Wil</w:t>
            </w:r>
            <w:r w:rsidR="00980027">
              <w:t xml:space="preserve">l Substantially Reduce Tariffs </w:t>
            </w:r>
            <w:r w:rsidR="00DE7230">
              <w:t>i</w:t>
            </w:r>
            <w:r w:rsidR="00980027" w:rsidRPr="00652A32">
              <w:t>n Most Sectors</w:t>
            </w:r>
            <w:bookmarkEnd w:id="25"/>
          </w:p>
          <w:p w:rsidR="00445B30" w:rsidRPr="00445B30" w:rsidRDefault="00445B30" w:rsidP="00980027">
            <w:pPr>
              <w:jc w:val="center"/>
              <w:rPr>
                <w:sz w:val="20"/>
                <w:szCs w:val="20"/>
              </w:rPr>
            </w:pPr>
            <w:r w:rsidRPr="00445B30">
              <w:rPr>
                <w:sz w:val="20"/>
                <w:szCs w:val="20"/>
              </w:rPr>
              <w:t>(</w:t>
            </w:r>
            <w:r w:rsidR="00980027">
              <w:rPr>
                <w:sz w:val="20"/>
                <w:szCs w:val="20"/>
              </w:rPr>
              <w:t>S</w:t>
            </w:r>
            <w:r w:rsidRPr="00445B30">
              <w:rPr>
                <w:sz w:val="20"/>
                <w:szCs w:val="20"/>
              </w:rPr>
              <w:t>imple average tariffs of listed rates, percent)</w:t>
            </w:r>
          </w:p>
        </w:tc>
      </w:tr>
      <w:tr w:rsidR="002F7786" w:rsidTr="00CF36CF">
        <w:trPr>
          <w:trHeight w:val="4041"/>
          <w:jc w:val="center"/>
        </w:trPr>
        <w:tc>
          <w:tcPr>
            <w:tcW w:w="8208" w:type="dxa"/>
          </w:tcPr>
          <w:p w:rsidR="002F7786" w:rsidRPr="00445B30" w:rsidRDefault="00533865" w:rsidP="000B7CF1">
            <w:pPr>
              <w:pStyle w:val="ListParagraph"/>
              <w:spacing w:line="240" w:lineRule="auto"/>
              <w:ind w:left="0"/>
              <w:contextualSpacing w:val="0"/>
              <w:jc w:val="center"/>
              <w:rPr>
                <w:rFonts w:cs="Times New Roman"/>
                <w:color w:val="FF0000"/>
                <w:sz w:val="22"/>
              </w:rPr>
            </w:pPr>
            <w:r w:rsidRPr="00445B30">
              <w:rPr>
                <w:noProof/>
                <w:color w:val="FF0000"/>
              </w:rPr>
              <w:drawing>
                <wp:inline distT="0" distB="0" distL="0" distR="0" wp14:anchorId="7CAFD1AF" wp14:editId="000C2BF3">
                  <wp:extent cx="5067300" cy="35623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2F7786" w:rsidTr="000B7CF1">
        <w:trPr>
          <w:jc w:val="center"/>
        </w:trPr>
        <w:tc>
          <w:tcPr>
            <w:tcW w:w="8208" w:type="dxa"/>
          </w:tcPr>
          <w:p w:rsidR="002F7786" w:rsidRPr="000B7CF1" w:rsidRDefault="002F7786" w:rsidP="00F44F2C">
            <w:pPr>
              <w:pStyle w:val="ListParagraph"/>
              <w:spacing w:before="120" w:line="240" w:lineRule="auto"/>
              <w:ind w:left="0"/>
              <w:contextualSpacing w:val="0"/>
              <w:jc w:val="left"/>
              <w:rPr>
                <w:rFonts w:cs="Times New Roman"/>
                <w:sz w:val="18"/>
                <w:szCs w:val="18"/>
              </w:rPr>
            </w:pPr>
            <w:r w:rsidRPr="000B7CF1">
              <w:rPr>
                <w:rFonts w:cs="Times New Roman"/>
                <w:i/>
                <w:sz w:val="18"/>
                <w:szCs w:val="18"/>
              </w:rPr>
              <w:t>Source:</w:t>
            </w:r>
            <w:r w:rsidRPr="000B7CF1">
              <w:rPr>
                <w:rFonts w:cs="Times New Roman"/>
                <w:sz w:val="18"/>
                <w:szCs w:val="18"/>
              </w:rPr>
              <w:t xml:space="preserve"> </w:t>
            </w:r>
            <w:r w:rsidR="00F44F2C">
              <w:rPr>
                <w:rFonts w:cs="Times New Roman"/>
                <w:sz w:val="18"/>
                <w:szCs w:val="18"/>
              </w:rPr>
              <w:t xml:space="preserve">Official data and </w:t>
            </w:r>
            <w:r w:rsidR="00F44F2C" w:rsidRPr="007B00FF">
              <w:rPr>
                <w:rFonts w:cs="Times New Roman"/>
                <w:sz w:val="18"/>
                <w:szCs w:val="18"/>
              </w:rPr>
              <w:t>World Bank staff</w:t>
            </w:r>
            <w:r w:rsidR="00F44F2C">
              <w:rPr>
                <w:rFonts w:cs="Times New Roman"/>
                <w:sz w:val="18"/>
                <w:szCs w:val="18"/>
              </w:rPr>
              <w:t xml:space="preserve"> calculations </w:t>
            </w:r>
            <w:r w:rsidRPr="000B7CF1">
              <w:rPr>
                <w:rFonts w:cs="Times New Roman"/>
                <w:sz w:val="18"/>
                <w:szCs w:val="18"/>
              </w:rPr>
              <w:t>2013</w:t>
            </w:r>
            <w:r w:rsidR="000B7CF1">
              <w:rPr>
                <w:rFonts w:cs="Times New Roman"/>
                <w:sz w:val="18"/>
                <w:szCs w:val="18"/>
              </w:rPr>
              <w:t>.</w:t>
            </w:r>
            <w:r w:rsidR="00666A9F">
              <w:rPr>
                <w:rFonts w:cs="Times New Roman"/>
                <w:sz w:val="18"/>
                <w:szCs w:val="18"/>
              </w:rPr>
              <w:t xml:space="preserve">  </w:t>
            </w:r>
            <w:r w:rsidR="00666A9F" w:rsidRPr="00CA4713">
              <w:rPr>
                <w:rFonts w:cs="Times New Roman"/>
                <w:sz w:val="18"/>
                <w:szCs w:val="18"/>
              </w:rPr>
              <w:t>Acronym list in annex</w:t>
            </w:r>
            <w:r w:rsidR="00CA4713" w:rsidRPr="00CA4713">
              <w:rPr>
                <w:rFonts w:cs="Times New Roman"/>
                <w:sz w:val="18"/>
                <w:szCs w:val="18"/>
              </w:rPr>
              <w:t xml:space="preserve"> </w:t>
            </w:r>
            <w:r w:rsidR="00FC1AB9">
              <w:rPr>
                <w:rFonts w:cs="Times New Roman"/>
                <w:sz w:val="18"/>
                <w:szCs w:val="18"/>
              </w:rPr>
              <w:t>I, table A</w:t>
            </w:r>
            <w:r w:rsidR="00CA4713" w:rsidRPr="00CA4713">
              <w:rPr>
                <w:rFonts w:cs="Times New Roman"/>
                <w:sz w:val="18"/>
                <w:szCs w:val="18"/>
              </w:rPr>
              <w:t>5</w:t>
            </w:r>
            <w:r w:rsidR="00666A9F" w:rsidRPr="00CA4713">
              <w:rPr>
                <w:rFonts w:cs="Times New Roman"/>
                <w:sz w:val="18"/>
                <w:szCs w:val="18"/>
              </w:rPr>
              <w:t>.</w:t>
            </w:r>
            <w:r w:rsidR="00666A9F">
              <w:rPr>
                <w:rFonts w:cs="Times New Roman"/>
                <w:sz w:val="18"/>
                <w:szCs w:val="18"/>
              </w:rPr>
              <w:t xml:space="preserve"> </w:t>
            </w:r>
          </w:p>
        </w:tc>
      </w:tr>
    </w:tbl>
    <w:p w:rsidR="005A5562" w:rsidRDefault="005A5562">
      <w:pPr>
        <w:spacing w:line="276" w:lineRule="auto"/>
        <w:jc w:val="left"/>
        <w:rPr>
          <w:rFonts w:cs="Times New Roman"/>
          <w:b/>
          <w:sz w:val="22"/>
        </w:rPr>
      </w:pPr>
    </w:p>
    <w:p w:rsidR="00CC4E3E" w:rsidRDefault="00CC4E3E" w:rsidP="000002D1">
      <w:pPr>
        <w:pStyle w:val="ListParagraph"/>
        <w:tabs>
          <w:tab w:val="left" w:pos="720"/>
        </w:tabs>
        <w:spacing w:after="240" w:line="240" w:lineRule="auto"/>
        <w:ind w:left="0"/>
        <w:contextualSpacing w:val="0"/>
        <w:rPr>
          <w:rFonts w:cs="Times New Roman"/>
          <w:sz w:val="22"/>
        </w:rPr>
      </w:pPr>
    </w:p>
    <w:p w:rsidR="00CC4E3E" w:rsidRDefault="00CC4E3E" w:rsidP="000002D1">
      <w:pPr>
        <w:pStyle w:val="ListParagraph"/>
        <w:tabs>
          <w:tab w:val="left" w:pos="720"/>
        </w:tabs>
        <w:spacing w:after="240" w:line="240" w:lineRule="auto"/>
        <w:ind w:left="0"/>
        <w:contextualSpacing w:val="0"/>
        <w:rPr>
          <w:rFonts w:cs="Times New Roman"/>
          <w:sz w:val="22"/>
        </w:rPr>
      </w:pPr>
    </w:p>
    <w:p w:rsidR="00CC4E3E" w:rsidRDefault="00CC4E3E" w:rsidP="000002D1">
      <w:pPr>
        <w:pStyle w:val="ListParagraph"/>
        <w:tabs>
          <w:tab w:val="left" w:pos="720"/>
        </w:tabs>
        <w:spacing w:after="240" w:line="240" w:lineRule="auto"/>
        <w:ind w:left="0"/>
        <w:contextualSpacing w:val="0"/>
        <w:rPr>
          <w:rFonts w:cs="Times New Roman"/>
          <w:sz w:val="22"/>
        </w:rPr>
      </w:pPr>
    </w:p>
    <w:p w:rsidR="00CC4E3E" w:rsidRPr="003D3C8A" w:rsidRDefault="00CC4E3E" w:rsidP="000002D1">
      <w:pPr>
        <w:pStyle w:val="ListParagraph"/>
        <w:tabs>
          <w:tab w:val="left" w:pos="720"/>
        </w:tabs>
        <w:spacing w:after="240" w:line="240" w:lineRule="auto"/>
        <w:ind w:left="0"/>
        <w:contextualSpacing w:val="0"/>
        <w:rPr>
          <w:rFonts w:cs="Times New Roman"/>
          <w:sz w:val="22"/>
        </w:rPr>
      </w:pPr>
    </w:p>
    <w:p w:rsidR="00DA4A08" w:rsidRDefault="00DA4A08">
      <w:r>
        <w:rPr>
          <w:b/>
          <w:bCs/>
        </w:rPr>
        <w:br w:type="page"/>
      </w:r>
    </w:p>
    <w:tbl>
      <w:tblPr>
        <w:tblW w:w="7878" w:type="dxa"/>
        <w:jc w:val="center"/>
        <w:tblLayout w:type="fixed"/>
        <w:tblLook w:val="04A0" w:firstRow="1" w:lastRow="0" w:firstColumn="1" w:lastColumn="0" w:noHBand="0" w:noVBand="1"/>
      </w:tblPr>
      <w:tblGrid>
        <w:gridCol w:w="3330"/>
        <w:gridCol w:w="1516"/>
        <w:gridCol w:w="1516"/>
        <w:gridCol w:w="1516"/>
      </w:tblGrid>
      <w:tr w:rsidR="00CF36CF" w:rsidRPr="00CF36CF" w:rsidTr="0061072B">
        <w:trPr>
          <w:trHeight w:val="300"/>
          <w:jc w:val="center"/>
        </w:trPr>
        <w:tc>
          <w:tcPr>
            <w:tcW w:w="7878" w:type="dxa"/>
            <w:gridSpan w:val="4"/>
            <w:tcBorders>
              <w:bottom w:val="single" w:sz="4" w:space="0" w:color="auto"/>
            </w:tcBorders>
            <w:shd w:val="clear" w:color="auto" w:fill="auto"/>
            <w:noWrap/>
            <w:vAlign w:val="bottom"/>
            <w:hideMark/>
          </w:tcPr>
          <w:p w:rsidR="00CF36CF" w:rsidRDefault="00980027" w:rsidP="00980027">
            <w:pPr>
              <w:pStyle w:val="Caption"/>
              <w:rPr>
                <w:rFonts w:eastAsia="Times New Roman"/>
              </w:rPr>
            </w:pPr>
            <w:bookmarkStart w:id="26" w:name="_Toc378151215"/>
            <w:r w:rsidRPr="00980027">
              <w:lastRenderedPageBreak/>
              <w:t xml:space="preserve">Table </w:t>
            </w:r>
            <w:fldSimple w:instr=" SEQ Table \* ARABIC ">
              <w:r w:rsidR="0056192E">
                <w:rPr>
                  <w:noProof/>
                </w:rPr>
                <w:t>7</w:t>
              </w:r>
            </w:fldSimple>
            <w:r w:rsidRPr="00980027">
              <w:t>:</w:t>
            </w:r>
            <w:r w:rsidRPr="00980027">
              <w:rPr>
                <w:rFonts w:eastAsia="Times New Roman"/>
              </w:rPr>
              <w:t xml:space="preserve"> </w:t>
            </w:r>
            <w:r w:rsidR="00CF36CF" w:rsidRPr="00980027">
              <w:rPr>
                <w:rFonts w:eastAsia="Times New Roman"/>
              </w:rPr>
              <w:t xml:space="preserve">Kazakhstan </w:t>
            </w:r>
            <w:r w:rsidRPr="00980027">
              <w:rPr>
                <w:rFonts w:eastAsia="Times New Roman"/>
              </w:rPr>
              <w:t xml:space="preserve">Will Benefit From Joining the </w:t>
            </w:r>
            <w:r w:rsidR="00CF36CF" w:rsidRPr="00980027">
              <w:rPr>
                <w:rFonts w:eastAsia="Times New Roman"/>
              </w:rPr>
              <w:t>WTO</w:t>
            </w:r>
            <w:r w:rsidRPr="00980027">
              <w:rPr>
                <w:rFonts w:eastAsia="Times New Roman"/>
              </w:rPr>
              <w:t xml:space="preserve">, Especially </w:t>
            </w:r>
            <w:r w:rsidR="00FC3281">
              <w:rPr>
                <w:rFonts w:eastAsia="Times New Roman"/>
              </w:rPr>
              <w:t>i</w:t>
            </w:r>
            <w:r w:rsidRPr="00980027">
              <w:rPr>
                <w:rFonts w:eastAsia="Times New Roman"/>
              </w:rPr>
              <w:t>f it Eases Non-Tariff Barriers to Trade</w:t>
            </w:r>
            <w:bookmarkEnd w:id="26"/>
          </w:p>
          <w:p w:rsidR="00980027" w:rsidRPr="00980027" w:rsidRDefault="00980027" w:rsidP="00980027">
            <w:pPr>
              <w:spacing w:after="60" w:line="240" w:lineRule="auto"/>
              <w:jc w:val="center"/>
              <w:rPr>
                <w:rFonts w:eastAsia="Times New Roman" w:cs="Times New Roman"/>
                <w:color w:val="000000"/>
                <w:sz w:val="18"/>
                <w:szCs w:val="18"/>
              </w:rPr>
            </w:pPr>
            <w:r w:rsidRPr="00CF36CF">
              <w:rPr>
                <w:rFonts w:eastAsia="Times New Roman" w:cs="Times New Roman"/>
                <w:color w:val="000000"/>
                <w:sz w:val="18"/>
                <w:szCs w:val="18"/>
              </w:rPr>
              <w:t>(Results are</w:t>
            </w:r>
            <w:r>
              <w:rPr>
                <w:rFonts w:eastAsia="Times New Roman" w:cs="Times New Roman"/>
                <w:color w:val="000000"/>
                <w:sz w:val="18"/>
                <w:szCs w:val="18"/>
              </w:rPr>
              <w:t xml:space="preserve"> percentage change from initial </w:t>
            </w:r>
            <w:r w:rsidRPr="00CF36CF">
              <w:rPr>
                <w:rFonts w:eastAsia="Times New Roman" w:cs="Times New Roman"/>
                <w:color w:val="000000"/>
                <w:sz w:val="18"/>
                <w:szCs w:val="18"/>
              </w:rPr>
              <w:t>equilibrium, unless otherwise indicated)</w:t>
            </w:r>
          </w:p>
        </w:tc>
      </w:tr>
      <w:tr w:rsidR="00CF36CF" w:rsidRPr="00CF36CF" w:rsidTr="0061072B">
        <w:trPr>
          <w:trHeight w:val="576"/>
          <w:jc w:val="center"/>
        </w:trPr>
        <w:tc>
          <w:tcPr>
            <w:tcW w:w="3330" w:type="dxa"/>
            <w:tcBorders>
              <w:top w:val="single" w:sz="4" w:space="0" w:color="auto"/>
              <w:bottom w:val="single" w:sz="4" w:space="0" w:color="auto"/>
            </w:tcBorders>
            <w:shd w:val="clear" w:color="000000" w:fill="FFFFFF"/>
            <w:noWrap/>
            <w:vAlign w:val="center"/>
            <w:hideMark/>
          </w:tcPr>
          <w:p w:rsidR="00CF36CF" w:rsidRPr="00980027" w:rsidRDefault="00CF36CF" w:rsidP="00980027">
            <w:pPr>
              <w:spacing w:before="60" w:after="60" w:line="240" w:lineRule="auto"/>
              <w:jc w:val="left"/>
              <w:rPr>
                <w:rFonts w:eastAsia="Times New Roman" w:cs="Times New Roman"/>
                <w:bCs/>
                <w:sz w:val="20"/>
                <w:szCs w:val="20"/>
              </w:rPr>
            </w:pPr>
            <w:r w:rsidRPr="00980027">
              <w:rPr>
                <w:rFonts w:eastAsia="Times New Roman" w:cs="Times New Roman"/>
                <w:bCs/>
                <w:sz w:val="20"/>
                <w:szCs w:val="20"/>
              </w:rPr>
              <w:t>Scenarios</w:t>
            </w:r>
          </w:p>
        </w:tc>
        <w:tc>
          <w:tcPr>
            <w:tcW w:w="1516" w:type="dxa"/>
            <w:tcBorders>
              <w:top w:val="single" w:sz="4" w:space="0" w:color="auto"/>
              <w:bottom w:val="single" w:sz="4" w:space="0" w:color="auto"/>
            </w:tcBorders>
            <w:shd w:val="clear" w:color="000000" w:fill="FFFFFF"/>
            <w:vAlign w:val="center"/>
            <w:hideMark/>
          </w:tcPr>
          <w:p w:rsidR="00CF36CF" w:rsidRPr="00980027" w:rsidRDefault="00CF36CF" w:rsidP="00980027">
            <w:pPr>
              <w:spacing w:before="60" w:after="60" w:line="240" w:lineRule="auto"/>
              <w:jc w:val="center"/>
              <w:rPr>
                <w:rFonts w:eastAsia="Times New Roman" w:cs="Times New Roman"/>
                <w:bCs/>
                <w:sz w:val="20"/>
                <w:szCs w:val="20"/>
              </w:rPr>
            </w:pPr>
            <w:r w:rsidRPr="00980027">
              <w:rPr>
                <w:rFonts w:eastAsia="Times New Roman" w:cs="Times New Roman"/>
                <w:bCs/>
                <w:sz w:val="20"/>
                <w:szCs w:val="20"/>
              </w:rPr>
              <w:t>2016 Tariff Rates</w:t>
            </w:r>
          </w:p>
        </w:tc>
        <w:tc>
          <w:tcPr>
            <w:tcW w:w="1516" w:type="dxa"/>
            <w:tcBorders>
              <w:top w:val="single" w:sz="4" w:space="0" w:color="auto"/>
              <w:bottom w:val="single" w:sz="4" w:space="0" w:color="auto"/>
            </w:tcBorders>
            <w:shd w:val="clear" w:color="000000" w:fill="FFFFFF"/>
            <w:vAlign w:val="center"/>
            <w:hideMark/>
          </w:tcPr>
          <w:p w:rsidR="00CF36CF" w:rsidRPr="00980027" w:rsidRDefault="00CF36CF" w:rsidP="00980027">
            <w:pPr>
              <w:spacing w:before="60" w:after="60" w:line="240" w:lineRule="auto"/>
              <w:jc w:val="center"/>
              <w:rPr>
                <w:rFonts w:eastAsia="Times New Roman" w:cs="Times New Roman"/>
                <w:bCs/>
                <w:sz w:val="20"/>
                <w:szCs w:val="20"/>
              </w:rPr>
            </w:pPr>
            <w:r w:rsidRPr="00980027">
              <w:rPr>
                <w:rFonts w:eastAsia="Times New Roman" w:cs="Times New Roman"/>
                <w:bCs/>
                <w:sz w:val="20"/>
                <w:szCs w:val="20"/>
              </w:rPr>
              <w:t>2020 Tariff Rates</w:t>
            </w:r>
          </w:p>
        </w:tc>
        <w:tc>
          <w:tcPr>
            <w:tcW w:w="1516" w:type="dxa"/>
            <w:tcBorders>
              <w:top w:val="single" w:sz="4" w:space="0" w:color="auto"/>
              <w:bottom w:val="single" w:sz="4" w:space="0" w:color="auto"/>
            </w:tcBorders>
            <w:shd w:val="clear" w:color="000000" w:fill="FFFFFF"/>
            <w:vAlign w:val="center"/>
            <w:hideMark/>
          </w:tcPr>
          <w:p w:rsidR="00CF36CF" w:rsidRPr="00980027" w:rsidRDefault="00CF36CF" w:rsidP="00980027">
            <w:pPr>
              <w:spacing w:before="60" w:after="60" w:line="240" w:lineRule="auto"/>
              <w:jc w:val="left"/>
              <w:rPr>
                <w:rFonts w:eastAsia="Times New Roman" w:cs="Times New Roman"/>
                <w:bCs/>
                <w:sz w:val="20"/>
                <w:szCs w:val="20"/>
              </w:rPr>
            </w:pPr>
            <w:r w:rsidRPr="00980027">
              <w:rPr>
                <w:rFonts w:eastAsia="Times New Roman" w:cs="Times New Roman"/>
                <w:bCs/>
                <w:sz w:val="20"/>
                <w:szCs w:val="20"/>
              </w:rPr>
              <w:t>2020 Tariff Rates and NTB Reform</w:t>
            </w:r>
          </w:p>
        </w:tc>
      </w:tr>
      <w:tr w:rsidR="00CF36CF" w:rsidRPr="00CF36CF" w:rsidTr="0061072B">
        <w:trPr>
          <w:trHeight w:val="144"/>
          <w:jc w:val="center"/>
        </w:trPr>
        <w:tc>
          <w:tcPr>
            <w:tcW w:w="3330" w:type="dxa"/>
            <w:tcBorders>
              <w:top w:val="single" w:sz="4" w:space="0" w:color="auto"/>
            </w:tcBorders>
            <w:shd w:val="clear" w:color="000000" w:fill="FFFFFF"/>
            <w:noWrap/>
            <w:vAlign w:val="bottom"/>
            <w:hideMark/>
          </w:tcPr>
          <w:p w:rsidR="00CF36CF" w:rsidRPr="00F607C7" w:rsidRDefault="00CF36CF" w:rsidP="00F607C7">
            <w:pPr>
              <w:spacing w:after="0" w:line="240" w:lineRule="auto"/>
              <w:jc w:val="left"/>
              <w:rPr>
                <w:rFonts w:eastAsia="Times New Roman" w:cs="Times New Roman"/>
                <w:b/>
                <w:bCs/>
                <w:i/>
                <w:sz w:val="20"/>
                <w:szCs w:val="20"/>
              </w:rPr>
            </w:pPr>
            <w:r w:rsidRPr="00F607C7">
              <w:rPr>
                <w:rFonts w:eastAsia="Times New Roman" w:cs="Times New Roman"/>
                <w:bCs/>
                <w:i/>
                <w:sz w:val="20"/>
                <w:szCs w:val="20"/>
              </w:rPr>
              <w:t>Aggregate welfare (real income</w:t>
            </w:r>
            <w:r w:rsidRPr="00F607C7">
              <w:rPr>
                <w:rFonts w:eastAsia="Times New Roman" w:cs="Times New Roman"/>
                <w:b/>
                <w:bCs/>
                <w:i/>
                <w:sz w:val="20"/>
                <w:szCs w:val="20"/>
              </w:rPr>
              <w:t>)</w:t>
            </w:r>
          </w:p>
        </w:tc>
        <w:tc>
          <w:tcPr>
            <w:tcW w:w="1516" w:type="dxa"/>
            <w:tcBorders>
              <w:top w:val="single" w:sz="4" w:space="0" w:color="auto"/>
            </w:tcBorders>
            <w:shd w:val="clear" w:color="000000" w:fill="FFFFFF"/>
            <w:noWrap/>
            <w:vAlign w:val="bottom"/>
            <w:hideMark/>
          </w:tcPr>
          <w:p w:rsidR="00CF36CF" w:rsidRPr="00CF36CF" w:rsidRDefault="00CF36CF" w:rsidP="00CF36CF">
            <w:pPr>
              <w:spacing w:after="0" w:line="240" w:lineRule="auto"/>
              <w:jc w:val="center"/>
              <w:rPr>
                <w:rFonts w:eastAsia="Times New Roman" w:cs="Times New Roman"/>
                <w:b/>
                <w:bCs/>
                <w:sz w:val="20"/>
                <w:szCs w:val="20"/>
              </w:rPr>
            </w:pPr>
            <w:r w:rsidRPr="00CF36CF">
              <w:rPr>
                <w:rFonts w:eastAsia="Times New Roman" w:cs="Times New Roman"/>
                <w:b/>
                <w:bCs/>
                <w:sz w:val="20"/>
                <w:szCs w:val="20"/>
              </w:rPr>
              <w:t> </w:t>
            </w:r>
          </w:p>
        </w:tc>
        <w:tc>
          <w:tcPr>
            <w:tcW w:w="1516" w:type="dxa"/>
            <w:tcBorders>
              <w:top w:val="single" w:sz="4" w:space="0" w:color="auto"/>
            </w:tcBorders>
            <w:shd w:val="clear" w:color="000000" w:fill="FFFFFF"/>
            <w:noWrap/>
            <w:vAlign w:val="bottom"/>
            <w:hideMark/>
          </w:tcPr>
          <w:p w:rsidR="00CF36CF" w:rsidRPr="00CF36CF" w:rsidRDefault="00CF36CF" w:rsidP="00CF36CF">
            <w:pPr>
              <w:spacing w:after="0" w:line="240" w:lineRule="auto"/>
              <w:jc w:val="center"/>
              <w:rPr>
                <w:rFonts w:eastAsia="Times New Roman" w:cs="Times New Roman"/>
                <w:b/>
                <w:bCs/>
                <w:sz w:val="20"/>
                <w:szCs w:val="20"/>
              </w:rPr>
            </w:pPr>
            <w:r w:rsidRPr="00CF36CF">
              <w:rPr>
                <w:rFonts w:eastAsia="Times New Roman" w:cs="Times New Roman"/>
                <w:b/>
                <w:bCs/>
                <w:sz w:val="20"/>
                <w:szCs w:val="20"/>
              </w:rPr>
              <w:t> </w:t>
            </w:r>
          </w:p>
        </w:tc>
        <w:tc>
          <w:tcPr>
            <w:tcW w:w="1516" w:type="dxa"/>
            <w:tcBorders>
              <w:top w:val="single" w:sz="4" w:space="0" w:color="auto"/>
            </w:tcBorders>
            <w:shd w:val="clear" w:color="000000" w:fill="FFFFFF"/>
            <w:noWrap/>
            <w:vAlign w:val="bottom"/>
            <w:hideMark/>
          </w:tcPr>
          <w:p w:rsidR="00CF36CF" w:rsidRPr="00CF36CF" w:rsidRDefault="00CF36CF" w:rsidP="00CF36CF">
            <w:pPr>
              <w:spacing w:after="0" w:line="240" w:lineRule="auto"/>
              <w:jc w:val="center"/>
              <w:rPr>
                <w:rFonts w:eastAsia="Times New Roman" w:cs="Times New Roman"/>
                <w:sz w:val="20"/>
                <w:szCs w:val="20"/>
              </w:rPr>
            </w:pPr>
            <w:r w:rsidRPr="00CF36CF">
              <w:rPr>
                <w:rFonts w:eastAsia="Times New Roman" w:cs="Times New Roman"/>
                <w:sz w:val="20"/>
                <w:szCs w:val="20"/>
              </w:rPr>
              <w:t> </w:t>
            </w:r>
          </w:p>
        </w:tc>
      </w:tr>
      <w:tr w:rsidR="00CF36CF" w:rsidRPr="00CF36CF" w:rsidTr="0061072B">
        <w:trPr>
          <w:trHeight w:val="144"/>
          <w:jc w:val="center"/>
        </w:trPr>
        <w:tc>
          <w:tcPr>
            <w:tcW w:w="3330" w:type="dxa"/>
            <w:shd w:val="clear" w:color="000000" w:fill="FFFFFF"/>
            <w:noWrap/>
            <w:vAlign w:val="bottom"/>
            <w:hideMark/>
          </w:tcPr>
          <w:p w:rsidR="00CF36CF" w:rsidRPr="00CF36CF" w:rsidRDefault="00CF36CF" w:rsidP="00CF36CF">
            <w:pPr>
              <w:spacing w:after="0" w:line="240" w:lineRule="auto"/>
              <w:jc w:val="left"/>
              <w:rPr>
                <w:rFonts w:eastAsia="Times New Roman" w:cs="Times New Roman"/>
                <w:sz w:val="20"/>
                <w:szCs w:val="20"/>
              </w:rPr>
            </w:pPr>
            <w:r w:rsidRPr="00CF36CF">
              <w:rPr>
                <w:rFonts w:eastAsia="Times New Roman" w:cs="Times New Roman"/>
                <w:sz w:val="20"/>
                <w:szCs w:val="20"/>
              </w:rPr>
              <w:t>Welfare (EV as % of consumption)</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0.2</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0.3</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0.7</w:t>
            </w:r>
          </w:p>
        </w:tc>
      </w:tr>
      <w:tr w:rsidR="00CF36CF" w:rsidRPr="00CF36CF" w:rsidTr="0061072B">
        <w:trPr>
          <w:trHeight w:val="144"/>
          <w:jc w:val="center"/>
        </w:trPr>
        <w:tc>
          <w:tcPr>
            <w:tcW w:w="3330" w:type="dxa"/>
            <w:shd w:val="clear" w:color="000000" w:fill="FFFFFF"/>
            <w:noWrap/>
            <w:vAlign w:val="bottom"/>
            <w:hideMark/>
          </w:tcPr>
          <w:p w:rsidR="00CF36CF" w:rsidRPr="00CF36CF" w:rsidRDefault="00CF36CF" w:rsidP="00CF36CF">
            <w:pPr>
              <w:spacing w:after="0" w:line="240" w:lineRule="auto"/>
              <w:jc w:val="left"/>
              <w:rPr>
                <w:rFonts w:eastAsia="Times New Roman" w:cs="Times New Roman"/>
                <w:sz w:val="20"/>
                <w:szCs w:val="20"/>
              </w:rPr>
            </w:pPr>
            <w:r w:rsidRPr="00CF36CF">
              <w:rPr>
                <w:rFonts w:eastAsia="Times New Roman" w:cs="Times New Roman"/>
                <w:sz w:val="20"/>
                <w:szCs w:val="20"/>
              </w:rPr>
              <w:t>Welfare (EV as % of GDP)</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0.1</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0.1</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0.3</w:t>
            </w:r>
          </w:p>
        </w:tc>
      </w:tr>
      <w:tr w:rsidR="00CF36CF" w:rsidRPr="00CF36CF" w:rsidTr="0061072B">
        <w:trPr>
          <w:trHeight w:val="144"/>
          <w:jc w:val="center"/>
        </w:trPr>
        <w:tc>
          <w:tcPr>
            <w:tcW w:w="3330" w:type="dxa"/>
            <w:shd w:val="clear" w:color="000000" w:fill="FFFFFF"/>
            <w:noWrap/>
            <w:vAlign w:val="bottom"/>
            <w:hideMark/>
          </w:tcPr>
          <w:p w:rsidR="00CF36CF" w:rsidRPr="00F607C7" w:rsidRDefault="00CF36CF" w:rsidP="00F607C7">
            <w:pPr>
              <w:spacing w:before="120" w:after="0" w:line="240" w:lineRule="auto"/>
              <w:jc w:val="left"/>
              <w:rPr>
                <w:rFonts w:eastAsia="Times New Roman" w:cs="Times New Roman"/>
                <w:b/>
                <w:bCs/>
                <w:i/>
                <w:sz w:val="20"/>
                <w:szCs w:val="20"/>
              </w:rPr>
            </w:pPr>
            <w:r w:rsidRPr="00F607C7">
              <w:rPr>
                <w:rFonts w:eastAsia="Times New Roman" w:cs="Times New Roman"/>
                <w:bCs/>
                <w:i/>
                <w:sz w:val="20"/>
                <w:szCs w:val="20"/>
              </w:rPr>
              <w:t>Government budget</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 </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 </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 </w:t>
            </w:r>
          </w:p>
        </w:tc>
      </w:tr>
      <w:tr w:rsidR="00CF36CF" w:rsidRPr="00CF36CF" w:rsidTr="0061072B">
        <w:trPr>
          <w:trHeight w:val="144"/>
          <w:jc w:val="center"/>
        </w:trPr>
        <w:tc>
          <w:tcPr>
            <w:tcW w:w="3330" w:type="dxa"/>
            <w:shd w:val="clear" w:color="000000" w:fill="FFFFFF"/>
            <w:noWrap/>
            <w:vAlign w:val="bottom"/>
            <w:hideMark/>
          </w:tcPr>
          <w:p w:rsidR="00CF36CF" w:rsidRPr="00CF36CF" w:rsidRDefault="00CF36CF" w:rsidP="00CF36CF">
            <w:pPr>
              <w:spacing w:after="0" w:line="240" w:lineRule="auto"/>
              <w:jc w:val="left"/>
              <w:rPr>
                <w:rFonts w:eastAsia="Times New Roman" w:cs="Times New Roman"/>
                <w:sz w:val="20"/>
                <w:szCs w:val="20"/>
              </w:rPr>
            </w:pPr>
            <w:r w:rsidRPr="00CF36CF">
              <w:rPr>
                <w:rFonts w:eastAsia="Times New Roman" w:cs="Times New Roman"/>
                <w:sz w:val="20"/>
                <w:szCs w:val="20"/>
              </w:rPr>
              <w:t>Tariff revenue (% of GDP)</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0.9</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0.9</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0.9</w:t>
            </w:r>
          </w:p>
        </w:tc>
      </w:tr>
      <w:tr w:rsidR="00CF36CF" w:rsidRPr="00CF36CF" w:rsidTr="0061072B">
        <w:trPr>
          <w:trHeight w:val="144"/>
          <w:jc w:val="center"/>
        </w:trPr>
        <w:tc>
          <w:tcPr>
            <w:tcW w:w="3330" w:type="dxa"/>
            <w:shd w:val="clear" w:color="000000" w:fill="FFFFFF"/>
            <w:noWrap/>
            <w:vAlign w:val="bottom"/>
            <w:hideMark/>
          </w:tcPr>
          <w:p w:rsidR="00CF36CF" w:rsidRPr="00CF36CF" w:rsidRDefault="00CF36CF" w:rsidP="00CF36CF">
            <w:pPr>
              <w:spacing w:after="0" w:line="240" w:lineRule="auto"/>
              <w:jc w:val="left"/>
              <w:rPr>
                <w:rFonts w:eastAsia="Times New Roman" w:cs="Times New Roman"/>
                <w:sz w:val="20"/>
                <w:szCs w:val="20"/>
              </w:rPr>
            </w:pPr>
            <w:r w:rsidRPr="00CF36CF">
              <w:rPr>
                <w:rFonts w:eastAsia="Times New Roman" w:cs="Times New Roman"/>
                <w:sz w:val="20"/>
                <w:szCs w:val="20"/>
              </w:rPr>
              <w:t>Tariff revenue</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-25.9</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-29.8</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-32.8</w:t>
            </w:r>
          </w:p>
        </w:tc>
      </w:tr>
      <w:tr w:rsidR="00CF36CF" w:rsidRPr="00CF36CF" w:rsidTr="0061072B">
        <w:trPr>
          <w:trHeight w:val="144"/>
          <w:jc w:val="center"/>
        </w:trPr>
        <w:tc>
          <w:tcPr>
            <w:tcW w:w="3330" w:type="dxa"/>
            <w:shd w:val="clear" w:color="000000" w:fill="FFFFFF"/>
            <w:noWrap/>
            <w:vAlign w:val="bottom"/>
            <w:hideMark/>
          </w:tcPr>
          <w:p w:rsidR="00CF36CF" w:rsidRPr="00CF36CF" w:rsidRDefault="00CF36CF" w:rsidP="00F607C7">
            <w:pPr>
              <w:spacing w:before="120" w:after="0" w:line="240" w:lineRule="auto"/>
              <w:jc w:val="left"/>
              <w:rPr>
                <w:rFonts w:eastAsia="Times New Roman" w:cs="Times New Roman"/>
                <w:b/>
                <w:bCs/>
                <w:sz w:val="20"/>
                <w:szCs w:val="20"/>
              </w:rPr>
            </w:pPr>
            <w:r w:rsidRPr="00F607C7">
              <w:rPr>
                <w:rFonts w:eastAsia="Times New Roman" w:cs="Times New Roman"/>
                <w:bCs/>
                <w:i/>
                <w:sz w:val="20"/>
                <w:szCs w:val="20"/>
              </w:rPr>
              <w:t>Aggregate trade</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 </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 </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 </w:t>
            </w:r>
          </w:p>
        </w:tc>
      </w:tr>
      <w:tr w:rsidR="00CF36CF" w:rsidRPr="00CF36CF" w:rsidTr="0061072B">
        <w:trPr>
          <w:trHeight w:val="144"/>
          <w:jc w:val="center"/>
        </w:trPr>
        <w:tc>
          <w:tcPr>
            <w:tcW w:w="3330" w:type="dxa"/>
            <w:shd w:val="clear" w:color="000000" w:fill="FFFFFF"/>
            <w:noWrap/>
            <w:vAlign w:val="bottom"/>
            <w:hideMark/>
          </w:tcPr>
          <w:p w:rsidR="00CF36CF" w:rsidRPr="00CF36CF" w:rsidRDefault="00CF36CF" w:rsidP="00CF36CF">
            <w:pPr>
              <w:spacing w:after="0" w:line="240" w:lineRule="auto"/>
              <w:jc w:val="left"/>
              <w:rPr>
                <w:rFonts w:eastAsia="Times New Roman" w:cs="Times New Roman"/>
                <w:sz w:val="20"/>
                <w:szCs w:val="20"/>
              </w:rPr>
            </w:pPr>
            <w:r w:rsidRPr="00CF36CF">
              <w:rPr>
                <w:rFonts w:eastAsia="Times New Roman" w:cs="Times New Roman"/>
                <w:sz w:val="20"/>
                <w:szCs w:val="20"/>
              </w:rPr>
              <w:t>Real exchange rate</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0.5</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0.5</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0.8</w:t>
            </w:r>
          </w:p>
        </w:tc>
      </w:tr>
      <w:tr w:rsidR="00CF36CF" w:rsidRPr="00CF36CF" w:rsidTr="0061072B">
        <w:trPr>
          <w:trHeight w:val="144"/>
          <w:jc w:val="center"/>
        </w:trPr>
        <w:tc>
          <w:tcPr>
            <w:tcW w:w="3330" w:type="dxa"/>
            <w:shd w:val="clear" w:color="000000" w:fill="FFFFFF"/>
            <w:noWrap/>
            <w:vAlign w:val="bottom"/>
            <w:hideMark/>
          </w:tcPr>
          <w:p w:rsidR="00CF36CF" w:rsidRPr="00CF36CF" w:rsidRDefault="00CF36CF" w:rsidP="00CF36CF">
            <w:pPr>
              <w:spacing w:after="0" w:line="240" w:lineRule="auto"/>
              <w:jc w:val="left"/>
              <w:rPr>
                <w:rFonts w:eastAsia="Times New Roman" w:cs="Times New Roman"/>
                <w:sz w:val="20"/>
                <w:szCs w:val="20"/>
              </w:rPr>
            </w:pPr>
            <w:r w:rsidRPr="00CF36CF">
              <w:rPr>
                <w:rFonts w:eastAsia="Times New Roman" w:cs="Times New Roman"/>
                <w:sz w:val="20"/>
                <w:szCs w:val="20"/>
              </w:rPr>
              <w:t xml:space="preserve">Aggregate exports </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0.6</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0.7</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0.9</w:t>
            </w:r>
          </w:p>
        </w:tc>
      </w:tr>
      <w:tr w:rsidR="00CF36CF" w:rsidRPr="00CF36CF" w:rsidTr="0061072B">
        <w:trPr>
          <w:trHeight w:val="144"/>
          <w:jc w:val="center"/>
        </w:trPr>
        <w:tc>
          <w:tcPr>
            <w:tcW w:w="3330" w:type="dxa"/>
            <w:shd w:val="clear" w:color="000000" w:fill="FFFFFF"/>
            <w:noWrap/>
            <w:vAlign w:val="bottom"/>
            <w:hideMark/>
          </w:tcPr>
          <w:p w:rsidR="00CF36CF" w:rsidRPr="00CF36CF" w:rsidRDefault="00CF36CF" w:rsidP="00F607C7">
            <w:pPr>
              <w:spacing w:before="120" w:after="0" w:line="240" w:lineRule="auto"/>
              <w:jc w:val="left"/>
              <w:rPr>
                <w:rFonts w:eastAsia="Times New Roman" w:cs="Times New Roman"/>
                <w:b/>
                <w:bCs/>
                <w:sz w:val="20"/>
                <w:szCs w:val="20"/>
              </w:rPr>
            </w:pPr>
            <w:r w:rsidRPr="00F607C7">
              <w:rPr>
                <w:rFonts w:eastAsia="Times New Roman" w:cs="Times New Roman"/>
                <w:bCs/>
                <w:i/>
                <w:sz w:val="20"/>
                <w:szCs w:val="20"/>
              </w:rPr>
              <w:t>Factor Earnings</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 </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 </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 </w:t>
            </w:r>
          </w:p>
        </w:tc>
      </w:tr>
      <w:tr w:rsidR="00CF36CF" w:rsidRPr="00CF36CF" w:rsidTr="0061072B">
        <w:trPr>
          <w:trHeight w:val="144"/>
          <w:jc w:val="center"/>
        </w:trPr>
        <w:tc>
          <w:tcPr>
            <w:tcW w:w="3330" w:type="dxa"/>
            <w:shd w:val="clear" w:color="000000" w:fill="FFFFFF"/>
            <w:noWrap/>
            <w:vAlign w:val="bottom"/>
            <w:hideMark/>
          </w:tcPr>
          <w:p w:rsidR="00CF36CF" w:rsidRPr="00CF36CF" w:rsidRDefault="00CF36CF" w:rsidP="00CF36CF">
            <w:pPr>
              <w:spacing w:after="0" w:line="240" w:lineRule="auto"/>
              <w:jc w:val="left"/>
              <w:rPr>
                <w:rFonts w:eastAsia="Times New Roman" w:cs="Times New Roman"/>
                <w:sz w:val="20"/>
                <w:szCs w:val="20"/>
              </w:rPr>
            </w:pPr>
            <w:r w:rsidRPr="00CF36CF">
              <w:rPr>
                <w:rFonts w:eastAsia="Times New Roman" w:cs="Times New Roman"/>
                <w:sz w:val="20"/>
                <w:szCs w:val="20"/>
              </w:rPr>
              <w:t>Capital</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0.6</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0.6</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0.9</w:t>
            </w:r>
          </w:p>
        </w:tc>
      </w:tr>
      <w:tr w:rsidR="00CF36CF" w:rsidRPr="00CF36CF" w:rsidTr="0061072B">
        <w:trPr>
          <w:trHeight w:val="144"/>
          <w:jc w:val="center"/>
        </w:trPr>
        <w:tc>
          <w:tcPr>
            <w:tcW w:w="3330" w:type="dxa"/>
            <w:shd w:val="clear" w:color="000000" w:fill="FFFFFF"/>
            <w:noWrap/>
            <w:vAlign w:val="bottom"/>
            <w:hideMark/>
          </w:tcPr>
          <w:p w:rsidR="00CF36CF" w:rsidRPr="00CF36CF" w:rsidRDefault="00CF36CF" w:rsidP="00CF36CF">
            <w:pPr>
              <w:spacing w:after="0" w:line="240" w:lineRule="auto"/>
              <w:jc w:val="left"/>
              <w:rPr>
                <w:rFonts w:eastAsia="Times New Roman" w:cs="Times New Roman"/>
                <w:sz w:val="20"/>
                <w:szCs w:val="20"/>
              </w:rPr>
            </w:pPr>
            <w:r w:rsidRPr="00CF36CF">
              <w:rPr>
                <w:rFonts w:eastAsia="Times New Roman" w:cs="Times New Roman"/>
                <w:sz w:val="20"/>
                <w:szCs w:val="20"/>
              </w:rPr>
              <w:t>Labor</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0.5</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0.5</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1.0</w:t>
            </w:r>
          </w:p>
        </w:tc>
      </w:tr>
      <w:tr w:rsidR="00CF36CF" w:rsidRPr="00CF36CF" w:rsidTr="0061072B">
        <w:trPr>
          <w:trHeight w:val="144"/>
          <w:jc w:val="center"/>
        </w:trPr>
        <w:tc>
          <w:tcPr>
            <w:tcW w:w="3330" w:type="dxa"/>
            <w:shd w:val="clear" w:color="000000" w:fill="FFFFFF"/>
            <w:noWrap/>
            <w:vAlign w:val="bottom"/>
            <w:hideMark/>
          </w:tcPr>
          <w:p w:rsidR="00CF36CF" w:rsidRPr="00CF36CF" w:rsidRDefault="00CF36CF" w:rsidP="002077C4">
            <w:pPr>
              <w:spacing w:before="120" w:after="0" w:line="240" w:lineRule="auto"/>
              <w:jc w:val="left"/>
              <w:rPr>
                <w:rFonts w:eastAsia="Times New Roman" w:cs="Times New Roman"/>
                <w:b/>
                <w:bCs/>
                <w:sz w:val="20"/>
                <w:szCs w:val="20"/>
              </w:rPr>
            </w:pPr>
            <w:r w:rsidRPr="002077C4">
              <w:rPr>
                <w:rFonts w:eastAsia="Times New Roman" w:cs="Times New Roman"/>
                <w:bCs/>
                <w:i/>
                <w:sz w:val="20"/>
                <w:szCs w:val="20"/>
              </w:rPr>
              <w:t>Factor adjustments</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 </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 </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 </w:t>
            </w:r>
          </w:p>
        </w:tc>
      </w:tr>
      <w:tr w:rsidR="00CF36CF" w:rsidRPr="00CF36CF" w:rsidTr="0061072B">
        <w:trPr>
          <w:trHeight w:val="144"/>
          <w:jc w:val="center"/>
        </w:trPr>
        <w:tc>
          <w:tcPr>
            <w:tcW w:w="3330" w:type="dxa"/>
            <w:shd w:val="clear" w:color="000000" w:fill="FFFFFF"/>
            <w:noWrap/>
            <w:vAlign w:val="bottom"/>
            <w:hideMark/>
          </w:tcPr>
          <w:p w:rsidR="00CF36CF" w:rsidRPr="00CF36CF" w:rsidRDefault="00CF36CF" w:rsidP="00CF36CF">
            <w:pPr>
              <w:spacing w:after="0" w:line="240" w:lineRule="auto"/>
              <w:jc w:val="left"/>
              <w:rPr>
                <w:rFonts w:eastAsia="Times New Roman" w:cs="Times New Roman"/>
                <w:sz w:val="20"/>
                <w:szCs w:val="20"/>
              </w:rPr>
            </w:pPr>
            <w:r w:rsidRPr="00CF36CF">
              <w:rPr>
                <w:rFonts w:eastAsia="Times New Roman" w:cs="Times New Roman"/>
                <w:sz w:val="20"/>
                <w:szCs w:val="20"/>
              </w:rPr>
              <w:t>Capital</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0.2</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0.2</w:t>
            </w:r>
          </w:p>
        </w:tc>
        <w:tc>
          <w:tcPr>
            <w:tcW w:w="1516" w:type="dxa"/>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0.2</w:t>
            </w:r>
          </w:p>
        </w:tc>
      </w:tr>
      <w:tr w:rsidR="00CF36CF" w:rsidRPr="00CF36CF" w:rsidTr="0061072B">
        <w:trPr>
          <w:trHeight w:val="144"/>
          <w:jc w:val="center"/>
        </w:trPr>
        <w:tc>
          <w:tcPr>
            <w:tcW w:w="3330" w:type="dxa"/>
            <w:tcBorders>
              <w:bottom w:val="single" w:sz="4" w:space="0" w:color="auto"/>
            </w:tcBorders>
            <w:shd w:val="clear" w:color="000000" w:fill="FFFFFF"/>
            <w:noWrap/>
            <w:vAlign w:val="bottom"/>
            <w:hideMark/>
          </w:tcPr>
          <w:p w:rsidR="00CF36CF" w:rsidRPr="00CF36CF" w:rsidRDefault="00CF36CF" w:rsidP="00CF36CF">
            <w:pPr>
              <w:spacing w:after="0" w:line="240" w:lineRule="auto"/>
              <w:jc w:val="left"/>
              <w:rPr>
                <w:rFonts w:eastAsia="Times New Roman" w:cs="Times New Roman"/>
                <w:sz w:val="20"/>
                <w:szCs w:val="20"/>
              </w:rPr>
            </w:pPr>
            <w:r w:rsidRPr="00CF36CF">
              <w:rPr>
                <w:rFonts w:eastAsia="Times New Roman" w:cs="Times New Roman"/>
                <w:sz w:val="20"/>
                <w:szCs w:val="20"/>
              </w:rPr>
              <w:t>Labor</w:t>
            </w:r>
          </w:p>
        </w:tc>
        <w:tc>
          <w:tcPr>
            <w:tcW w:w="1516" w:type="dxa"/>
            <w:tcBorders>
              <w:bottom w:val="single" w:sz="4" w:space="0" w:color="auto"/>
            </w:tcBorders>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0.2</w:t>
            </w:r>
          </w:p>
        </w:tc>
        <w:tc>
          <w:tcPr>
            <w:tcW w:w="1516" w:type="dxa"/>
            <w:tcBorders>
              <w:bottom w:val="single" w:sz="4" w:space="0" w:color="auto"/>
            </w:tcBorders>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0.2</w:t>
            </w:r>
          </w:p>
        </w:tc>
        <w:tc>
          <w:tcPr>
            <w:tcW w:w="1516" w:type="dxa"/>
            <w:tcBorders>
              <w:bottom w:val="single" w:sz="4" w:space="0" w:color="auto"/>
            </w:tcBorders>
            <w:shd w:val="clear" w:color="000000" w:fill="FFFFFF"/>
            <w:noWrap/>
            <w:vAlign w:val="bottom"/>
            <w:hideMark/>
          </w:tcPr>
          <w:p w:rsidR="00CF36CF" w:rsidRPr="00CF36CF" w:rsidRDefault="00CF36CF" w:rsidP="002077C4">
            <w:pPr>
              <w:spacing w:after="0" w:line="240" w:lineRule="auto"/>
              <w:ind w:right="547"/>
              <w:jc w:val="right"/>
              <w:rPr>
                <w:rFonts w:eastAsia="Times New Roman" w:cs="Times New Roman"/>
                <w:sz w:val="20"/>
                <w:szCs w:val="20"/>
              </w:rPr>
            </w:pPr>
            <w:r w:rsidRPr="00CF36CF">
              <w:rPr>
                <w:rFonts w:eastAsia="Times New Roman" w:cs="Times New Roman"/>
                <w:sz w:val="20"/>
                <w:szCs w:val="20"/>
              </w:rPr>
              <w:t>0.2</w:t>
            </w:r>
          </w:p>
        </w:tc>
      </w:tr>
      <w:tr w:rsidR="00980027" w:rsidRPr="00CF36CF" w:rsidTr="0061072B">
        <w:trPr>
          <w:trHeight w:val="144"/>
          <w:jc w:val="center"/>
        </w:trPr>
        <w:tc>
          <w:tcPr>
            <w:tcW w:w="7878" w:type="dxa"/>
            <w:gridSpan w:val="4"/>
            <w:tcBorders>
              <w:top w:val="single" w:sz="4" w:space="0" w:color="auto"/>
            </w:tcBorders>
            <w:shd w:val="clear" w:color="000000" w:fill="FFFFFF"/>
            <w:noWrap/>
            <w:vAlign w:val="bottom"/>
            <w:hideMark/>
          </w:tcPr>
          <w:p w:rsidR="00980027" w:rsidRPr="00980027" w:rsidRDefault="00980027" w:rsidP="00980027">
            <w:pPr>
              <w:spacing w:before="120" w:after="0" w:line="240" w:lineRule="auto"/>
              <w:jc w:val="left"/>
              <w:rPr>
                <w:rFonts w:eastAsia="Times New Roman" w:cs="Times New Roman"/>
                <w:sz w:val="18"/>
                <w:szCs w:val="18"/>
              </w:rPr>
            </w:pPr>
            <w:r w:rsidRPr="00980027">
              <w:rPr>
                <w:rFonts w:eastAsia="Times New Roman" w:cs="Times New Roman"/>
                <w:i/>
                <w:iCs/>
                <w:sz w:val="18"/>
                <w:szCs w:val="18"/>
              </w:rPr>
              <w:t xml:space="preserve">Source: </w:t>
            </w:r>
            <w:r w:rsidRPr="00980027">
              <w:rPr>
                <w:rFonts w:eastAsia="Times New Roman" w:cs="Times New Roman"/>
                <w:sz w:val="18"/>
                <w:szCs w:val="18"/>
              </w:rPr>
              <w:t xml:space="preserve">Official data. </w:t>
            </w:r>
            <w:r>
              <w:rPr>
                <w:rFonts w:eastAsia="Times New Roman" w:cs="Times New Roman"/>
                <w:sz w:val="18"/>
                <w:szCs w:val="18"/>
              </w:rPr>
              <w:t>World Bank calculations.</w:t>
            </w:r>
            <w:r w:rsidRPr="00CF36CF">
              <w:rPr>
                <w:rFonts w:eastAsia="Times New Roman" w:cs="Times New Roman"/>
                <w:sz w:val="20"/>
                <w:szCs w:val="20"/>
              </w:rPr>
              <w:t> </w:t>
            </w:r>
          </w:p>
        </w:tc>
      </w:tr>
    </w:tbl>
    <w:p w:rsidR="00A243B5" w:rsidRPr="00A73C75" w:rsidRDefault="00A243B5" w:rsidP="00C4227C">
      <w:pPr>
        <w:tabs>
          <w:tab w:val="left" w:pos="720"/>
        </w:tabs>
        <w:spacing w:after="0" w:line="240" w:lineRule="auto"/>
        <w:rPr>
          <w:rFonts w:cs="Times New Roman"/>
          <w:sz w:val="22"/>
        </w:rPr>
      </w:pPr>
    </w:p>
    <w:p w:rsidR="00925608" w:rsidRDefault="00925608" w:rsidP="00925608">
      <w:pPr>
        <w:pStyle w:val="ListParagraph"/>
        <w:numPr>
          <w:ilvl w:val="0"/>
          <w:numId w:val="1"/>
        </w:numPr>
        <w:tabs>
          <w:tab w:val="left" w:pos="720"/>
        </w:tabs>
        <w:spacing w:line="240" w:lineRule="auto"/>
        <w:ind w:left="0" w:firstLine="0"/>
        <w:contextualSpacing w:val="0"/>
        <w:rPr>
          <w:rFonts w:cs="Times New Roman"/>
          <w:sz w:val="22"/>
        </w:rPr>
      </w:pPr>
      <w:r>
        <w:rPr>
          <w:rFonts w:cs="Times New Roman"/>
          <w:b/>
          <w:sz w:val="22"/>
        </w:rPr>
        <w:t xml:space="preserve">Acceding to the WTO based on Russia’s </w:t>
      </w:r>
      <w:r w:rsidR="0025056B" w:rsidRPr="0025056B">
        <w:rPr>
          <w:rFonts w:cs="Times New Roman"/>
          <w:b/>
          <w:sz w:val="22"/>
        </w:rPr>
        <w:t>tariff schedule will impact sectors differentially</w:t>
      </w:r>
      <w:r w:rsidR="0025056B" w:rsidRPr="0025056B">
        <w:rPr>
          <w:rFonts w:cs="Times New Roman"/>
          <w:sz w:val="22"/>
        </w:rPr>
        <w:t>.</w:t>
      </w:r>
      <w:r w:rsidR="00786508">
        <w:rPr>
          <w:rFonts w:cs="Times New Roman"/>
          <w:sz w:val="22"/>
        </w:rPr>
        <w:t xml:space="preserve"> </w:t>
      </w:r>
      <w:r w:rsidR="0025056B" w:rsidRPr="0025056B">
        <w:rPr>
          <w:rFonts w:cs="Times New Roman"/>
          <w:sz w:val="22"/>
        </w:rPr>
        <w:t xml:space="preserve">Because the Customs Union tariff schedule had high tariffs for some products and low tariffs for others, different sectors of the </w:t>
      </w:r>
      <w:r w:rsidR="0046751F">
        <w:rPr>
          <w:rFonts w:cs="Times New Roman"/>
          <w:sz w:val="22"/>
        </w:rPr>
        <w:t xml:space="preserve">Kazakhstan </w:t>
      </w:r>
      <w:r w:rsidR="0025056B" w:rsidRPr="0025056B">
        <w:rPr>
          <w:rFonts w:cs="Times New Roman"/>
          <w:sz w:val="22"/>
        </w:rPr>
        <w:t xml:space="preserve">economy will be impacted differently when the rates are lowered </w:t>
      </w:r>
      <w:r>
        <w:rPr>
          <w:rFonts w:cs="Times New Roman"/>
          <w:sz w:val="22"/>
        </w:rPr>
        <w:t>after</w:t>
      </w:r>
      <w:r w:rsidR="0025056B" w:rsidRPr="0025056B">
        <w:rPr>
          <w:rFonts w:cs="Times New Roman"/>
          <w:sz w:val="22"/>
        </w:rPr>
        <w:t xml:space="preserve"> WTO </w:t>
      </w:r>
      <w:r w:rsidR="0025056B" w:rsidRPr="00925608">
        <w:rPr>
          <w:rFonts w:cs="Times New Roman"/>
          <w:sz w:val="22"/>
        </w:rPr>
        <w:t>accession</w:t>
      </w:r>
      <w:r w:rsidRPr="00925608">
        <w:rPr>
          <w:rFonts w:cs="Times New Roman"/>
          <w:sz w:val="22"/>
        </w:rPr>
        <w:t xml:space="preserve"> (</w:t>
      </w:r>
      <w:r w:rsidRPr="00A73C75">
        <w:rPr>
          <w:sz w:val="22"/>
        </w:rPr>
        <w:t xml:space="preserve">Table </w:t>
      </w:r>
      <w:r w:rsidR="00711E85">
        <w:rPr>
          <w:sz w:val="22"/>
        </w:rPr>
        <w:t>8</w:t>
      </w:r>
      <w:r>
        <w:rPr>
          <w:rFonts w:cs="Times New Roman"/>
          <w:sz w:val="22"/>
        </w:rPr>
        <w:t>)</w:t>
      </w:r>
      <w:r w:rsidR="0025056B" w:rsidRPr="0025056B">
        <w:rPr>
          <w:rFonts w:cs="Times New Roman"/>
          <w:sz w:val="22"/>
        </w:rPr>
        <w:t xml:space="preserve">. </w:t>
      </w:r>
      <w:r>
        <w:rPr>
          <w:rFonts w:cs="Times New Roman"/>
          <w:sz w:val="22"/>
        </w:rPr>
        <w:t>A number of industries involved in production of traded goods will see more of negative impact, though not all.</w:t>
      </w:r>
      <w:r w:rsidR="00786508">
        <w:rPr>
          <w:rFonts w:cs="Times New Roman"/>
          <w:sz w:val="22"/>
        </w:rPr>
        <w:t xml:space="preserve"> </w:t>
      </w:r>
      <w:r>
        <w:rPr>
          <w:rFonts w:cs="Times New Roman"/>
          <w:sz w:val="22"/>
        </w:rPr>
        <w:t>For instance, e</w:t>
      </w:r>
      <w:r w:rsidRPr="0025056B">
        <w:rPr>
          <w:rFonts w:cs="Times New Roman"/>
          <w:sz w:val="22"/>
        </w:rPr>
        <w:t>ven though food and beverages show the largest increase in imports, domestic production does not fall much – only 2.0 percent.</w:t>
      </w:r>
      <w:r w:rsidR="00786508">
        <w:rPr>
          <w:rFonts w:cs="Times New Roman"/>
          <w:sz w:val="22"/>
        </w:rPr>
        <w:t xml:space="preserve"> </w:t>
      </w:r>
      <w:r w:rsidRPr="0025056B">
        <w:rPr>
          <w:rFonts w:cs="Times New Roman"/>
          <w:sz w:val="22"/>
        </w:rPr>
        <w:t>This is because the food and beverage sector in Kazakhstan is large and the value of trade as a portion of the domestic sector is small.</w:t>
      </w:r>
      <w:r w:rsidR="00786508">
        <w:rPr>
          <w:rFonts w:cs="Times New Roman"/>
          <w:sz w:val="22"/>
        </w:rPr>
        <w:t xml:space="preserve"> </w:t>
      </w:r>
      <w:r w:rsidRPr="0025056B">
        <w:rPr>
          <w:rFonts w:cs="Times New Roman"/>
          <w:sz w:val="22"/>
        </w:rPr>
        <w:t>The largest output reductions are for leather products (9.5</w:t>
      </w:r>
      <w:r>
        <w:rPr>
          <w:rFonts w:cs="Times New Roman"/>
          <w:sz w:val="22"/>
        </w:rPr>
        <w:t xml:space="preserve"> percent</w:t>
      </w:r>
      <w:r w:rsidRPr="0025056B">
        <w:rPr>
          <w:rFonts w:cs="Times New Roman"/>
          <w:sz w:val="22"/>
        </w:rPr>
        <w:t>), metal products (7.7</w:t>
      </w:r>
      <w:r>
        <w:rPr>
          <w:rFonts w:cs="Times New Roman"/>
          <w:sz w:val="22"/>
        </w:rPr>
        <w:t xml:space="preserve"> percent</w:t>
      </w:r>
      <w:r w:rsidRPr="0025056B">
        <w:rPr>
          <w:rFonts w:cs="Times New Roman"/>
          <w:sz w:val="22"/>
        </w:rPr>
        <w:t xml:space="preserve">), and pulp </w:t>
      </w:r>
      <w:r w:rsidR="002077C4">
        <w:rPr>
          <w:rFonts w:cs="Times New Roman"/>
          <w:sz w:val="22"/>
        </w:rPr>
        <w:t>and</w:t>
      </w:r>
      <w:r w:rsidRPr="0025056B">
        <w:rPr>
          <w:rFonts w:cs="Times New Roman"/>
          <w:sz w:val="22"/>
        </w:rPr>
        <w:t xml:space="preserve"> paper (5.6</w:t>
      </w:r>
      <w:r w:rsidR="00DA4A08">
        <w:rPr>
          <w:rFonts w:cs="Times New Roman"/>
          <w:sz w:val="22"/>
        </w:rPr>
        <w:t> </w:t>
      </w:r>
      <w:r>
        <w:rPr>
          <w:rFonts w:cs="Times New Roman"/>
          <w:sz w:val="22"/>
        </w:rPr>
        <w:t>percent</w:t>
      </w:r>
      <w:r w:rsidRPr="0025056B">
        <w:rPr>
          <w:rFonts w:cs="Times New Roman"/>
          <w:sz w:val="22"/>
        </w:rPr>
        <w:t>).</w:t>
      </w:r>
      <w:r>
        <w:rPr>
          <w:rFonts w:cs="Times New Roman"/>
          <w:sz w:val="22"/>
        </w:rPr>
        <w:t>On the other hand, t</w:t>
      </w:r>
      <w:r w:rsidRPr="0025056B">
        <w:rPr>
          <w:rFonts w:cs="Times New Roman"/>
          <w:sz w:val="22"/>
        </w:rPr>
        <w:t>he motor vehicles and parts industry shows the largest gains, with output rising 8.0 percent. This large increase appears to be associated with re-exports from Kazakhstan to Russia: the model shows a large export from this category to the CU (228 percent rise) while imports from rest of the world and EU suppliers rose as well.</w:t>
      </w:r>
      <w:r w:rsidR="002077C4">
        <w:rPr>
          <w:rStyle w:val="FootnoteReference"/>
          <w:sz w:val="22"/>
        </w:rPr>
        <w:footnoteReference w:id="9"/>
      </w:r>
      <w:r w:rsidR="00786508">
        <w:rPr>
          <w:rFonts w:cs="Times New Roman"/>
          <w:sz w:val="22"/>
        </w:rPr>
        <w:t xml:space="preserve"> </w:t>
      </w:r>
      <w:r w:rsidRPr="00A73C75">
        <w:rPr>
          <w:rFonts w:cs="Times New Roman"/>
          <w:sz w:val="22"/>
        </w:rPr>
        <w:t>By CGE model design, services sectors are not assumed to be impacted by WTO accession, as they are not determined by tariff rates, but instead by non-tariff barriers</w:t>
      </w:r>
      <w:r w:rsidRPr="00925608">
        <w:rPr>
          <w:rFonts w:cs="Times New Roman"/>
          <w:sz w:val="22"/>
        </w:rPr>
        <w:t>.</w:t>
      </w:r>
      <w:r w:rsidR="00786508">
        <w:rPr>
          <w:rFonts w:cs="Times New Roman"/>
          <w:sz w:val="22"/>
        </w:rPr>
        <w:t xml:space="preserve"> </w:t>
      </w:r>
      <w:r w:rsidRPr="0025056B">
        <w:rPr>
          <w:rFonts w:cs="Times New Roman"/>
          <w:sz w:val="22"/>
        </w:rPr>
        <w:t>The services sectors are impacted only indirectly, where higher household incomes and improved terms of trade (through a weaker currency) lead to small gains in almost all services sectors.</w:t>
      </w:r>
      <w:r w:rsidR="00786508">
        <w:rPr>
          <w:rFonts w:cs="Times New Roman"/>
          <w:sz w:val="22"/>
        </w:rPr>
        <w:t xml:space="preserve"> </w:t>
      </w:r>
      <w:r w:rsidRPr="0025056B">
        <w:rPr>
          <w:rFonts w:cs="Times New Roman"/>
          <w:sz w:val="22"/>
        </w:rPr>
        <w:t>Hotels and restaurants gain most (2.3</w:t>
      </w:r>
      <w:r>
        <w:rPr>
          <w:rFonts w:cs="Times New Roman"/>
          <w:sz w:val="22"/>
        </w:rPr>
        <w:t xml:space="preserve"> percent</w:t>
      </w:r>
      <w:r w:rsidRPr="0025056B">
        <w:rPr>
          <w:rFonts w:cs="Times New Roman"/>
          <w:sz w:val="22"/>
        </w:rPr>
        <w:t>), and some sectors show minor losses, such as “public associations”, partly because these associations receive government funding, which may suffer if government resources decline as a result of lower tariff revenues.</w:t>
      </w:r>
    </w:p>
    <w:p w:rsidR="0061072B" w:rsidRDefault="0061072B" w:rsidP="000002D1">
      <w:pPr>
        <w:pStyle w:val="ListParagraph"/>
        <w:tabs>
          <w:tab w:val="left" w:pos="720"/>
        </w:tabs>
        <w:spacing w:line="240" w:lineRule="auto"/>
        <w:ind w:left="0"/>
        <w:contextualSpacing w:val="0"/>
      </w:pPr>
    </w:p>
    <w:tbl>
      <w:tblPr>
        <w:tblW w:w="8633" w:type="dxa"/>
        <w:jc w:val="center"/>
        <w:tblLook w:val="04A0" w:firstRow="1" w:lastRow="0" w:firstColumn="1" w:lastColumn="0" w:noHBand="0" w:noVBand="1"/>
      </w:tblPr>
      <w:tblGrid>
        <w:gridCol w:w="2588"/>
        <w:gridCol w:w="772"/>
        <w:gridCol w:w="849"/>
        <w:gridCol w:w="2678"/>
        <w:gridCol w:w="873"/>
        <w:gridCol w:w="873"/>
      </w:tblGrid>
      <w:tr w:rsidR="00C661D8" w:rsidRPr="007C78DE" w:rsidTr="00940E24">
        <w:trPr>
          <w:trHeight w:val="300"/>
          <w:jc w:val="center"/>
        </w:trPr>
        <w:tc>
          <w:tcPr>
            <w:tcW w:w="8633" w:type="dxa"/>
            <w:gridSpan w:val="6"/>
            <w:tcBorders>
              <w:bottom w:val="single" w:sz="4" w:space="0" w:color="auto"/>
            </w:tcBorders>
            <w:shd w:val="clear" w:color="000000" w:fill="FFFFFF"/>
            <w:vAlign w:val="center"/>
          </w:tcPr>
          <w:p w:rsidR="00C661D8" w:rsidRPr="007C78DE" w:rsidRDefault="00942E59" w:rsidP="00C661D8">
            <w:pPr>
              <w:pStyle w:val="Caption"/>
              <w:rPr>
                <w:rFonts w:eastAsia="Times New Roman"/>
                <w:lang w:val="en-GB"/>
              </w:rPr>
            </w:pPr>
            <w:bookmarkStart w:id="27" w:name="_Toc378151216"/>
            <w:r>
              <w:lastRenderedPageBreak/>
              <w:t xml:space="preserve">Table </w:t>
            </w:r>
            <w:fldSimple w:instr=" SEQ Table \* ARABIC ">
              <w:r w:rsidR="0056192E">
                <w:rPr>
                  <w:noProof/>
                </w:rPr>
                <w:t>8</w:t>
              </w:r>
            </w:fldSimple>
            <w:r w:rsidR="00940E24">
              <w:t xml:space="preserve">: </w:t>
            </w:r>
            <w:r w:rsidR="00C661D8" w:rsidRPr="007C78DE">
              <w:rPr>
                <w:rFonts w:eastAsia="Times New Roman"/>
                <w:lang w:val="en-GB"/>
              </w:rPr>
              <w:t xml:space="preserve">Differentiated </w:t>
            </w:r>
            <w:r w:rsidR="00940E24">
              <w:rPr>
                <w:rFonts w:eastAsia="Times New Roman"/>
                <w:lang w:val="en-GB"/>
              </w:rPr>
              <w:t>Sectoral Output a</w:t>
            </w:r>
            <w:r w:rsidR="00940E24" w:rsidRPr="007C78DE">
              <w:rPr>
                <w:rFonts w:eastAsia="Times New Roman"/>
                <w:lang w:val="en-GB"/>
              </w:rPr>
              <w:t xml:space="preserve">nd </w:t>
            </w:r>
            <w:r w:rsidR="00940E24">
              <w:rPr>
                <w:rFonts w:eastAsia="Times New Roman"/>
                <w:lang w:val="en-GB"/>
              </w:rPr>
              <w:t xml:space="preserve">Employment Impact </w:t>
            </w:r>
            <w:r w:rsidR="00940E24">
              <w:rPr>
                <w:rFonts w:eastAsia="Times New Roman"/>
                <w:lang w:val="en-GB"/>
              </w:rPr>
              <w:br/>
              <w:t>From Joining t</w:t>
            </w:r>
            <w:r w:rsidR="00940E24" w:rsidRPr="007C78DE">
              <w:rPr>
                <w:rFonts w:eastAsia="Times New Roman"/>
                <w:lang w:val="en-GB"/>
              </w:rPr>
              <w:t xml:space="preserve">he </w:t>
            </w:r>
            <w:r w:rsidR="00C661D8" w:rsidRPr="007C78DE">
              <w:rPr>
                <w:rFonts w:eastAsia="Times New Roman"/>
                <w:lang w:val="en-GB"/>
              </w:rPr>
              <w:t>WTO</w:t>
            </w:r>
            <w:bookmarkEnd w:id="27"/>
            <w:r w:rsidR="00786508">
              <w:rPr>
                <w:rFonts w:eastAsia="Times New Roman"/>
                <w:lang w:val="en-GB"/>
              </w:rPr>
              <w:t xml:space="preserve"> </w:t>
            </w:r>
          </w:p>
          <w:p w:rsidR="00C661D8" w:rsidRPr="00C661D8" w:rsidRDefault="00C661D8" w:rsidP="00FC3281">
            <w:pPr>
              <w:spacing w:after="60" w:line="240" w:lineRule="auto"/>
              <w:jc w:val="center"/>
              <w:rPr>
                <w:rFonts w:eastAsia="Times New Roman" w:cs="Times New Roman"/>
                <w:b/>
                <w:bCs/>
                <w:sz w:val="17"/>
                <w:szCs w:val="17"/>
              </w:rPr>
            </w:pPr>
            <w:r w:rsidRPr="007C78DE">
              <w:rPr>
                <w:rFonts w:eastAsia="Times New Roman"/>
                <w:sz w:val="20"/>
                <w:szCs w:val="20"/>
                <w:lang w:val="en-GB"/>
              </w:rPr>
              <w:t>(</w:t>
            </w:r>
            <w:r w:rsidR="00FC3281" w:rsidRPr="00FC3281">
              <w:rPr>
                <w:rFonts w:eastAsia="Times New Roman"/>
                <w:sz w:val="20"/>
                <w:szCs w:val="20"/>
              </w:rPr>
              <w:t>Percent</w:t>
            </w:r>
            <w:r w:rsidR="00FC3281">
              <w:rPr>
                <w:rFonts w:eastAsia="Times New Roman"/>
                <w:sz w:val="20"/>
                <w:szCs w:val="20"/>
                <w:lang w:val="en-GB"/>
              </w:rPr>
              <w:t xml:space="preserve"> </w:t>
            </w:r>
            <w:r w:rsidRPr="007C78DE">
              <w:rPr>
                <w:rFonts w:eastAsia="Times New Roman"/>
                <w:sz w:val="20"/>
                <w:szCs w:val="20"/>
                <w:lang w:val="en-GB"/>
              </w:rPr>
              <w:t>change from benchmark, in 2020)</w:t>
            </w:r>
          </w:p>
        </w:tc>
      </w:tr>
      <w:tr w:rsidR="00C661D8" w:rsidRPr="007C78DE" w:rsidTr="00940E24">
        <w:trPr>
          <w:trHeight w:val="300"/>
          <w:jc w:val="center"/>
        </w:trPr>
        <w:tc>
          <w:tcPr>
            <w:tcW w:w="4209" w:type="dxa"/>
            <w:gridSpan w:val="3"/>
            <w:tcBorders>
              <w:top w:val="single" w:sz="4" w:space="0" w:color="auto"/>
              <w:bottom w:val="single" w:sz="4" w:space="0" w:color="auto"/>
              <w:right w:val="single" w:sz="4" w:space="0" w:color="auto"/>
            </w:tcBorders>
            <w:shd w:val="clear" w:color="000000" w:fill="FFFFFF"/>
            <w:vAlign w:val="center"/>
            <w:hideMark/>
          </w:tcPr>
          <w:p w:rsidR="00C661D8" w:rsidRPr="00940E24" w:rsidRDefault="00C661D8" w:rsidP="00C661D8">
            <w:pPr>
              <w:spacing w:before="60" w:after="60" w:line="240" w:lineRule="auto"/>
              <w:jc w:val="center"/>
              <w:rPr>
                <w:rFonts w:eastAsia="Times New Roman" w:cs="Times New Roman"/>
                <w:bCs/>
                <w:sz w:val="20"/>
                <w:szCs w:val="20"/>
              </w:rPr>
            </w:pPr>
            <w:r w:rsidRPr="00940E24">
              <w:rPr>
                <w:rFonts w:eastAsia="Times New Roman" w:cs="Times New Roman"/>
                <w:bCs/>
                <w:sz w:val="20"/>
                <w:szCs w:val="20"/>
              </w:rPr>
              <w:t>Some Losses in the Traded Goods Industries</w:t>
            </w:r>
          </w:p>
        </w:tc>
        <w:tc>
          <w:tcPr>
            <w:tcW w:w="4424" w:type="dxa"/>
            <w:gridSpan w:val="3"/>
            <w:tcBorders>
              <w:top w:val="single" w:sz="4" w:space="0" w:color="auto"/>
              <w:left w:val="single" w:sz="4" w:space="0" w:color="auto"/>
              <w:bottom w:val="single" w:sz="4" w:space="0" w:color="auto"/>
            </w:tcBorders>
            <w:shd w:val="clear" w:color="auto" w:fill="auto"/>
            <w:noWrap/>
            <w:vAlign w:val="center"/>
            <w:hideMark/>
          </w:tcPr>
          <w:p w:rsidR="00C661D8" w:rsidRPr="00940E24" w:rsidRDefault="00C661D8" w:rsidP="00C661D8">
            <w:pPr>
              <w:spacing w:before="60" w:after="60" w:line="240" w:lineRule="auto"/>
              <w:jc w:val="center"/>
              <w:rPr>
                <w:rFonts w:eastAsia="Times New Roman" w:cs="Times New Roman"/>
                <w:bCs/>
                <w:color w:val="000000"/>
                <w:sz w:val="20"/>
                <w:szCs w:val="20"/>
              </w:rPr>
            </w:pPr>
            <w:r w:rsidRPr="00940E24">
              <w:rPr>
                <w:rFonts w:eastAsia="Times New Roman" w:cs="Times New Roman"/>
                <w:bCs/>
                <w:color w:val="000000"/>
                <w:sz w:val="20"/>
                <w:szCs w:val="20"/>
              </w:rPr>
              <w:t>Small Gains in Almost all Services Industries</w:t>
            </w:r>
          </w:p>
        </w:tc>
      </w:tr>
      <w:tr w:rsidR="007C78DE" w:rsidRPr="007C78DE" w:rsidTr="00940E24">
        <w:trPr>
          <w:trHeight w:val="288"/>
          <w:jc w:val="center"/>
        </w:trPr>
        <w:tc>
          <w:tcPr>
            <w:tcW w:w="2588" w:type="dxa"/>
            <w:tcBorders>
              <w:top w:val="nil"/>
              <w:bottom w:val="single" w:sz="4" w:space="0" w:color="auto"/>
              <w:right w:val="nil"/>
            </w:tcBorders>
            <w:shd w:val="clear" w:color="000000" w:fill="FFFFFF"/>
            <w:noWrap/>
            <w:vAlign w:val="bottom"/>
            <w:hideMark/>
          </w:tcPr>
          <w:p w:rsidR="007C78DE" w:rsidRPr="00940E24" w:rsidRDefault="007C78DE" w:rsidP="00781DB8">
            <w:pPr>
              <w:spacing w:before="60" w:after="60" w:line="240" w:lineRule="auto"/>
              <w:jc w:val="left"/>
              <w:rPr>
                <w:rFonts w:eastAsia="Times New Roman" w:cs="Times New Roman"/>
                <w:bCs/>
                <w:sz w:val="20"/>
                <w:szCs w:val="20"/>
              </w:rPr>
            </w:pPr>
          </w:p>
        </w:tc>
        <w:tc>
          <w:tcPr>
            <w:tcW w:w="772" w:type="dxa"/>
            <w:tcBorders>
              <w:top w:val="nil"/>
              <w:left w:val="nil"/>
              <w:bottom w:val="single" w:sz="4" w:space="0" w:color="auto"/>
              <w:right w:val="nil"/>
            </w:tcBorders>
            <w:shd w:val="clear" w:color="000000" w:fill="FFFFFF"/>
            <w:vAlign w:val="center"/>
            <w:hideMark/>
          </w:tcPr>
          <w:p w:rsidR="007C78DE" w:rsidRPr="00940E24" w:rsidRDefault="007C78DE" w:rsidP="00781DB8">
            <w:pPr>
              <w:spacing w:before="60" w:after="60" w:line="240" w:lineRule="auto"/>
              <w:jc w:val="center"/>
              <w:rPr>
                <w:rFonts w:eastAsia="Times New Roman" w:cs="Times New Roman"/>
                <w:bCs/>
                <w:sz w:val="20"/>
                <w:szCs w:val="20"/>
              </w:rPr>
            </w:pPr>
            <w:r w:rsidRPr="00940E24">
              <w:rPr>
                <w:rFonts w:eastAsia="Times New Roman" w:cs="Times New Roman"/>
                <w:bCs/>
                <w:sz w:val="20"/>
                <w:szCs w:val="20"/>
              </w:rPr>
              <w:t>Output</w:t>
            </w:r>
          </w:p>
        </w:tc>
        <w:tc>
          <w:tcPr>
            <w:tcW w:w="849" w:type="dxa"/>
            <w:tcBorders>
              <w:top w:val="nil"/>
              <w:left w:val="nil"/>
              <w:bottom w:val="single" w:sz="4" w:space="0" w:color="auto"/>
              <w:right w:val="single" w:sz="4" w:space="0" w:color="auto"/>
            </w:tcBorders>
            <w:shd w:val="clear" w:color="000000" w:fill="FFFFFF"/>
            <w:vAlign w:val="center"/>
            <w:hideMark/>
          </w:tcPr>
          <w:p w:rsidR="007C78DE" w:rsidRPr="00940E24" w:rsidRDefault="007C78DE" w:rsidP="00781DB8">
            <w:pPr>
              <w:spacing w:before="60" w:after="60" w:line="240" w:lineRule="auto"/>
              <w:jc w:val="center"/>
              <w:rPr>
                <w:rFonts w:eastAsia="Times New Roman" w:cs="Times New Roman"/>
                <w:bCs/>
                <w:sz w:val="20"/>
                <w:szCs w:val="20"/>
              </w:rPr>
            </w:pPr>
            <w:r w:rsidRPr="00940E24">
              <w:rPr>
                <w:rFonts w:eastAsia="Times New Roman" w:cs="Times New Roman"/>
                <w:bCs/>
                <w:sz w:val="20"/>
                <w:szCs w:val="20"/>
              </w:rPr>
              <w:t>Labor Income</w:t>
            </w:r>
          </w:p>
        </w:tc>
        <w:tc>
          <w:tcPr>
            <w:tcW w:w="2678" w:type="dxa"/>
            <w:tcBorders>
              <w:top w:val="nil"/>
              <w:left w:val="single" w:sz="4" w:space="0" w:color="auto"/>
              <w:bottom w:val="single" w:sz="4" w:space="0" w:color="auto"/>
              <w:right w:val="nil"/>
            </w:tcBorders>
            <w:shd w:val="clear" w:color="000000" w:fill="FFFFFF"/>
            <w:vAlign w:val="bottom"/>
            <w:hideMark/>
          </w:tcPr>
          <w:p w:rsidR="007C78DE" w:rsidRPr="00940E24" w:rsidRDefault="007C78DE" w:rsidP="00781DB8">
            <w:pPr>
              <w:spacing w:before="60" w:after="60" w:line="240" w:lineRule="auto"/>
              <w:rPr>
                <w:rFonts w:eastAsia="Times New Roman" w:cs="Times New Roman"/>
                <w:bCs/>
                <w:sz w:val="20"/>
                <w:szCs w:val="20"/>
              </w:rPr>
            </w:pPr>
          </w:p>
        </w:tc>
        <w:tc>
          <w:tcPr>
            <w:tcW w:w="873" w:type="dxa"/>
            <w:tcBorders>
              <w:top w:val="nil"/>
              <w:left w:val="nil"/>
              <w:bottom w:val="single" w:sz="4" w:space="0" w:color="auto"/>
              <w:right w:val="nil"/>
            </w:tcBorders>
            <w:shd w:val="clear" w:color="000000" w:fill="FFFFFF"/>
            <w:vAlign w:val="center"/>
            <w:hideMark/>
          </w:tcPr>
          <w:p w:rsidR="007C78DE" w:rsidRPr="00940E24" w:rsidRDefault="007C78DE" w:rsidP="00781DB8">
            <w:pPr>
              <w:spacing w:before="60" w:after="60" w:line="240" w:lineRule="auto"/>
              <w:jc w:val="center"/>
              <w:rPr>
                <w:rFonts w:eastAsia="Times New Roman" w:cs="Times New Roman"/>
                <w:bCs/>
                <w:sz w:val="20"/>
                <w:szCs w:val="20"/>
              </w:rPr>
            </w:pPr>
            <w:r w:rsidRPr="00940E24">
              <w:rPr>
                <w:rFonts w:eastAsia="Times New Roman" w:cs="Times New Roman"/>
                <w:bCs/>
                <w:sz w:val="20"/>
                <w:szCs w:val="20"/>
              </w:rPr>
              <w:t>Output</w:t>
            </w:r>
          </w:p>
        </w:tc>
        <w:tc>
          <w:tcPr>
            <w:tcW w:w="873" w:type="dxa"/>
            <w:tcBorders>
              <w:top w:val="nil"/>
              <w:left w:val="nil"/>
              <w:bottom w:val="single" w:sz="4" w:space="0" w:color="auto"/>
            </w:tcBorders>
            <w:shd w:val="clear" w:color="000000" w:fill="FFFFFF"/>
            <w:vAlign w:val="center"/>
            <w:hideMark/>
          </w:tcPr>
          <w:p w:rsidR="007C78DE" w:rsidRPr="00940E24" w:rsidRDefault="007C78DE" w:rsidP="00781DB8">
            <w:pPr>
              <w:spacing w:before="60" w:after="60" w:line="240" w:lineRule="auto"/>
              <w:jc w:val="center"/>
              <w:rPr>
                <w:rFonts w:eastAsia="Times New Roman" w:cs="Times New Roman"/>
                <w:bCs/>
                <w:sz w:val="20"/>
                <w:szCs w:val="20"/>
              </w:rPr>
            </w:pPr>
            <w:r w:rsidRPr="00940E24">
              <w:rPr>
                <w:rFonts w:eastAsia="Times New Roman" w:cs="Times New Roman"/>
                <w:bCs/>
                <w:sz w:val="20"/>
                <w:szCs w:val="20"/>
              </w:rPr>
              <w:t>Labor Income</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Agriculture and hunting</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-0.8</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-0.2</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Air Transport</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0.1</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0.7</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Chemical Industry</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-2.4</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-1.8</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Auxiliary financial services</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0.0</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0.6</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Crude oil and natural gas</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0.8</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1.4</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Auxiliary transport services</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0.1</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0.6</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Electrical machinery</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-3.9</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-3.3</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Communications</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0.0</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0.6</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Fishing</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-0.1</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0.5</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Computer technologies</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0.1</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0.7</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Food and beverages</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-2.0</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-1.4</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Construction</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0.1</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0.7</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Forestry</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-0.7</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-0.1</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Education</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0.0</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0.6</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Furniture and other products</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-2.6</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-2.0</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Electricity, gas and hot water</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-0.1</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0.5</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 xml:space="preserve">Leather products </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-9.5</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-8.9</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Financial intermediation</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0.0</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0.6</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Machinery and equipment</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0.0</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0.6</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Government</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0.0</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0.6</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Metal products</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-7.7</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-7.2</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Health and social services</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0.0</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0.6</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Metallurgical industry</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-0.5</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0.1</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Hotels and restaurants</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2.3</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2.9</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Mining of coal and lignite</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-0.1</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0.5</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Insurance</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0.3</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0.9</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Mining of metals</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0.1</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0.7</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Land transport</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0.2</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0.8</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Motor vehicles and trailers</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8.0</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8.6</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Other services</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0.1</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0.7</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Office machinery</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1.1</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1.7</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Public associations</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-0.2</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0.4</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Other mineral products</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-2.3</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-1.8</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Real estate</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-0.2</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0.5</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Other mining</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0.4</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0.9</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Recreation, culture and sports</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0.1</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0.7</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Other transport equipment</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-0.8</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-0.3</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Recycling</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-0.5</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0.1</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Precision instruments</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-0.8</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-0.2</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Renting of machinery</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1.2</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1.8</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Publishing and printing</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0.3</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0.9</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Research and development</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0.2</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0.8</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Pulp and paper</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-5.6</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-5.1</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Retail trade</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0.0</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0.5</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Radio and television</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-3.9</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-3.3</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Sewage and waste</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0.0</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0.6</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 xml:space="preserve">Refined petroleum </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0.0</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0.6</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Trade in motor vehicles</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0.1</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0.6</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Rubber and plastic</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-4.1</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-3.5</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Water</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-0.1</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0.5</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Textiles</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-3.5</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-3.0</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Water transport</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0.2</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0.8</w:t>
            </w:r>
          </w:p>
        </w:tc>
      </w:tr>
      <w:tr w:rsidR="007C78DE" w:rsidRPr="007C78DE" w:rsidTr="00940E24">
        <w:trPr>
          <w:trHeight w:val="144"/>
          <w:jc w:val="center"/>
        </w:trPr>
        <w:tc>
          <w:tcPr>
            <w:tcW w:w="2588" w:type="dxa"/>
            <w:tcBorders>
              <w:top w:val="nil"/>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Tobacco products</w:t>
            </w:r>
          </w:p>
        </w:tc>
        <w:tc>
          <w:tcPr>
            <w:tcW w:w="772"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-0.7</w:t>
            </w:r>
          </w:p>
        </w:tc>
        <w:tc>
          <w:tcPr>
            <w:tcW w:w="849" w:type="dxa"/>
            <w:tcBorders>
              <w:top w:val="nil"/>
              <w:left w:val="nil"/>
              <w:bottom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-0.1</w:t>
            </w:r>
          </w:p>
        </w:tc>
        <w:tc>
          <w:tcPr>
            <w:tcW w:w="2678" w:type="dxa"/>
            <w:tcBorders>
              <w:top w:val="nil"/>
              <w:left w:val="single" w:sz="4" w:space="0" w:color="auto"/>
              <w:bottom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Wholesale trade</w:t>
            </w:r>
          </w:p>
        </w:tc>
        <w:tc>
          <w:tcPr>
            <w:tcW w:w="873" w:type="dxa"/>
            <w:tcBorders>
              <w:top w:val="nil"/>
              <w:left w:val="nil"/>
              <w:bottom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0.2</w:t>
            </w:r>
          </w:p>
        </w:tc>
        <w:tc>
          <w:tcPr>
            <w:tcW w:w="873" w:type="dxa"/>
            <w:tcBorders>
              <w:top w:val="nil"/>
              <w:left w:val="nil"/>
              <w:bottom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0.8</w:t>
            </w:r>
          </w:p>
        </w:tc>
      </w:tr>
      <w:tr w:rsidR="007C78DE" w:rsidRPr="007C78DE" w:rsidTr="00940E24">
        <w:trPr>
          <w:trHeight w:val="144"/>
          <w:jc w:val="center"/>
        </w:trPr>
        <w:tc>
          <w:tcPr>
            <w:tcW w:w="2588" w:type="dxa"/>
            <w:tcBorders>
              <w:top w:val="nil"/>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Wearing apparel</w:t>
            </w:r>
          </w:p>
        </w:tc>
        <w:tc>
          <w:tcPr>
            <w:tcW w:w="772" w:type="dxa"/>
            <w:tcBorders>
              <w:top w:val="nil"/>
              <w:left w:val="nil"/>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-3.5</w:t>
            </w:r>
          </w:p>
        </w:tc>
        <w:tc>
          <w:tcPr>
            <w:tcW w:w="849" w:type="dxa"/>
            <w:tcBorders>
              <w:top w:val="nil"/>
              <w:left w:val="nil"/>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-2.9</w:t>
            </w:r>
          </w:p>
        </w:tc>
        <w:tc>
          <w:tcPr>
            <w:tcW w:w="2678" w:type="dxa"/>
            <w:tcBorders>
              <w:top w:val="nil"/>
              <w:left w:val="single" w:sz="4" w:space="0" w:color="auto"/>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 </w:t>
            </w:r>
          </w:p>
        </w:tc>
        <w:tc>
          <w:tcPr>
            <w:tcW w:w="873" w:type="dxa"/>
            <w:tcBorders>
              <w:top w:val="nil"/>
              <w:left w:val="nil"/>
              <w:right w:val="nil"/>
            </w:tcBorders>
            <w:shd w:val="clear" w:color="000000" w:fill="FFFFFF"/>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 </w:t>
            </w:r>
          </w:p>
        </w:tc>
        <w:tc>
          <w:tcPr>
            <w:tcW w:w="873" w:type="dxa"/>
            <w:tcBorders>
              <w:top w:val="nil"/>
              <w:left w:val="nil"/>
            </w:tcBorders>
            <w:shd w:val="clear" w:color="000000" w:fill="FFFFFF"/>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 </w:t>
            </w:r>
          </w:p>
        </w:tc>
      </w:tr>
      <w:tr w:rsidR="007C78DE" w:rsidRPr="007C78DE" w:rsidTr="00940E24">
        <w:trPr>
          <w:trHeight w:val="144"/>
          <w:jc w:val="center"/>
        </w:trPr>
        <w:tc>
          <w:tcPr>
            <w:tcW w:w="2588" w:type="dxa"/>
            <w:tcBorders>
              <w:top w:val="nil"/>
              <w:bottom w:val="single" w:sz="4" w:space="0" w:color="auto"/>
              <w:right w:val="nil"/>
            </w:tcBorders>
            <w:shd w:val="clear" w:color="000000" w:fill="FFFFFF"/>
            <w:noWrap/>
            <w:vAlign w:val="bottom"/>
            <w:hideMark/>
          </w:tcPr>
          <w:p w:rsidR="007C78DE" w:rsidRPr="00940E24" w:rsidRDefault="007C78DE" w:rsidP="007C78DE">
            <w:pPr>
              <w:spacing w:after="0" w:line="240" w:lineRule="auto"/>
              <w:jc w:val="left"/>
              <w:rPr>
                <w:rFonts w:eastAsia="Times New Roman" w:cs="Times New Roman"/>
                <w:sz w:val="20"/>
                <w:szCs w:val="20"/>
              </w:rPr>
            </w:pPr>
            <w:r w:rsidRPr="00940E24">
              <w:rPr>
                <w:rFonts w:eastAsia="Times New Roman" w:cs="Times New Roman"/>
                <w:sz w:val="20"/>
                <w:szCs w:val="20"/>
              </w:rPr>
              <w:t>Wood products</w:t>
            </w:r>
          </w:p>
        </w:tc>
        <w:tc>
          <w:tcPr>
            <w:tcW w:w="772" w:type="dxa"/>
            <w:tcBorders>
              <w:top w:val="nil"/>
              <w:left w:val="nil"/>
              <w:bottom w:val="single" w:sz="4" w:space="0" w:color="auto"/>
              <w:right w:val="nil"/>
            </w:tcBorders>
            <w:shd w:val="clear" w:color="000000" w:fill="FFFFFF"/>
            <w:noWrap/>
            <w:vAlign w:val="bottom"/>
            <w:hideMark/>
          </w:tcPr>
          <w:p w:rsidR="007C78DE" w:rsidRPr="00940E24" w:rsidRDefault="007C78DE" w:rsidP="00940E24">
            <w:pPr>
              <w:spacing w:after="0" w:line="240" w:lineRule="auto"/>
              <w:ind w:right="144"/>
              <w:jc w:val="right"/>
              <w:rPr>
                <w:rFonts w:eastAsia="Times New Roman" w:cs="Times New Roman"/>
                <w:sz w:val="20"/>
                <w:szCs w:val="20"/>
              </w:rPr>
            </w:pPr>
            <w:r w:rsidRPr="00940E24">
              <w:rPr>
                <w:rFonts w:eastAsia="Times New Roman" w:cs="Times New Roman"/>
                <w:sz w:val="20"/>
                <w:szCs w:val="20"/>
              </w:rPr>
              <w:t>-2.6</w:t>
            </w:r>
          </w:p>
        </w:tc>
        <w:tc>
          <w:tcPr>
            <w:tcW w:w="849" w:type="dxa"/>
            <w:tcBorders>
              <w:top w:val="nil"/>
              <w:left w:val="nil"/>
              <w:bottom w:val="single" w:sz="4" w:space="0" w:color="auto"/>
              <w:right w:val="single" w:sz="4" w:space="0" w:color="auto"/>
            </w:tcBorders>
            <w:shd w:val="clear" w:color="000000" w:fill="FFFFFF"/>
            <w:noWrap/>
            <w:vAlign w:val="bottom"/>
            <w:hideMark/>
          </w:tcPr>
          <w:p w:rsidR="007C78DE" w:rsidRPr="00940E24" w:rsidRDefault="007C78DE" w:rsidP="00940E24">
            <w:pPr>
              <w:spacing w:after="0" w:line="240" w:lineRule="auto"/>
              <w:ind w:right="144"/>
              <w:jc w:val="center"/>
              <w:rPr>
                <w:rFonts w:eastAsia="Times New Roman" w:cs="Times New Roman"/>
                <w:sz w:val="20"/>
                <w:szCs w:val="20"/>
              </w:rPr>
            </w:pPr>
            <w:r w:rsidRPr="00940E24">
              <w:rPr>
                <w:rFonts w:eastAsia="Times New Roman" w:cs="Times New Roman"/>
                <w:sz w:val="20"/>
                <w:szCs w:val="20"/>
              </w:rPr>
              <w:t>-2.0</w:t>
            </w:r>
          </w:p>
        </w:tc>
        <w:tc>
          <w:tcPr>
            <w:tcW w:w="2678" w:type="dxa"/>
            <w:tcBorders>
              <w:top w:val="nil"/>
              <w:left w:val="single" w:sz="4" w:space="0" w:color="auto"/>
              <w:bottom w:val="single" w:sz="4" w:space="0" w:color="auto"/>
              <w:right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 </w:t>
            </w:r>
          </w:p>
        </w:tc>
        <w:tc>
          <w:tcPr>
            <w:tcW w:w="873" w:type="dxa"/>
            <w:tcBorders>
              <w:top w:val="nil"/>
              <w:left w:val="nil"/>
              <w:bottom w:val="single" w:sz="4" w:space="0" w:color="auto"/>
              <w:right w:val="nil"/>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 </w:t>
            </w:r>
          </w:p>
        </w:tc>
        <w:tc>
          <w:tcPr>
            <w:tcW w:w="873" w:type="dxa"/>
            <w:tcBorders>
              <w:top w:val="nil"/>
              <w:left w:val="nil"/>
              <w:bottom w:val="single" w:sz="4" w:space="0" w:color="auto"/>
            </w:tcBorders>
            <w:shd w:val="clear" w:color="000000" w:fill="FFFFFF"/>
            <w:noWrap/>
            <w:vAlign w:val="bottom"/>
            <w:hideMark/>
          </w:tcPr>
          <w:p w:rsidR="007C78DE" w:rsidRPr="00940E24" w:rsidRDefault="007C78DE" w:rsidP="007C78DE">
            <w:pPr>
              <w:spacing w:after="0" w:line="240" w:lineRule="auto"/>
              <w:jc w:val="center"/>
              <w:rPr>
                <w:rFonts w:eastAsia="Times New Roman" w:cs="Times New Roman"/>
                <w:sz w:val="20"/>
                <w:szCs w:val="20"/>
              </w:rPr>
            </w:pPr>
            <w:r w:rsidRPr="00940E24">
              <w:rPr>
                <w:rFonts w:eastAsia="Times New Roman" w:cs="Times New Roman"/>
                <w:sz w:val="20"/>
                <w:szCs w:val="20"/>
              </w:rPr>
              <w:t> </w:t>
            </w:r>
          </w:p>
        </w:tc>
      </w:tr>
      <w:tr w:rsidR="00C661D8" w:rsidRPr="007C78DE" w:rsidTr="00940E24">
        <w:trPr>
          <w:trHeight w:val="144"/>
          <w:jc w:val="center"/>
        </w:trPr>
        <w:tc>
          <w:tcPr>
            <w:tcW w:w="8633" w:type="dxa"/>
            <w:gridSpan w:val="6"/>
            <w:tcBorders>
              <w:top w:val="single" w:sz="4" w:space="0" w:color="auto"/>
            </w:tcBorders>
            <w:shd w:val="clear" w:color="000000" w:fill="FFFFFF"/>
            <w:noWrap/>
            <w:vAlign w:val="bottom"/>
          </w:tcPr>
          <w:p w:rsidR="00C661D8" w:rsidRPr="00C661D8" w:rsidRDefault="00C661D8" w:rsidP="00C661D8">
            <w:pPr>
              <w:spacing w:before="120" w:after="0" w:line="240" w:lineRule="auto"/>
              <w:jc w:val="left"/>
              <w:rPr>
                <w:rFonts w:eastAsia="Times New Roman" w:cs="Times New Roman"/>
                <w:sz w:val="18"/>
                <w:szCs w:val="18"/>
              </w:rPr>
            </w:pPr>
            <w:r w:rsidRPr="00C661D8">
              <w:rPr>
                <w:rFonts w:cs="Times New Roman"/>
                <w:i/>
                <w:sz w:val="18"/>
                <w:szCs w:val="18"/>
              </w:rPr>
              <w:t>Source:</w:t>
            </w:r>
            <w:r w:rsidRPr="00C661D8">
              <w:rPr>
                <w:rFonts w:cs="Times New Roman"/>
                <w:sz w:val="18"/>
                <w:szCs w:val="18"/>
              </w:rPr>
              <w:t xml:space="preserve"> World Bank, 2013</w:t>
            </w:r>
            <w:r>
              <w:rPr>
                <w:rFonts w:cs="Times New Roman"/>
                <w:sz w:val="18"/>
                <w:szCs w:val="18"/>
              </w:rPr>
              <w:t>.</w:t>
            </w:r>
          </w:p>
        </w:tc>
      </w:tr>
    </w:tbl>
    <w:p w:rsidR="007C78DE" w:rsidRDefault="007C78DE" w:rsidP="00940E24">
      <w:pPr>
        <w:spacing w:after="0" w:line="240" w:lineRule="auto"/>
        <w:ind w:firstLine="504"/>
        <w:jc w:val="left"/>
        <w:rPr>
          <w:rFonts w:cs="Times New Roman"/>
          <w:sz w:val="20"/>
          <w:szCs w:val="20"/>
        </w:rPr>
      </w:pPr>
    </w:p>
    <w:p w:rsidR="00CC4E3E" w:rsidRDefault="00CC4E3E" w:rsidP="00CC4E3E">
      <w:pPr>
        <w:pStyle w:val="ListParagraph"/>
        <w:numPr>
          <w:ilvl w:val="0"/>
          <w:numId w:val="1"/>
        </w:numPr>
        <w:tabs>
          <w:tab w:val="left" w:pos="720"/>
        </w:tabs>
        <w:spacing w:line="240" w:lineRule="auto"/>
        <w:ind w:left="0" w:firstLine="0"/>
        <w:contextualSpacing w:val="0"/>
        <w:rPr>
          <w:rFonts w:cs="Times New Roman"/>
          <w:sz w:val="22"/>
        </w:rPr>
      </w:pPr>
      <w:r w:rsidRPr="00234D23">
        <w:rPr>
          <w:rFonts w:cs="Times New Roman"/>
          <w:b/>
          <w:sz w:val="22"/>
        </w:rPr>
        <w:t xml:space="preserve">Joining the WTO on terms that are more liberal than the Russian </w:t>
      </w:r>
      <w:r>
        <w:rPr>
          <w:rFonts w:cs="Times New Roman"/>
          <w:b/>
          <w:sz w:val="22"/>
        </w:rPr>
        <w:t xml:space="preserve">tariff </w:t>
      </w:r>
      <w:r w:rsidRPr="00234D23">
        <w:rPr>
          <w:rFonts w:cs="Times New Roman"/>
          <w:b/>
          <w:sz w:val="22"/>
        </w:rPr>
        <w:t xml:space="preserve">schedule would enhance </w:t>
      </w:r>
      <w:r>
        <w:rPr>
          <w:rFonts w:cs="Times New Roman"/>
          <w:b/>
          <w:sz w:val="22"/>
        </w:rPr>
        <w:t xml:space="preserve">further </w:t>
      </w:r>
      <w:r w:rsidRPr="00234D23">
        <w:rPr>
          <w:rFonts w:cs="Times New Roman"/>
          <w:b/>
          <w:sz w:val="22"/>
        </w:rPr>
        <w:t>the competitive forces in the economy</w:t>
      </w:r>
      <w:r>
        <w:rPr>
          <w:rFonts w:cs="Times New Roman"/>
          <w:b/>
          <w:sz w:val="22"/>
        </w:rPr>
        <w:t xml:space="preserve">. </w:t>
      </w:r>
      <w:r w:rsidRPr="00234D23">
        <w:rPr>
          <w:rFonts w:cs="Times New Roman"/>
          <w:sz w:val="22"/>
        </w:rPr>
        <w:t xml:space="preserve">Prior to joining the Customs Union, Kazakhstan was engaged in WTO accession negotiations and had agreed with several counterparts to tariff schedules </w:t>
      </w:r>
      <w:r>
        <w:rPr>
          <w:rFonts w:cs="Times New Roman"/>
          <w:sz w:val="22"/>
        </w:rPr>
        <w:t xml:space="preserve">that were </w:t>
      </w:r>
      <w:r w:rsidRPr="00234D23">
        <w:rPr>
          <w:rFonts w:cs="Times New Roman"/>
          <w:sz w:val="22"/>
        </w:rPr>
        <w:t>more liberal than the Russian WTO accession schedule. These agreements are reported to cover several thousand tariff lines</w:t>
      </w:r>
      <w:r>
        <w:rPr>
          <w:rFonts w:cs="Times New Roman"/>
          <w:sz w:val="22"/>
        </w:rPr>
        <w:t xml:space="preserve"> and have been a snag to the current accession negotiations. The joint Kazakhstan-Russia formula that proposed a compromise on the difference between Kazakhstan’s early tariff commitments and Russia’s WTO commitments was rejected by the counterparts in the summer of 2013, and negotiations are ongoing to find a mutually acceptable alternative solution. Kazakhstan would benefit if the content of some of these more liberal agreements were </w:t>
      </w:r>
      <w:r w:rsidRPr="00234D23">
        <w:rPr>
          <w:rFonts w:cs="Times New Roman"/>
          <w:sz w:val="22"/>
        </w:rPr>
        <w:t>included</w:t>
      </w:r>
      <w:r>
        <w:rPr>
          <w:rFonts w:cs="Times New Roman"/>
          <w:sz w:val="22"/>
        </w:rPr>
        <w:t xml:space="preserve"> </w:t>
      </w:r>
      <w:r w:rsidRPr="00234D23">
        <w:rPr>
          <w:rFonts w:cs="Times New Roman"/>
          <w:sz w:val="22"/>
        </w:rPr>
        <w:t>in</w:t>
      </w:r>
      <w:r>
        <w:rPr>
          <w:rFonts w:cs="Times New Roman"/>
          <w:sz w:val="22"/>
        </w:rPr>
        <w:t xml:space="preserve"> the </w:t>
      </w:r>
      <w:r w:rsidRPr="00234D23">
        <w:rPr>
          <w:rFonts w:cs="Times New Roman"/>
          <w:sz w:val="22"/>
        </w:rPr>
        <w:t>fina</w:t>
      </w:r>
      <w:r>
        <w:rPr>
          <w:rFonts w:cs="Times New Roman"/>
          <w:sz w:val="22"/>
        </w:rPr>
        <w:t xml:space="preserve">l accession agreement. A more liberal tariff agreement </w:t>
      </w:r>
      <w:r w:rsidRPr="00234D23">
        <w:rPr>
          <w:rFonts w:cs="Times New Roman"/>
          <w:sz w:val="22"/>
        </w:rPr>
        <w:t xml:space="preserve">will </w:t>
      </w:r>
      <w:r>
        <w:rPr>
          <w:rFonts w:cs="Times New Roman"/>
          <w:sz w:val="22"/>
        </w:rPr>
        <w:t xml:space="preserve">reduce </w:t>
      </w:r>
      <w:r w:rsidRPr="00234D23">
        <w:rPr>
          <w:rFonts w:cs="Times New Roman"/>
          <w:sz w:val="22"/>
        </w:rPr>
        <w:t xml:space="preserve">the overall tariff rates and some sectoral rates for Kazakhstan and the Customs Union. Lower tariffs would </w:t>
      </w:r>
      <w:r>
        <w:rPr>
          <w:rFonts w:cs="Times New Roman"/>
          <w:sz w:val="22"/>
        </w:rPr>
        <w:t>lower the costs of imports for both national producers and consumers, while encouraging domestic competition</w:t>
      </w:r>
      <w:r w:rsidRPr="00234D23">
        <w:rPr>
          <w:rFonts w:cs="Times New Roman"/>
          <w:sz w:val="22"/>
        </w:rPr>
        <w:t xml:space="preserve">. </w:t>
      </w:r>
    </w:p>
    <w:p w:rsidR="00CC4E3E" w:rsidRPr="00DA4A08" w:rsidRDefault="00CC4E3E" w:rsidP="009C333C">
      <w:pPr>
        <w:pStyle w:val="ListParagraph"/>
        <w:numPr>
          <w:ilvl w:val="0"/>
          <w:numId w:val="1"/>
        </w:numPr>
        <w:tabs>
          <w:tab w:val="left" w:pos="720"/>
        </w:tabs>
        <w:spacing w:line="240" w:lineRule="auto"/>
        <w:ind w:left="0" w:firstLine="0"/>
        <w:contextualSpacing w:val="0"/>
        <w:rPr>
          <w:rFonts w:cs="Times New Roman"/>
          <w:sz w:val="22"/>
        </w:rPr>
      </w:pPr>
      <w:r w:rsidRPr="00DA4A08">
        <w:rPr>
          <w:rFonts w:cs="Times New Roman"/>
          <w:b/>
          <w:sz w:val="22"/>
        </w:rPr>
        <w:t xml:space="preserve">Finalizing </w:t>
      </w:r>
      <w:r w:rsidR="009C333C" w:rsidRPr="00DA4A08">
        <w:rPr>
          <w:rFonts w:cs="Times New Roman"/>
          <w:b/>
          <w:sz w:val="22"/>
        </w:rPr>
        <w:t xml:space="preserve">WTO </w:t>
      </w:r>
      <w:r w:rsidRPr="00DA4A08">
        <w:rPr>
          <w:rFonts w:cs="Times New Roman"/>
          <w:b/>
          <w:sz w:val="22"/>
        </w:rPr>
        <w:t xml:space="preserve">negotiations </w:t>
      </w:r>
      <w:r w:rsidR="009C333C" w:rsidRPr="00DA4A08">
        <w:rPr>
          <w:rFonts w:cs="Times New Roman"/>
          <w:b/>
          <w:sz w:val="22"/>
        </w:rPr>
        <w:t xml:space="preserve">in the disciplines </w:t>
      </w:r>
      <w:r w:rsidR="00E01590" w:rsidRPr="00DA4A08">
        <w:rPr>
          <w:rFonts w:cs="Times New Roman"/>
          <w:b/>
          <w:sz w:val="22"/>
        </w:rPr>
        <w:t xml:space="preserve">not related to market access (tariffs) </w:t>
      </w:r>
      <w:r w:rsidR="009C333C" w:rsidRPr="00DA4A08">
        <w:rPr>
          <w:rFonts w:cs="Times New Roman"/>
          <w:b/>
          <w:sz w:val="22"/>
        </w:rPr>
        <w:t xml:space="preserve">will </w:t>
      </w:r>
      <w:r w:rsidR="007140CB" w:rsidRPr="00DA4A08">
        <w:rPr>
          <w:rFonts w:cs="Times New Roman"/>
          <w:b/>
          <w:sz w:val="22"/>
        </w:rPr>
        <w:t>help</w:t>
      </w:r>
      <w:r w:rsidR="009C333C" w:rsidRPr="00DA4A08">
        <w:rPr>
          <w:rFonts w:cs="Times New Roman"/>
          <w:b/>
          <w:sz w:val="22"/>
        </w:rPr>
        <w:t xml:space="preserve"> </w:t>
      </w:r>
      <w:r w:rsidR="005E225C" w:rsidRPr="00DA4A08">
        <w:rPr>
          <w:rFonts w:cs="Times New Roman"/>
          <w:b/>
          <w:sz w:val="22"/>
        </w:rPr>
        <w:t>advance the</w:t>
      </w:r>
      <w:r w:rsidR="009C333C" w:rsidRPr="00DA4A08">
        <w:rPr>
          <w:rFonts w:cs="Times New Roman"/>
          <w:b/>
          <w:sz w:val="22"/>
        </w:rPr>
        <w:t xml:space="preserve"> accession process.</w:t>
      </w:r>
      <w:r w:rsidR="009C333C" w:rsidRPr="00DA4A08">
        <w:rPr>
          <w:rFonts w:cs="Times New Roman"/>
          <w:sz w:val="22"/>
        </w:rPr>
        <w:t xml:space="preserve">  While tariff negotiations were at a standstill as of December 2013, negotiations on a number of other important issues still need to be finalized. Obtaining </w:t>
      </w:r>
      <w:r w:rsidR="007140CB" w:rsidRPr="00DA4A08">
        <w:rPr>
          <w:rFonts w:cs="Times New Roman"/>
          <w:sz w:val="22"/>
        </w:rPr>
        <w:t xml:space="preserve">WTO members’ </w:t>
      </w:r>
      <w:r w:rsidR="009C333C" w:rsidRPr="00DA4A08">
        <w:rPr>
          <w:rFonts w:cs="Times New Roman"/>
          <w:sz w:val="22"/>
        </w:rPr>
        <w:t xml:space="preserve">final </w:t>
      </w:r>
      <w:r w:rsidR="009C333C" w:rsidRPr="00DA4A08">
        <w:rPr>
          <w:rFonts w:cs="Times New Roman"/>
          <w:sz w:val="22"/>
        </w:rPr>
        <w:lastRenderedPageBreak/>
        <w:t xml:space="preserve">agreement on the draft services agreement will be positive outcome for the Government. Pushing ahead with the complex negotiations on the regulations and practices governing sanitary and phytosanitary (SPS) measures and technical regulations is also necessary.  </w:t>
      </w:r>
      <w:r w:rsidR="00E01590" w:rsidRPr="00DA4A08">
        <w:rPr>
          <w:rFonts w:cs="Times New Roman"/>
          <w:sz w:val="22"/>
        </w:rPr>
        <w:t xml:space="preserve">Finally, the authorities still need to conclude negotiations on </w:t>
      </w:r>
      <w:r w:rsidR="009C333C" w:rsidRPr="00DA4A08">
        <w:rPr>
          <w:rFonts w:cs="Times New Roman"/>
          <w:sz w:val="22"/>
        </w:rPr>
        <w:t xml:space="preserve">WTO-inconsistent trade-related investment measures (TRIMS), including those </w:t>
      </w:r>
      <w:r w:rsidR="00E01590" w:rsidRPr="00DA4A08">
        <w:rPr>
          <w:rFonts w:cs="Times New Roman"/>
          <w:sz w:val="22"/>
        </w:rPr>
        <w:t>related to</w:t>
      </w:r>
      <w:r w:rsidR="009C333C" w:rsidRPr="00DA4A08">
        <w:rPr>
          <w:rFonts w:cs="Times New Roman"/>
          <w:sz w:val="22"/>
        </w:rPr>
        <w:t xml:space="preserve"> state-owned enterprises, local content requirements and discriminatory VAT preferences; </w:t>
      </w:r>
      <w:r w:rsidR="00E01590" w:rsidRPr="00DA4A08">
        <w:rPr>
          <w:rFonts w:cs="Times New Roman"/>
          <w:sz w:val="22"/>
        </w:rPr>
        <w:t xml:space="preserve">and </w:t>
      </w:r>
      <w:r w:rsidR="009C333C" w:rsidRPr="00DA4A08">
        <w:rPr>
          <w:rFonts w:cs="Times New Roman"/>
          <w:sz w:val="22"/>
        </w:rPr>
        <w:t xml:space="preserve">trading rights and treatment of natural persons.  </w:t>
      </w:r>
      <w:r w:rsidR="00E01590" w:rsidRPr="00DA4A08">
        <w:rPr>
          <w:rFonts w:cs="Times New Roman"/>
          <w:sz w:val="22"/>
        </w:rPr>
        <w:t xml:space="preserve">Given that Kazakhstan is a CU member, </w:t>
      </w:r>
      <w:r w:rsidR="007F1F7A" w:rsidRPr="00DA4A08">
        <w:rPr>
          <w:rFonts w:cs="Times New Roman"/>
          <w:sz w:val="22"/>
        </w:rPr>
        <w:t xml:space="preserve">it needs to address the added complexiting of ensuring that </w:t>
      </w:r>
      <w:r w:rsidR="00E01590" w:rsidRPr="00DA4A08">
        <w:rPr>
          <w:rFonts w:cs="Times New Roman"/>
          <w:sz w:val="22"/>
        </w:rPr>
        <w:t xml:space="preserve">these agreements </w:t>
      </w:r>
      <w:r w:rsidR="007F1F7A" w:rsidRPr="00DA4A08">
        <w:rPr>
          <w:rFonts w:cs="Times New Roman"/>
          <w:sz w:val="22"/>
        </w:rPr>
        <w:t>are compliant t</w:t>
      </w:r>
      <w:r w:rsidR="00E01590" w:rsidRPr="00DA4A08">
        <w:rPr>
          <w:rFonts w:cs="Times New Roman"/>
          <w:sz w:val="22"/>
        </w:rPr>
        <w:t>o the CU policy framework or t</w:t>
      </w:r>
      <w:r w:rsidR="007F1F7A" w:rsidRPr="00DA4A08">
        <w:rPr>
          <w:rFonts w:cs="Times New Roman"/>
          <w:sz w:val="22"/>
        </w:rPr>
        <w:t>ake the necessary steps to</w:t>
      </w:r>
      <w:r w:rsidR="00E01590" w:rsidRPr="00DA4A08">
        <w:rPr>
          <w:rFonts w:cs="Times New Roman"/>
          <w:sz w:val="22"/>
        </w:rPr>
        <w:t xml:space="preserve"> </w:t>
      </w:r>
      <w:r w:rsidR="007F1F7A" w:rsidRPr="00DA4A08">
        <w:rPr>
          <w:rFonts w:cs="Times New Roman"/>
          <w:sz w:val="22"/>
        </w:rPr>
        <w:t xml:space="preserve">adjust the </w:t>
      </w:r>
      <w:r w:rsidR="00E01590" w:rsidRPr="00DA4A08">
        <w:rPr>
          <w:rFonts w:cs="Times New Roman"/>
          <w:sz w:val="22"/>
        </w:rPr>
        <w:t xml:space="preserve">CU frameworks </w:t>
      </w:r>
      <w:r w:rsidR="00DA4A08" w:rsidRPr="00DA4A08">
        <w:rPr>
          <w:rFonts w:cs="Times New Roman"/>
          <w:sz w:val="22"/>
        </w:rPr>
        <w:t>to these</w:t>
      </w:r>
      <w:r w:rsidR="00E01590" w:rsidRPr="00DA4A08">
        <w:rPr>
          <w:rFonts w:cs="Times New Roman"/>
          <w:sz w:val="22"/>
        </w:rPr>
        <w:t xml:space="preserve"> new agreements.  </w:t>
      </w:r>
    </w:p>
    <w:p w:rsidR="00E33311" w:rsidRPr="00E33311" w:rsidRDefault="00E33311" w:rsidP="007951C7">
      <w:pPr>
        <w:pStyle w:val="ListParagraph"/>
        <w:numPr>
          <w:ilvl w:val="0"/>
          <w:numId w:val="1"/>
        </w:numPr>
        <w:tabs>
          <w:tab w:val="left" w:pos="720"/>
        </w:tabs>
        <w:spacing w:after="240" w:line="240" w:lineRule="auto"/>
        <w:ind w:left="0" w:firstLine="0"/>
        <w:contextualSpacing w:val="0"/>
        <w:rPr>
          <w:rFonts w:cs="Times New Roman"/>
          <w:sz w:val="22"/>
        </w:rPr>
      </w:pPr>
      <w:r w:rsidRPr="00F70296">
        <w:rPr>
          <w:rFonts w:cs="Times New Roman"/>
          <w:b/>
          <w:sz w:val="22"/>
        </w:rPr>
        <w:t>The gains from WTO accession will be enhanced if trade facilitation is improved</w:t>
      </w:r>
      <w:r w:rsidRPr="00141856">
        <w:rPr>
          <w:rFonts w:cs="Times New Roman"/>
          <w:sz w:val="22"/>
        </w:rPr>
        <w:t>.</w:t>
      </w:r>
      <w:r w:rsidR="00786508">
        <w:rPr>
          <w:rFonts w:cs="Times New Roman"/>
          <w:sz w:val="22"/>
        </w:rPr>
        <w:t xml:space="preserve"> </w:t>
      </w:r>
      <w:r w:rsidRPr="00F70296">
        <w:rPr>
          <w:rFonts w:cs="Times New Roman"/>
          <w:sz w:val="22"/>
        </w:rPr>
        <w:t>While the government of Kazakhstan is working to improve trade facilitation, the challenge remains important due to the landlocked nature of the country and the complex process of unifying regulations within the Customs Union.</w:t>
      </w:r>
      <w:r w:rsidRPr="00F70296">
        <w:rPr>
          <w:rFonts w:cs="Times New Roman"/>
          <w:b/>
          <w:sz w:val="22"/>
        </w:rPr>
        <w:t xml:space="preserve"> </w:t>
      </w:r>
      <w:r w:rsidRPr="00F70296">
        <w:rPr>
          <w:rFonts w:cs="Times New Roman"/>
          <w:sz w:val="22"/>
        </w:rPr>
        <w:t>Kazakhstan was ranked 18</w:t>
      </w:r>
      <w:r>
        <w:rPr>
          <w:rFonts w:cs="Times New Roman"/>
          <w:sz w:val="22"/>
        </w:rPr>
        <w:t xml:space="preserve">6 </w:t>
      </w:r>
      <w:r w:rsidRPr="00F70296">
        <w:rPr>
          <w:rFonts w:cs="Times New Roman"/>
          <w:sz w:val="22"/>
        </w:rPr>
        <w:t>for cross-border trade in the doing business indicators for 2013</w:t>
      </w:r>
      <w:r>
        <w:rPr>
          <w:rFonts w:cs="Times New Roman"/>
          <w:sz w:val="22"/>
        </w:rPr>
        <w:t xml:space="preserve"> and 2014</w:t>
      </w:r>
      <w:r w:rsidRPr="00F70296">
        <w:rPr>
          <w:rFonts w:cs="Times New Roman"/>
          <w:sz w:val="22"/>
        </w:rPr>
        <w:t>.</w:t>
      </w:r>
      <w:r w:rsidR="00786508">
        <w:rPr>
          <w:rFonts w:cs="Times New Roman"/>
          <w:sz w:val="22"/>
        </w:rPr>
        <w:t xml:space="preserve"> </w:t>
      </w:r>
      <w:r w:rsidRPr="00F70296">
        <w:rPr>
          <w:rFonts w:cs="Times New Roman"/>
          <w:sz w:val="22"/>
        </w:rPr>
        <w:t xml:space="preserve">To export a standard 40-foot shipping container requires </w:t>
      </w:r>
      <w:r>
        <w:rPr>
          <w:rFonts w:cs="Times New Roman"/>
          <w:sz w:val="22"/>
        </w:rPr>
        <w:t>nine</w:t>
      </w:r>
      <w:r w:rsidRPr="00F70296">
        <w:rPr>
          <w:rFonts w:cs="Times New Roman"/>
          <w:sz w:val="22"/>
        </w:rPr>
        <w:t xml:space="preserve"> documents, takes 81days, and </w:t>
      </w:r>
      <w:r w:rsidR="00DE7230" w:rsidRPr="00F70296">
        <w:rPr>
          <w:rFonts w:cs="Times New Roman"/>
          <w:sz w:val="22"/>
        </w:rPr>
        <w:t xml:space="preserve">costs </w:t>
      </w:r>
      <w:r w:rsidR="00DE7230">
        <w:rPr>
          <w:rFonts w:cs="Times New Roman"/>
          <w:sz w:val="22"/>
        </w:rPr>
        <w:t>US$</w:t>
      </w:r>
      <w:r w:rsidRPr="00F70296">
        <w:rPr>
          <w:rFonts w:cs="Times New Roman"/>
          <w:sz w:val="22"/>
        </w:rPr>
        <w:t>4,685.</w:t>
      </w:r>
      <w:r w:rsidR="00786508">
        <w:rPr>
          <w:rFonts w:cs="Times New Roman"/>
          <w:sz w:val="22"/>
        </w:rPr>
        <w:t xml:space="preserve"> </w:t>
      </w:r>
      <w:r w:rsidRPr="00F70296">
        <w:rPr>
          <w:rFonts w:cs="Times New Roman"/>
          <w:sz w:val="22"/>
        </w:rPr>
        <w:t xml:space="preserve">To import a similar container requires 12 documents, 69 days, and </w:t>
      </w:r>
      <w:r w:rsidR="00DE7230" w:rsidRPr="00F70296">
        <w:rPr>
          <w:rFonts w:cs="Times New Roman"/>
          <w:sz w:val="22"/>
        </w:rPr>
        <w:t xml:space="preserve">costs </w:t>
      </w:r>
      <w:r w:rsidR="00DE7230">
        <w:rPr>
          <w:rFonts w:cs="Times New Roman"/>
          <w:sz w:val="22"/>
        </w:rPr>
        <w:t>US$</w:t>
      </w:r>
      <w:r w:rsidRPr="00F70296">
        <w:rPr>
          <w:rFonts w:cs="Times New Roman"/>
          <w:sz w:val="22"/>
        </w:rPr>
        <w:t>4,665.</w:t>
      </w:r>
      <w:r w:rsidR="00786508">
        <w:rPr>
          <w:rFonts w:cs="Times New Roman"/>
          <w:sz w:val="22"/>
        </w:rPr>
        <w:t xml:space="preserve"> </w:t>
      </w:r>
      <w:r w:rsidRPr="00F70296">
        <w:rPr>
          <w:rFonts w:cs="Times New Roman"/>
          <w:sz w:val="22"/>
        </w:rPr>
        <w:t xml:space="preserve">The cost of importing and exporting has risen from </w:t>
      </w:r>
      <w:r w:rsidR="00DE7230">
        <w:rPr>
          <w:rFonts w:cs="Times New Roman"/>
          <w:sz w:val="22"/>
        </w:rPr>
        <w:t>US$</w:t>
      </w:r>
      <w:r w:rsidRPr="00F70296">
        <w:rPr>
          <w:rFonts w:cs="Times New Roman"/>
          <w:sz w:val="22"/>
        </w:rPr>
        <w:t xml:space="preserve">3,005 in 2011 to </w:t>
      </w:r>
      <w:r w:rsidR="00DE7230">
        <w:rPr>
          <w:rFonts w:cs="Times New Roman"/>
          <w:sz w:val="22"/>
        </w:rPr>
        <w:t>US$</w:t>
      </w:r>
      <w:r w:rsidRPr="00F70296">
        <w:rPr>
          <w:rFonts w:cs="Times New Roman"/>
          <w:sz w:val="22"/>
        </w:rPr>
        <w:t>4,685 in 2013, an increase of 56 percent.</w:t>
      </w:r>
      <w:r w:rsidR="00786508">
        <w:rPr>
          <w:rFonts w:cs="Times New Roman"/>
          <w:sz w:val="22"/>
        </w:rPr>
        <w:t xml:space="preserve"> </w:t>
      </w:r>
      <w:r w:rsidRPr="00F70296">
        <w:rPr>
          <w:rFonts w:cs="Times New Roman"/>
          <w:sz w:val="22"/>
        </w:rPr>
        <w:t xml:space="preserve">The Customs Union is supposed to lower these border costs, at least for internal trade between union members. In theory, the pact should create a “border free” economic area, where people and goods flow as easily between countries as they do between regions. However, the unification of the standards and procedures for quality control and inspection within the Customs </w:t>
      </w:r>
      <w:r w:rsidR="004C1B07">
        <w:rPr>
          <w:rFonts w:cs="Times New Roman"/>
          <w:sz w:val="22"/>
        </w:rPr>
        <w:t>U</w:t>
      </w:r>
      <w:r w:rsidRPr="00F70296">
        <w:rPr>
          <w:rFonts w:cs="Times New Roman"/>
          <w:sz w:val="22"/>
        </w:rPr>
        <w:t>nion are still being worked out.</w:t>
      </w:r>
      <w:r w:rsidR="00786508">
        <w:rPr>
          <w:rFonts w:cs="Times New Roman"/>
          <w:sz w:val="22"/>
        </w:rPr>
        <w:t xml:space="preserve"> </w:t>
      </w:r>
      <w:r w:rsidRPr="00F70296">
        <w:rPr>
          <w:rFonts w:cs="Times New Roman"/>
          <w:sz w:val="22"/>
        </w:rPr>
        <w:t>Currently and during the transition period, trade between Kazakhstan and Russia is still affected by extensive regulations, procedures, documentation and testing, which causes delays and increases prices.</w:t>
      </w:r>
      <w:r>
        <w:rPr>
          <w:rFonts w:cs="Times New Roman"/>
          <w:sz w:val="22"/>
        </w:rPr>
        <w:t xml:space="preserve"> </w:t>
      </w:r>
      <w:r w:rsidRPr="00A73C75">
        <w:rPr>
          <w:rFonts w:cs="Times New Roman"/>
          <w:sz w:val="22"/>
        </w:rPr>
        <w:t>In this light, a one third improvement in border costs would lead to noticeable gains to the economy by 2020.</w:t>
      </w:r>
      <w:r w:rsidR="00786508">
        <w:rPr>
          <w:rFonts w:cs="Times New Roman"/>
          <w:sz w:val="22"/>
        </w:rPr>
        <w:t xml:space="preserve"> </w:t>
      </w:r>
      <w:r w:rsidRPr="00F70296">
        <w:rPr>
          <w:rFonts w:cs="Times New Roman"/>
          <w:sz w:val="22"/>
        </w:rPr>
        <w:t>Welfare would improve by 1.9</w:t>
      </w:r>
      <w:r>
        <w:rPr>
          <w:rFonts w:cs="Times New Roman"/>
          <w:sz w:val="22"/>
        </w:rPr>
        <w:t> </w:t>
      </w:r>
      <w:r w:rsidRPr="00F70296">
        <w:rPr>
          <w:rFonts w:cs="Times New Roman"/>
          <w:sz w:val="22"/>
        </w:rPr>
        <w:t>percent of consumption by 2020 (0.9 percent of GDP).</w:t>
      </w:r>
      <w:r w:rsidR="00786508">
        <w:rPr>
          <w:rFonts w:cs="Times New Roman"/>
          <w:sz w:val="22"/>
        </w:rPr>
        <w:t xml:space="preserve"> </w:t>
      </w:r>
      <w:r w:rsidRPr="00F70296">
        <w:rPr>
          <w:rFonts w:cs="Times New Roman"/>
          <w:sz w:val="22"/>
        </w:rPr>
        <w:t>Aggregate exports will rise by 2.3 percent due to the trade facilitation efforts, compared to the initial gains of 0.7 percent in the baseline scenario.</w:t>
      </w:r>
      <w:r w:rsidR="00786508">
        <w:rPr>
          <w:rFonts w:cs="Times New Roman"/>
          <w:sz w:val="22"/>
        </w:rPr>
        <w:t xml:space="preserve"> </w:t>
      </w:r>
      <w:r w:rsidRPr="00F70296">
        <w:rPr>
          <w:rFonts w:cs="Times New Roman"/>
          <w:sz w:val="22"/>
        </w:rPr>
        <w:t>Capital and labor earnings will be a solid 1.1 percent and 1.8 percent, compared to 0.5 percent and 0.6 percent in the baseline scenario.</w:t>
      </w:r>
    </w:p>
    <w:p w:rsidR="00D13D9D" w:rsidRPr="00D13D9D" w:rsidRDefault="00BA5689" w:rsidP="007951C7">
      <w:pPr>
        <w:pStyle w:val="Heading2"/>
      </w:pPr>
      <w:bookmarkStart w:id="28" w:name="_Toc371607425"/>
      <w:bookmarkStart w:id="29" w:name="_Toc378151201"/>
      <w:r>
        <w:t xml:space="preserve">Joining </w:t>
      </w:r>
      <w:r w:rsidR="005F2099">
        <w:t xml:space="preserve">the </w:t>
      </w:r>
      <w:r>
        <w:t xml:space="preserve">WTO </w:t>
      </w:r>
      <w:bookmarkEnd w:id="28"/>
      <w:r w:rsidR="00940E24">
        <w:t>i</w:t>
      </w:r>
      <w:r w:rsidR="00FD5DBC">
        <w:t xml:space="preserve">s </w:t>
      </w:r>
      <w:r w:rsidR="00FD5DBC" w:rsidRPr="007951C7">
        <w:t>Expected</w:t>
      </w:r>
      <w:r w:rsidR="00FD5DBC">
        <w:t xml:space="preserve"> to </w:t>
      </w:r>
      <w:r w:rsidR="00F9391C">
        <w:t xml:space="preserve">Return </w:t>
      </w:r>
      <w:r w:rsidR="00D13D9D">
        <w:t xml:space="preserve">Sourcing </w:t>
      </w:r>
      <w:r w:rsidR="00940E24">
        <w:t>of Intermediate</w:t>
      </w:r>
      <w:r w:rsidR="00D13D9D">
        <w:t xml:space="preserve"> Input</w:t>
      </w:r>
      <w:r w:rsidR="00F9391C">
        <w:t>s</w:t>
      </w:r>
      <w:r w:rsidR="00FC7BCA">
        <w:t xml:space="preserve"> </w:t>
      </w:r>
      <w:r w:rsidR="00D13D9D">
        <w:t xml:space="preserve">to </w:t>
      </w:r>
      <w:r w:rsidR="007951C7">
        <w:br/>
      </w:r>
      <w:r w:rsidR="00D13D9D">
        <w:t>Pre-CU Patterns</w:t>
      </w:r>
      <w:bookmarkEnd w:id="29"/>
    </w:p>
    <w:p w:rsidR="00C763F9" w:rsidRDefault="00ED6340" w:rsidP="00FD5DBC">
      <w:pPr>
        <w:pStyle w:val="ListParagraph"/>
        <w:numPr>
          <w:ilvl w:val="0"/>
          <w:numId w:val="1"/>
        </w:numPr>
        <w:tabs>
          <w:tab w:val="left" w:pos="720"/>
        </w:tabs>
        <w:spacing w:line="240" w:lineRule="auto"/>
        <w:ind w:left="0" w:firstLine="0"/>
        <w:contextualSpacing w:val="0"/>
        <w:rPr>
          <w:rFonts w:cs="Times New Roman"/>
          <w:sz w:val="22"/>
        </w:rPr>
      </w:pPr>
      <w:r>
        <w:rPr>
          <w:rFonts w:cs="Times New Roman"/>
          <w:b/>
          <w:sz w:val="22"/>
        </w:rPr>
        <w:t>T</w:t>
      </w:r>
      <w:r w:rsidR="00FD5DBC">
        <w:rPr>
          <w:rFonts w:cs="Times New Roman"/>
          <w:b/>
          <w:sz w:val="22"/>
        </w:rPr>
        <w:t>he sourcing of intermediate input and its effect on productivity growth</w:t>
      </w:r>
      <w:r>
        <w:rPr>
          <w:rFonts w:cs="Times New Roman"/>
          <w:b/>
          <w:sz w:val="22"/>
        </w:rPr>
        <w:t xml:space="preserve"> are important</w:t>
      </w:r>
      <w:r w:rsidR="00FD5DBC">
        <w:rPr>
          <w:rFonts w:cs="Times New Roman"/>
          <w:b/>
          <w:sz w:val="22"/>
        </w:rPr>
        <w:t>.</w:t>
      </w:r>
      <w:r w:rsidR="00786508">
        <w:rPr>
          <w:rFonts w:cs="Times New Roman"/>
          <w:b/>
          <w:sz w:val="22"/>
        </w:rPr>
        <w:t xml:space="preserve"> </w:t>
      </w:r>
      <w:r w:rsidR="00FD5DBC" w:rsidRPr="00067F51">
        <w:rPr>
          <w:rFonts w:cs="Times New Roman"/>
          <w:sz w:val="22"/>
        </w:rPr>
        <w:t xml:space="preserve">Access to low-cost, high-quality inputs is of critical importance </w:t>
      </w:r>
      <w:r>
        <w:rPr>
          <w:rFonts w:cs="Times New Roman"/>
          <w:sz w:val="22"/>
        </w:rPr>
        <w:t xml:space="preserve">to </w:t>
      </w:r>
      <w:r w:rsidR="00FD5DBC" w:rsidRPr="00067F51">
        <w:rPr>
          <w:rFonts w:cs="Times New Roman"/>
          <w:sz w:val="22"/>
        </w:rPr>
        <w:t>increasing the quality and sophistication of Kazakhstan’s exports. Economic theory sugges</w:t>
      </w:r>
      <w:r w:rsidR="00FD5DBC">
        <w:rPr>
          <w:rFonts w:cs="Times New Roman"/>
          <w:sz w:val="22"/>
        </w:rPr>
        <w:t>ts that intermediate imports</w:t>
      </w:r>
      <w:r w:rsidR="00FD5DBC" w:rsidRPr="00067F51">
        <w:rPr>
          <w:rFonts w:cs="Times New Roman"/>
          <w:sz w:val="22"/>
        </w:rPr>
        <w:t xml:space="preserve"> have an effect on exports because they affect firms’ productivity levels.</w:t>
      </w:r>
      <w:r w:rsidR="00FD5DBC">
        <w:rPr>
          <w:rStyle w:val="FootnoteReference"/>
          <w:sz w:val="22"/>
        </w:rPr>
        <w:footnoteReference w:id="10"/>
      </w:r>
      <w:r w:rsidR="00FD5DBC" w:rsidRPr="001B1D03">
        <w:rPr>
          <w:rFonts w:cs="Times New Roman"/>
          <w:sz w:val="22"/>
        </w:rPr>
        <w:t xml:space="preserve"> </w:t>
      </w:r>
      <w:r w:rsidR="001B1D03" w:rsidRPr="00FD5DBC">
        <w:rPr>
          <w:rFonts w:cs="Times New Roman"/>
          <w:sz w:val="22"/>
        </w:rPr>
        <w:t>As of mid- 2011, t</w:t>
      </w:r>
      <w:r w:rsidR="00D13D9D" w:rsidRPr="00FD5DBC">
        <w:rPr>
          <w:rFonts w:cs="Times New Roman"/>
          <w:sz w:val="22"/>
        </w:rPr>
        <w:t xml:space="preserve">he </w:t>
      </w:r>
      <w:r w:rsidR="004C1B07">
        <w:rPr>
          <w:rFonts w:cs="Times New Roman"/>
          <w:sz w:val="22"/>
        </w:rPr>
        <w:t>C</w:t>
      </w:r>
      <w:r w:rsidR="00C763F9" w:rsidRPr="00FD5DBC">
        <w:rPr>
          <w:rFonts w:cs="Times New Roman"/>
          <w:sz w:val="22"/>
        </w:rPr>
        <w:t xml:space="preserve">ustoms </w:t>
      </w:r>
      <w:r w:rsidR="004C1B07">
        <w:rPr>
          <w:rFonts w:cs="Times New Roman"/>
          <w:sz w:val="22"/>
        </w:rPr>
        <w:t>U</w:t>
      </w:r>
      <w:r w:rsidR="00C763F9" w:rsidRPr="00FD5DBC">
        <w:rPr>
          <w:rFonts w:cs="Times New Roman"/>
          <w:sz w:val="22"/>
        </w:rPr>
        <w:t xml:space="preserve">nion’s common </w:t>
      </w:r>
      <w:r w:rsidR="000D2FD6" w:rsidRPr="00FD5DBC">
        <w:rPr>
          <w:rFonts w:cs="Times New Roman"/>
          <w:sz w:val="22"/>
        </w:rPr>
        <w:t xml:space="preserve">external </w:t>
      </w:r>
      <w:r w:rsidR="00C763F9" w:rsidRPr="00FD5DBC">
        <w:rPr>
          <w:rFonts w:cs="Times New Roman"/>
          <w:sz w:val="22"/>
        </w:rPr>
        <w:t xml:space="preserve">tariffs </w:t>
      </w:r>
      <w:r w:rsidR="001B1D03" w:rsidRPr="00FD5DBC">
        <w:rPr>
          <w:rFonts w:cs="Times New Roman"/>
          <w:sz w:val="22"/>
        </w:rPr>
        <w:t>c</w:t>
      </w:r>
      <w:r w:rsidR="00C763F9" w:rsidRPr="00FD5DBC">
        <w:rPr>
          <w:rFonts w:cs="Times New Roman"/>
          <w:sz w:val="22"/>
        </w:rPr>
        <w:t xml:space="preserve">aused diversion of intermediate input </w:t>
      </w:r>
      <w:r w:rsidR="00D13D9D" w:rsidRPr="00FD5DBC">
        <w:rPr>
          <w:rFonts w:cs="Times New Roman"/>
          <w:sz w:val="22"/>
        </w:rPr>
        <w:t>sourcing toward its members</w:t>
      </w:r>
      <w:r w:rsidR="00FD5DBC">
        <w:rPr>
          <w:rFonts w:cs="Times New Roman"/>
          <w:sz w:val="22"/>
        </w:rPr>
        <w:t xml:space="preserve"> and away from EU but also China</w:t>
      </w:r>
      <w:r w:rsidR="00D13D9D" w:rsidRPr="00FD5DBC">
        <w:rPr>
          <w:rFonts w:cs="Times New Roman"/>
          <w:sz w:val="22"/>
        </w:rPr>
        <w:t>.</w:t>
      </w:r>
      <w:r w:rsidR="00786508">
        <w:rPr>
          <w:rFonts w:cs="Times New Roman"/>
          <w:sz w:val="22"/>
        </w:rPr>
        <w:t xml:space="preserve"> </w:t>
      </w:r>
      <w:r w:rsidR="00D13D9D" w:rsidRPr="00FD5DBC">
        <w:rPr>
          <w:rFonts w:cs="Times New Roman"/>
          <w:sz w:val="22"/>
        </w:rPr>
        <w:t xml:space="preserve">This had raised early concerns that if imports from CU contained less knowledge, it may have </w:t>
      </w:r>
      <w:r w:rsidR="00C763F9" w:rsidRPr="00FD5DBC">
        <w:rPr>
          <w:rFonts w:cs="Times New Roman"/>
          <w:sz w:val="22"/>
        </w:rPr>
        <w:t>potential long term effect on the competitiveness of Kazakh</w:t>
      </w:r>
      <w:r w:rsidR="00067687" w:rsidRPr="00FD5DBC">
        <w:rPr>
          <w:rFonts w:cs="Times New Roman"/>
          <w:sz w:val="22"/>
        </w:rPr>
        <w:t>s</w:t>
      </w:r>
      <w:r w:rsidR="00C763F9" w:rsidRPr="00FD5DBC">
        <w:rPr>
          <w:rFonts w:cs="Times New Roman"/>
          <w:sz w:val="22"/>
        </w:rPr>
        <w:t>tan’s manufacturers</w:t>
      </w:r>
      <w:r w:rsidR="00C763F9" w:rsidRPr="00FD5DBC">
        <w:rPr>
          <w:rFonts w:cs="Times New Roman"/>
          <w:i/>
          <w:sz w:val="22"/>
        </w:rPr>
        <w:t>.</w:t>
      </w:r>
      <w:r w:rsidR="00786508">
        <w:rPr>
          <w:rFonts w:cs="Times New Roman"/>
          <w:sz w:val="22"/>
        </w:rPr>
        <w:t xml:space="preserve"> </w:t>
      </w:r>
    </w:p>
    <w:p w:rsidR="00E01590" w:rsidRDefault="00F9391C" w:rsidP="00711E85">
      <w:pPr>
        <w:pStyle w:val="ListParagraph"/>
        <w:numPr>
          <w:ilvl w:val="0"/>
          <w:numId w:val="1"/>
        </w:numPr>
        <w:tabs>
          <w:tab w:val="left" w:pos="720"/>
        </w:tabs>
        <w:spacing w:line="240" w:lineRule="auto"/>
        <w:ind w:left="0" w:firstLine="0"/>
        <w:contextualSpacing w:val="0"/>
        <w:rPr>
          <w:rFonts w:cs="Times New Roman"/>
          <w:sz w:val="22"/>
        </w:rPr>
      </w:pPr>
      <w:r>
        <w:rPr>
          <w:rFonts w:cs="Times New Roman"/>
          <w:b/>
          <w:sz w:val="22"/>
        </w:rPr>
        <w:t>D</w:t>
      </w:r>
      <w:r w:rsidR="000D2FD6">
        <w:rPr>
          <w:rFonts w:cs="Times New Roman"/>
          <w:b/>
          <w:sz w:val="22"/>
        </w:rPr>
        <w:t>ata analysis</w:t>
      </w:r>
      <w:r w:rsidR="00AB680F" w:rsidRPr="00C22BC8">
        <w:rPr>
          <w:rFonts w:cs="Times New Roman"/>
          <w:b/>
          <w:sz w:val="22"/>
        </w:rPr>
        <w:t xml:space="preserve"> suggests that </w:t>
      </w:r>
      <w:r>
        <w:rPr>
          <w:rFonts w:cs="Times New Roman"/>
          <w:b/>
          <w:sz w:val="22"/>
        </w:rPr>
        <w:t xml:space="preserve">by the end of 2012, </w:t>
      </w:r>
      <w:r w:rsidR="00AB680F" w:rsidRPr="00C22BC8">
        <w:rPr>
          <w:rFonts w:cs="Times New Roman"/>
          <w:b/>
          <w:sz w:val="22"/>
        </w:rPr>
        <w:t xml:space="preserve">there </w:t>
      </w:r>
      <w:r w:rsidR="00B54B9A">
        <w:rPr>
          <w:rFonts w:cs="Times New Roman"/>
          <w:b/>
          <w:sz w:val="22"/>
        </w:rPr>
        <w:t>was</w:t>
      </w:r>
      <w:r w:rsidR="000D2FD6" w:rsidRPr="00C22BC8">
        <w:rPr>
          <w:rFonts w:cs="Times New Roman"/>
          <w:b/>
          <w:sz w:val="22"/>
        </w:rPr>
        <w:t xml:space="preserve"> </w:t>
      </w:r>
      <w:r w:rsidR="00AB680F" w:rsidRPr="00C22BC8">
        <w:rPr>
          <w:rFonts w:cs="Times New Roman"/>
          <w:b/>
          <w:sz w:val="22"/>
        </w:rPr>
        <w:t>a rebalancing of Kazakhstan’s intermediate imports</w:t>
      </w:r>
      <w:r w:rsidR="00AB680F">
        <w:rPr>
          <w:rFonts w:cs="Times New Roman"/>
          <w:b/>
          <w:sz w:val="22"/>
        </w:rPr>
        <w:t>.</w:t>
      </w:r>
      <w:r w:rsidR="00786508">
        <w:rPr>
          <w:rFonts w:cs="Times New Roman"/>
          <w:b/>
          <w:sz w:val="22"/>
        </w:rPr>
        <w:t xml:space="preserve"> </w:t>
      </w:r>
      <w:r w:rsidR="00AB680F" w:rsidRPr="00B215E9">
        <w:rPr>
          <w:rFonts w:cs="Times New Roman"/>
          <w:sz w:val="22"/>
        </w:rPr>
        <w:t>This is in line with the evolution of general trade discussed above</w:t>
      </w:r>
      <w:r w:rsidR="00AB680F" w:rsidRPr="00AF49FA">
        <w:rPr>
          <w:rFonts w:cs="Times New Roman"/>
          <w:sz w:val="22"/>
        </w:rPr>
        <w:t>.</w:t>
      </w:r>
      <w:r w:rsidR="00786508">
        <w:rPr>
          <w:rFonts w:cs="Times New Roman"/>
          <w:sz w:val="22"/>
        </w:rPr>
        <w:t xml:space="preserve"> </w:t>
      </w:r>
      <w:r w:rsidR="00AB680F" w:rsidRPr="00C22BC8">
        <w:rPr>
          <w:rFonts w:cs="Times New Roman"/>
          <w:sz w:val="22"/>
        </w:rPr>
        <w:t xml:space="preserve">EU27 appears to still be losing ground, but not </w:t>
      </w:r>
      <w:r w:rsidR="00AB680F">
        <w:rPr>
          <w:rFonts w:cs="Times New Roman"/>
          <w:sz w:val="22"/>
        </w:rPr>
        <w:t xml:space="preserve">just </w:t>
      </w:r>
      <w:r w:rsidR="00AB680F" w:rsidRPr="00C22BC8">
        <w:rPr>
          <w:rFonts w:cs="Times New Roman"/>
          <w:sz w:val="22"/>
        </w:rPr>
        <w:t>in favor of CU partners, rather, in favor of China, non-CU CIS and North America and the rest of Asia</w:t>
      </w:r>
      <w:r w:rsidR="00AB680F" w:rsidRPr="00B54B9A">
        <w:rPr>
          <w:rFonts w:cs="Times New Roman"/>
          <w:sz w:val="22"/>
        </w:rPr>
        <w:t>.</w:t>
      </w:r>
      <w:r w:rsidR="00786508" w:rsidRPr="00B54B9A">
        <w:rPr>
          <w:rFonts w:cs="Times New Roman"/>
          <w:sz w:val="22"/>
        </w:rPr>
        <w:t xml:space="preserve"> </w:t>
      </w:r>
      <w:r w:rsidR="00B54B9A">
        <w:rPr>
          <w:rFonts w:cs="Times New Roman"/>
          <w:sz w:val="22"/>
        </w:rPr>
        <w:t>This should give</w:t>
      </w:r>
      <w:r w:rsidR="00AB680F" w:rsidRPr="001B1BC0">
        <w:rPr>
          <w:rFonts w:cs="Times New Roman"/>
          <w:sz w:val="22"/>
        </w:rPr>
        <w:t xml:space="preserve"> Kazakhstan</w:t>
      </w:r>
      <w:r w:rsidR="00B54B9A">
        <w:rPr>
          <w:rFonts w:cs="Times New Roman"/>
          <w:sz w:val="22"/>
        </w:rPr>
        <w:t>i</w:t>
      </w:r>
      <w:r w:rsidR="00AB680F" w:rsidRPr="001B1BC0">
        <w:rPr>
          <w:rFonts w:cs="Times New Roman"/>
          <w:sz w:val="22"/>
        </w:rPr>
        <w:t xml:space="preserve"> producers the opportunity to benefit from a </w:t>
      </w:r>
      <w:r w:rsidR="00AB680F" w:rsidRPr="001B1BC0">
        <w:rPr>
          <w:rFonts w:cs="Times New Roman"/>
          <w:sz w:val="22"/>
        </w:rPr>
        <w:lastRenderedPageBreak/>
        <w:t>wider variety of knowledge rich technologies to improve their productivity and competitiveness.</w:t>
      </w:r>
      <w:r w:rsidR="00786508">
        <w:rPr>
          <w:rFonts w:cs="Times New Roman"/>
          <w:sz w:val="22"/>
        </w:rPr>
        <w:t xml:space="preserve"> </w:t>
      </w:r>
      <w:r w:rsidR="00AB680F" w:rsidRPr="001B1BC0">
        <w:rPr>
          <w:rFonts w:cs="Times New Roman"/>
          <w:sz w:val="22"/>
        </w:rPr>
        <w:t>Nonetheless, it will be important for the authorities to revisit this topic on a regular basis to ensure that this diversity is protected.</w:t>
      </w:r>
      <w:r w:rsidR="00786508">
        <w:rPr>
          <w:rFonts w:cs="Times New Roman"/>
          <w:sz w:val="22"/>
        </w:rPr>
        <w:t xml:space="preserve"> </w:t>
      </w:r>
      <w:r w:rsidR="00AB680F" w:rsidRPr="001B1BC0">
        <w:rPr>
          <w:rFonts w:cs="Times New Roman"/>
          <w:sz w:val="22"/>
        </w:rPr>
        <w:t>This may involve looking at CU wide non-tariff measures such as technical regulations that could make intermediate imports from non-CU members un-necessarily costly.</w:t>
      </w:r>
      <w:r w:rsidR="00786508">
        <w:rPr>
          <w:rFonts w:cs="Times New Roman"/>
          <w:sz w:val="22"/>
        </w:rPr>
        <w:t xml:space="preserve"> </w:t>
      </w:r>
      <w:r w:rsidR="00AB680F" w:rsidRPr="001B1BC0">
        <w:rPr>
          <w:rFonts w:cs="Times New Roman"/>
          <w:sz w:val="22"/>
        </w:rPr>
        <w:t>Furthermore, the general trade trends discussed earlier suggested a rebalancing of import from EU partners to China dating back to 2005 and speeding up after 2010.</w:t>
      </w:r>
      <w:r w:rsidR="00786508">
        <w:rPr>
          <w:rFonts w:cs="Times New Roman"/>
          <w:sz w:val="22"/>
        </w:rPr>
        <w:t xml:space="preserve"> </w:t>
      </w:r>
      <w:r w:rsidR="00AB680F" w:rsidRPr="001B1BC0">
        <w:rPr>
          <w:rFonts w:cs="Times New Roman"/>
          <w:sz w:val="22"/>
        </w:rPr>
        <w:t xml:space="preserve">While this shift is not discernible </w:t>
      </w:r>
      <w:r w:rsidR="00AB680F" w:rsidRPr="00BE277F">
        <w:rPr>
          <w:rFonts w:cs="Times New Roman"/>
          <w:sz w:val="22"/>
        </w:rPr>
        <w:t xml:space="preserve">in </w:t>
      </w:r>
      <w:r w:rsidR="00AB680F" w:rsidRPr="00464AA4">
        <w:rPr>
          <w:sz w:val="22"/>
        </w:rPr>
        <w:t xml:space="preserve">Table </w:t>
      </w:r>
      <w:r w:rsidR="00711E85">
        <w:rPr>
          <w:sz w:val="22"/>
        </w:rPr>
        <w:t>9</w:t>
      </w:r>
      <w:r w:rsidR="00BE277F">
        <w:rPr>
          <w:sz w:val="22"/>
        </w:rPr>
        <w:t>,</w:t>
      </w:r>
      <w:r w:rsidR="00880F6A" w:rsidRPr="00464AA4">
        <w:rPr>
          <w:sz w:val="22"/>
        </w:rPr>
        <w:t xml:space="preserve"> </w:t>
      </w:r>
      <w:r w:rsidR="00AB680F" w:rsidRPr="00BE277F">
        <w:rPr>
          <w:rFonts w:cs="Times New Roman"/>
          <w:sz w:val="22"/>
        </w:rPr>
        <w:t>it</w:t>
      </w:r>
      <w:r w:rsidR="00AB680F" w:rsidRPr="001B1BC0">
        <w:rPr>
          <w:rFonts w:cs="Times New Roman"/>
          <w:sz w:val="22"/>
        </w:rPr>
        <w:t xml:space="preserve"> will be useful to keep a careful eye on such shifts in suppliers as the knowledge content of their products</w:t>
      </w:r>
      <w:r w:rsidR="00AB680F" w:rsidRPr="00C22BC8">
        <w:rPr>
          <w:rFonts w:cs="Times New Roman"/>
          <w:sz w:val="22"/>
        </w:rPr>
        <w:t xml:space="preserve"> may be different, and affect </w:t>
      </w:r>
      <w:r w:rsidR="0046751F">
        <w:rPr>
          <w:rFonts w:cs="Times New Roman"/>
          <w:sz w:val="22"/>
        </w:rPr>
        <w:t xml:space="preserve">Kazakhstani </w:t>
      </w:r>
      <w:r w:rsidR="00AB680F" w:rsidRPr="00C22BC8">
        <w:rPr>
          <w:rFonts w:cs="Times New Roman"/>
          <w:sz w:val="22"/>
        </w:rPr>
        <w:t>producers differentl</w:t>
      </w:r>
      <w:r w:rsidR="00E01590">
        <w:rPr>
          <w:rFonts w:cs="Times New Roman"/>
          <w:sz w:val="22"/>
        </w:rPr>
        <w:t>y</w:t>
      </w:r>
      <w:r w:rsidR="00AB680F" w:rsidRPr="00C22BC8">
        <w:rPr>
          <w:rFonts w:cs="Times New Roman"/>
          <w:sz w:val="22"/>
        </w:rPr>
        <w:t>.</w:t>
      </w:r>
      <w:r w:rsidR="00E01590">
        <w:rPr>
          <w:rFonts w:cs="Times New Roman"/>
          <w:sz w:val="22"/>
        </w:rPr>
        <w:t xml:space="preserve"> </w:t>
      </w:r>
    </w:p>
    <w:tbl>
      <w:tblPr>
        <w:tblW w:w="8288" w:type="dxa"/>
        <w:jc w:val="center"/>
        <w:tblLayout w:type="fixed"/>
        <w:tblLook w:val="04A0" w:firstRow="1" w:lastRow="0" w:firstColumn="1" w:lastColumn="0" w:noHBand="0" w:noVBand="1"/>
      </w:tblPr>
      <w:tblGrid>
        <w:gridCol w:w="3303"/>
        <w:gridCol w:w="830"/>
        <w:gridCol w:w="831"/>
        <w:gridCol w:w="831"/>
        <w:gridCol w:w="831"/>
        <w:gridCol w:w="831"/>
        <w:gridCol w:w="831"/>
      </w:tblGrid>
      <w:tr w:rsidR="00AB680F" w:rsidRPr="009B29A9" w:rsidTr="00D77BE1">
        <w:trPr>
          <w:trHeight w:val="315"/>
          <w:jc w:val="center"/>
        </w:trPr>
        <w:tc>
          <w:tcPr>
            <w:tcW w:w="8288" w:type="dxa"/>
            <w:gridSpan w:val="7"/>
            <w:tcBorders>
              <w:bottom w:val="single" w:sz="4" w:space="0" w:color="auto"/>
            </w:tcBorders>
            <w:shd w:val="clear" w:color="auto" w:fill="auto"/>
            <w:noWrap/>
            <w:vAlign w:val="bottom"/>
          </w:tcPr>
          <w:p w:rsidR="00AB680F" w:rsidRDefault="00942E59" w:rsidP="00F22C6E">
            <w:pPr>
              <w:pStyle w:val="Caption"/>
              <w:rPr>
                <w:rFonts w:eastAsia="Times New Roman"/>
              </w:rPr>
            </w:pPr>
            <w:bookmarkStart w:id="30" w:name="_Toc378151217"/>
            <w:r>
              <w:t xml:space="preserve">Table </w:t>
            </w:r>
            <w:fldSimple w:instr=" SEQ Table \* ARABIC ">
              <w:r w:rsidR="0056192E">
                <w:rPr>
                  <w:noProof/>
                </w:rPr>
                <w:t>9</w:t>
              </w:r>
            </w:fldSimple>
            <w:r w:rsidR="00D77BE1">
              <w:t xml:space="preserve">: </w:t>
            </w:r>
            <w:r w:rsidR="00AB680F" w:rsidRPr="005E706C">
              <w:rPr>
                <w:rFonts w:eastAsia="Times New Roman"/>
              </w:rPr>
              <w:t>Kazakhstan's</w:t>
            </w:r>
            <w:r w:rsidR="00AB680F">
              <w:rPr>
                <w:rFonts w:eastAsia="Times New Roman"/>
              </w:rPr>
              <w:t xml:space="preserve"> </w:t>
            </w:r>
            <w:r w:rsidR="00FC3281">
              <w:rPr>
                <w:rFonts w:eastAsia="Times New Roman"/>
              </w:rPr>
              <w:t>Intermediate Imports by M</w:t>
            </w:r>
            <w:r w:rsidR="00FC3281" w:rsidRPr="005E706C">
              <w:rPr>
                <w:rFonts w:eastAsia="Times New Roman"/>
              </w:rPr>
              <w:t>arket</w:t>
            </w:r>
            <w:bookmarkEnd w:id="30"/>
          </w:p>
          <w:p w:rsidR="00F1420C" w:rsidRPr="00F1420C" w:rsidRDefault="00F1420C" w:rsidP="00D77BE1">
            <w:pPr>
              <w:spacing w:after="60" w:line="240" w:lineRule="auto"/>
              <w:jc w:val="center"/>
              <w:rPr>
                <w:sz w:val="20"/>
                <w:szCs w:val="20"/>
              </w:rPr>
            </w:pPr>
            <w:r>
              <w:rPr>
                <w:sz w:val="20"/>
                <w:szCs w:val="20"/>
              </w:rPr>
              <w:t xml:space="preserve">(Share, </w:t>
            </w:r>
            <w:r w:rsidRPr="00F1420C">
              <w:rPr>
                <w:sz w:val="20"/>
                <w:szCs w:val="20"/>
              </w:rPr>
              <w:t>in percent)</w:t>
            </w:r>
          </w:p>
        </w:tc>
      </w:tr>
      <w:tr w:rsidR="00AB680F" w:rsidRPr="009B29A9" w:rsidTr="00D77BE1">
        <w:trPr>
          <w:trHeight w:val="315"/>
          <w:jc w:val="center"/>
        </w:trPr>
        <w:tc>
          <w:tcPr>
            <w:tcW w:w="3303" w:type="dxa"/>
            <w:tcBorders>
              <w:top w:val="single" w:sz="4" w:space="0" w:color="auto"/>
              <w:bottom w:val="single" w:sz="4" w:space="0" w:color="auto"/>
            </w:tcBorders>
            <w:shd w:val="clear" w:color="auto" w:fill="auto"/>
            <w:noWrap/>
            <w:vAlign w:val="bottom"/>
            <w:hideMark/>
          </w:tcPr>
          <w:p w:rsidR="00AB680F" w:rsidRPr="00F1420C" w:rsidRDefault="00F1420C" w:rsidP="008A48B2">
            <w:pPr>
              <w:spacing w:before="60" w:after="60" w:line="240" w:lineRule="auto"/>
              <w:rPr>
                <w:rFonts w:eastAsia="Times New Roman" w:cs="Times New Roman"/>
                <w:color w:val="000000"/>
                <w:sz w:val="20"/>
                <w:szCs w:val="20"/>
              </w:rPr>
            </w:pPr>
            <w:r w:rsidRPr="00F1420C">
              <w:rPr>
                <w:rFonts w:eastAsia="Times New Roman"/>
                <w:sz w:val="20"/>
                <w:szCs w:val="20"/>
              </w:rPr>
              <w:t>Intermediate imports (BEC)</w:t>
            </w:r>
          </w:p>
        </w:tc>
        <w:tc>
          <w:tcPr>
            <w:tcW w:w="830" w:type="dxa"/>
            <w:tcBorders>
              <w:top w:val="single" w:sz="4" w:space="0" w:color="auto"/>
              <w:bottom w:val="single" w:sz="4" w:space="0" w:color="auto"/>
            </w:tcBorders>
            <w:shd w:val="clear" w:color="auto" w:fill="auto"/>
            <w:noWrap/>
            <w:vAlign w:val="bottom"/>
            <w:hideMark/>
          </w:tcPr>
          <w:p w:rsidR="00AB680F" w:rsidRPr="00D25311" w:rsidRDefault="00AB680F" w:rsidP="008A48B2">
            <w:pPr>
              <w:spacing w:before="60" w:after="60" w:line="240" w:lineRule="auto"/>
              <w:jc w:val="right"/>
              <w:rPr>
                <w:rFonts w:eastAsia="Times New Roman" w:cs="Times New Roman"/>
                <w:bCs/>
                <w:color w:val="000000"/>
                <w:sz w:val="20"/>
                <w:szCs w:val="20"/>
              </w:rPr>
            </w:pPr>
            <w:r w:rsidRPr="00D25311">
              <w:rPr>
                <w:rFonts w:eastAsia="Times New Roman" w:cs="Times New Roman"/>
                <w:bCs/>
                <w:color w:val="000000"/>
                <w:sz w:val="20"/>
                <w:szCs w:val="20"/>
              </w:rPr>
              <w:t>2007</w:t>
            </w:r>
          </w:p>
        </w:tc>
        <w:tc>
          <w:tcPr>
            <w:tcW w:w="831" w:type="dxa"/>
            <w:tcBorders>
              <w:top w:val="single" w:sz="4" w:space="0" w:color="auto"/>
              <w:bottom w:val="single" w:sz="4" w:space="0" w:color="auto"/>
            </w:tcBorders>
            <w:shd w:val="clear" w:color="auto" w:fill="auto"/>
            <w:noWrap/>
            <w:vAlign w:val="bottom"/>
            <w:hideMark/>
          </w:tcPr>
          <w:p w:rsidR="00AB680F" w:rsidRPr="00D25311" w:rsidRDefault="00AB680F" w:rsidP="008A48B2">
            <w:pPr>
              <w:spacing w:before="60" w:after="60" w:line="240" w:lineRule="auto"/>
              <w:jc w:val="right"/>
              <w:rPr>
                <w:rFonts w:eastAsia="Times New Roman" w:cs="Times New Roman"/>
                <w:bCs/>
                <w:color w:val="000000"/>
                <w:sz w:val="20"/>
                <w:szCs w:val="20"/>
              </w:rPr>
            </w:pPr>
            <w:r w:rsidRPr="00D25311">
              <w:rPr>
                <w:rFonts w:eastAsia="Times New Roman" w:cs="Times New Roman"/>
                <w:bCs/>
                <w:color w:val="000000"/>
                <w:sz w:val="20"/>
                <w:szCs w:val="20"/>
              </w:rPr>
              <w:t>2008</w:t>
            </w:r>
          </w:p>
        </w:tc>
        <w:tc>
          <w:tcPr>
            <w:tcW w:w="831" w:type="dxa"/>
            <w:tcBorders>
              <w:top w:val="single" w:sz="4" w:space="0" w:color="auto"/>
              <w:bottom w:val="single" w:sz="4" w:space="0" w:color="auto"/>
            </w:tcBorders>
            <w:shd w:val="clear" w:color="auto" w:fill="auto"/>
            <w:noWrap/>
            <w:vAlign w:val="bottom"/>
            <w:hideMark/>
          </w:tcPr>
          <w:p w:rsidR="00AB680F" w:rsidRPr="00D25311" w:rsidRDefault="00AB680F" w:rsidP="008A48B2">
            <w:pPr>
              <w:spacing w:before="60" w:after="60" w:line="240" w:lineRule="auto"/>
              <w:jc w:val="right"/>
              <w:rPr>
                <w:rFonts w:eastAsia="Times New Roman" w:cs="Times New Roman"/>
                <w:bCs/>
                <w:color w:val="000000"/>
                <w:sz w:val="20"/>
                <w:szCs w:val="20"/>
              </w:rPr>
            </w:pPr>
            <w:r w:rsidRPr="00D25311">
              <w:rPr>
                <w:rFonts w:eastAsia="Times New Roman" w:cs="Times New Roman"/>
                <w:bCs/>
                <w:color w:val="000000"/>
                <w:sz w:val="20"/>
                <w:szCs w:val="20"/>
              </w:rPr>
              <w:t>2009</w:t>
            </w:r>
          </w:p>
        </w:tc>
        <w:tc>
          <w:tcPr>
            <w:tcW w:w="831" w:type="dxa"/>
            <w:tcBorders>
              <w:top w:val="single" w:sz="4" w:space="0" w:color="auto"/>
              <w:bottom w:val="single" w:sz="4" w:space="0" w:color="auto"/>
            </w:tcBorders>
            <w:shd w:val="clear" w:color="auto" w:fill="auto"/>
            <w:noWrap/>
            <w:vAlign w:val="bottom"/>
            <w:hideMark/>
          </w:tcPr>
          <w:p w:rsidR="00AB680F" w:rsidRPr="00D25311" w:rsidRDefault="00AB680F" w:rsidP="008A48B2">
            <w:pPr>
              <w:spacing w:before="60" w:after="60" w:line="240" w:lineRule="auto"/>
              <w:jc w:val="right"/>
              <w:rPr>
                <w:rFonts w:eastAsia="Times New Roman" w:cs="Times New Roman"/>
                <w:bCs/>
                <w:color w:val="000000"/>
                <w:sz w:val="20"/>
                <w:szCs w:val="20"/>
              </w:rPr>
            </w:pPr>
            <w:r w:rsidRPr="00D25311">
              <w:rPr>
                <w:rFonts w:eastAsia="Times New Roman" w:cs="Times New Roman"/>
                <w:bCs/>
                <w:color w:val="000000"/>
                <w:sz w:val="20"/>
                <w:szCs w:val="20"/>
              </w:rPr>
              <w:t>2010</w:t>
            </w:r>
          </w:p>
        </w:tc>
        <w:tc>
          <w:tcPr>
            <w:tcW w:w="831" w:type="dxa"/>
            <w:tcBorders>
              <w:top w:val="single" w:sz="4" w:space="0" w:color="auto"/>
              <w:bottom w:val="single" w:sz="4" w:space="0" w:color="auto"/>
            </w:tcBorders>
            <w:shd w:val="clear" w:color="auto" w:fill="auto"/>
            <w:noWrap/>
            <w:vAlign w:val="bottom"/>
            <w:hideMark/>
          </w:tcPr>
          <w:p w:rsidR="00AB680F" w:rsidRPr="00D25311" w:rsidRDefault="00AB680F" w:rsidP="008A48B2">
            <w:pPr>
              <w:spacing w:before="60" w:after="60" w:line="240" w:lineRule="auto"/>
              <w:jc w:val="right"/>
              <w:rPr>
                <w:rFonts w:eastAsia="Times New Roman" w:cs="Times New Roman"/>
                <w:bCs/>
                <w:color w:val="000000"/>
                <w:sz w:val="20"/>
                <w:szCs w:val="20"/>
              </w:rPr>
            </w:pPr>
            <w:r w:rsidRPr="00D25311">
              <w:rPr>
                <w:rFonts w:eastAsia="Times New Roman" w:cs="Times New Roman"/>
                <w:bCs/>
                <w:color w:val="000000"/>
                <w:sz w:val="20"/>
                <w:szCs w:val="20"/>
              </w:rPr>
              <w:t>2011</w:t>
            </w:r>
          </w:p>
        </w:tc>
        <w:tc>
          <w:tcPr>
            <w:tcW w:w="831" w:type="dxa"/>
            <w:tcBorders>
              <w:top w:val="single" w:sz="4" w:space="0" w:color="auto"/>
              <w:bottom w:val="single" w:sz="4" w:space="0" w:color="auto"/>
            </w:tcBorders>
            <w:shd w:val="clear" w:color="auto" w:fill="auto"/>
            <w:noWrap/>
            <w:vAlign w:val="bottom"/>
            <w:hideMark/>
          </w:tcPr>
          <w:p w:rsidR="00AB680F" w:rsidRPr="00D25311" w:rsidRDefault="00AB680F" w:rsidP="008A48B2">
            <w:pPr>
              <w:spacing w:before="60" w:after="60" w:line="240" w:lineRule="auto"/>
              <w:jc w:val="right"/>
              <w:rPr>
                <w:rFonts w:eastAsia="Times New Roman" w:cs="Times New Roman"/>
                <w:bCs/>
                <w:color w:val="000000"/>
                <w:sz w:val="20"/>
                <w:szCs w:val="20"/>
              </w:rPr>
            </w:pPr>
            <w:r w:rsidRPr="00D25311">
              <w:rPr>
                <w:rFonts w:eastAsia="Times New Roman" w:cs="Times New Roman"/>
                <w:bCs/>
                <w:color w:val="000000"/>
                <w:sz w:val="20"/>
                <w:szCs w:val="20"/>
              </w:rPr>
              <w:t>2012</w:t>
            </w:r>
          </w:p>
        </w:tc>
      </w:tr>
      <w:tr w:rsidR="00AB680F" w:rsidRPr="009B29A9" w:rsidTr="00D77BE1">
        <w:trPr>
          <w:trHeight w:val="216"/>
          <w:jc w:val="center"/>
        </w:trPr>
        <w:tc>
          <w:tcPr>
            <w:tcW w:w="3303" w:type="dxa"/>
            <w:tcBorders>
              <w:top w:val="single" w:sz="4" w:space="0" w:color="auto"/>
            </w:tcBorders>
            <w:shd w:val="clear" w:color="auto" w:fill="auto"/>
            <w:noWrap/>
            <w:vAlign w:val="bottom"/>
            <w:hideMark/>
          </w:tcPr>
          <w:p w:rsidR="00AB680F" w:rsidRPr="00D25311" w:rsidRDefault="00AB680F" w:rsidP="008A48B2">
            <w:pPr>
              <w:spacing w:after="0" w:line="240" w:lineRule="auto"/>
              <w:rPr>
                <w:rFonts w:eastAsia="Times New Roman" w:cs="Times New Roman"/>
                <w:color w:val="000000"/>
                <w:sz w:val="20"/>
                <w:szCs w:val="20"/>
              </w:rPr>
            </w:pPr>
            <w:r w:rsidRPr="00D25311">
              <w:rPr>
                <w:rFonts w:eastAsia="Times New Roman" w:cs="Times New Roman"/>
                <w:color w:val="000000"/>
                <w:sz w:val="20"/>
                <w:szCs w:val="20"/>
              </w:rPr>
              <w:t>CU Partners</w:t>
            </w:r>
          </w:p>
        </w:tc>
        <w:tc>
          <w:tcPr>
            <w:tcW w:w="830" w:type="dxa"/>
            <w:tcBorders>
              <w:top w:val="single" w:sz="4" w:space="0" w:color="auto"/>
            </w:tcBorders>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44.1</w:t>
            </w:r>
          </w:p>
        </w:tc>
        <w:tc>
          <w:tcPr>
            <w:tcW w:w="831" w:type="dxa"/>
            <w:tcBorders>
              <w:top w:val="single" w:sz="4" w:space="0" w:color="auto"/>
            </w:tcBorders>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39.5</w:t>
            </w:r>
          </w:p>
        </w:tc>
        <w:tc>
          <w:tcPr>
            <w:tcW w:w="831" w:type="dxa"/>
            <w:tcBorders>
              <w:top w:val="single" w:sz="4" w:space="0" w:color="auto"/>
            </w:tcBorders>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33.5</w:t>
            </w:r>
          </w:p>
        </w:tc>
        <w:tc>
          <w:tcPr>
            <w:tcW w:w="831" w:type="dxa"/>
            <w:tcBorders>
              <w:top w:val="single" w:sz="4" w:space="0" w:color="auto"/>
            </w:tcBorders>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43.3</w:t>
            </w:r>
          </w:p>
        </w:tc>
        <w:tc>
          <w:tcPr>
            <w:tcW w:w="831" w:type="dxa"/>
            <w:tcBorders>
              <w:top w:val="single" w:sz="4" w:space="0" w:color="auto"/>
            </w:tcBorders>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47.4</w:t>
            </w:r>
          </w:p>
        </w:tc>
        <w:tc>
          <w:tcPr>
            <w:tcW w:w="831" w:type="dxa"/>
            <w:tcBorders>
              <w:top w:val="single" w:sz="4" w:space="0" w:color="auto"/>
            </w:tcBorders>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45.5</w:t>
            </w:r>
          </w:p>
        </w:tc>
      </w:tr>
      <w:tr w:rsidR="00AB680F" w:rsidRPr="009B29A9" w:rsidTr="00D77BE1">
        <w:trPr>
          <w:trHeight w:val="216"/>
          <w:jc w:val="center"/>
        </w:trPr>
        <w:tc>
          <w:tcPr>
            <w:tcW w:w="3303" w:type="dxa"/>
            <w:shd w:val="clear" w:color="auto" w:fill="auto"/>
            <w:noWrap/>
            <w:vAlign w:val="bottom"/>
            <w:hideMark/>
          </w:tcPr>
          <w:p w:rsidR="00AB680F" w:rsidRPr="00D25311" w:rsidRDefault="00AB680F" w:rsidP="008A48B2">
            <w:pPr>
              <w:spacing w:after="0" w:line="240" w:lineRule="auto"/>
              <w:rPr>
                <w:rFonts w:eastAsia="Times New Roman" w:cs="Times New Roman"/>
                <w:color w:val="000000"/>
                <w:sz w:val="20"/>
                <w:szCs w:val="20"/>
              </w:rPr>
            </w:pPr>
            <w:r w:rsidRPr="00D25311">
              <w:rPr>
                <w:rFonts w:eastAsia="Times New Roman" w:cs="Times New Roman"/>
                <w:color w:val="000000"/>
                <w:sz w:val="20"/>
                <w:szCs w:val="20"/>
              </w:rPr>
              <w:t>EU27</w:t>
            </w:r>
          </w:p>
        </w:tc>
        <w:tc>
          <w:tcPr>
            <w:tcW w:w="830"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20.2</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20.7</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25.7</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22.2</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18.9</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15.4</w:t>
            </w:r>
          </w:p>
        </w:tc>
      </w:tr>
      <w:tr w:rsidR="00AB680F" w:rsidRPr="009B29A9" w:rsidTr="00D77BE1">
        <w:trPr>
          <w:trHeight w:val="216"/>
          <w:jc w:val="center"/>
        </w:trPr>
        <w:tc>
          <w:tcPr>
            <w:tcW w:w="3303" w:type="dxa"/>
            <w:shd w:val="clear" w:color="auto" w:fill="auto"/>
            <w:noWrap/>
            <w:vAlign w:val="bottom"/>
            <w:hideMark/>
          </w:tcPr>
          <w:p w:rsidR="00AB680F" w:rsidRPr="00D25311" w:rsidRDefault="00AB680F" w:rsidP="008A48B2">
            <w:pPr>
              <w:spacing w:after="0" w:line="240" w:lineRule="auto"/>
              <w:rPr>
                <w:rFonts w:eastAsia="Times New Roman" w:cs="Times New Roman"/>
                <w:color w:val="000000"/>
                <w:sz w:val="20"/>
                <w:szCs w:val="20"/>
              </w:rPr>
            </w:pPr>
            <w:r w:rsidRPr="00D25311">
              <w:rPr>
                <w:rFonts w:eastAsia="Times New Roman" w:cs="Times New Roman"/>
                <w:color w:val="000000"/>
                <w:sz w:val="20"/>
                <w:szCs w:val="20"/>
              </w:rPr>
              <w:t>China</w:t>
            </w:r>
          </w:p>
        </w:tc>
        <w:tc>
          <w:tcPr>
            <w:tcW w:w="830"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11.5</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15.9</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15.1</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13.6</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12.5</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14.9</w:t>
            </w:r>
          </w:p>
        </w:tc>
      </w:tr>
      <w:tr w:rsidR="00AB680F" w:rsidRPr="009B29A9" w:rsidTr="00D77BE1">
        <w:trPr>
          <w:trHeight w:val="216"/>
          <w:jc w:val="center"/>
        </w:trPr>
        <w:tc>
          <w:tcPr>
            <w:tcW w:w="3303" w:type="dxa"/>
            <w:shd w:val="clear" w:color="auto" w:fill="auto"/>
            <w:noWrap/>
            <w:vAlign w:val="bottom"/>
            <w:hideMark/>
          </w:tcPr>
          <w:p w:rsidR="00AB680F" w:rsidRPr="00D25311" w:rsidRDefault="00AB680F" w:rsidP="008A48B2">
            <w:pPr>
              <w:spacing w:after="0" w:line="240" w:lineRule="auto"/>
              <w:rPr>
                <w:rFonts w:eastAsia="Times New Roman" w:cs="Times New Roman"/>
                <w:color w:val="000000"/>
                <w:sz w:val="20"/>
                <w:szCs w:val="20"/>
              </w:rPr>
            </w:pPr>
            <w:r w:rsidRPr="00D25311">
              <w:rPr>
                <w:rFonts w:eastAsia="Times New Roman" w:cs="Times New Roman"/>
                <w:color w:val="000000"/>
                <w:sz w:val="20"/>
                <w:szCs w:val="20"/>
              </w:rPr>
              <w:t>Non-CU CIS</w:t>
            </w:r>
          </w:p>
        </w:tc>
        <w:tc>
          <w:tcPr>
            <w:tcW w:w="830"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10.2</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9.9</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12.1</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5.6</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6.2</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8.7</w:t>
            </w:r>
          </w:p>
        </w:tc>
      </w:tr>
      <w:tr w:rsidR="00AB680F" w:rsidRPr="009B29A9" w:rsidTr="00D77BE1">
        <w:trPr>
          <w:trHeight w:val="216"/>
          <w:jc w:val="center"/>
        </w:trPr>
        <w:tc>
          <w:tcPr>
            <w:tcW w:w="3303" w:type="dxa"/>
            <w:shd w:val="clear" w:color="auto" w:fill="auto"/>
            <w:noWrap/>
            <w:vAlign w:val="bottom"/>
            <w:hideMark/>
          </w:tcPr>
          <w:p w:rsidR="00AB680F" w:rsidRPr="00D25311" w:rsidRDefault="00AB680F" w:rsidP="008A48B2">
            <w:pPr>
              <w:spacing w:after="0" w:line="240" w:lineRule="auto"/>
              <w:rPr>
                <w:rFonts w:eastAsia="Times New Roman" w:cs="Times New Roman"/>
                <w:color w:val="000000"/>
                <w:sz w:val="20"/>
                <w:szCs w:val="20"/>
              </w:rPr>
            </w:pPr>
            <w:r w:rsidRPr="00D25311">
              <w:rPr>
                <w:rFonts w:eastAsia="Times New Roman" w:cs="Times New Roman"/>
                <w:color w:val="000000"/>
                <w:sz w:val="20"/>
                <w:szCs w:val="20"/>
              </w:rPr>
              <w:t>North America</w:t>
            </w:r>
          </w:p>
        </w:tc>
        <w:tc>
          <w:tcPr>
            <w:tcW w:w="830"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4.1</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4.0</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4.4</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4.8</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5.5</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5.9</w:t>
            </w:r>
          </w:p>
        </w:tc>
      </w:tr>
      <w:tr w:rsidR="00AB680F" w:rsidRPr="009B29A9" w:rsidTr="00D77BE1">
        <w:trPr>
          <w:trHeight w:val="216"/>
          <w:jc w:val="center"/>
        </w:trPr>
        <w:tc>
          <w:tcPr>
            <w:tcW w:w="3303" w:type="dxa"/>
            <w:shd w:val="clear" w:color="auto" w:fill="auto"/>
            <w:noWrap/>
            <w:vAlign w:val="bottom"/>
            <w:hideMark/>
          </w:tcPr>
          <w:p w:rsidR="00AB680F" w:rsidRPr="00D25311" w:rsidRDefault="00AB680F" w:rsidP="008A48B2">
            <w:pPr>
              <w:spacing w:after="0" w:line="240" w:lineRule="auto"/>
              <w:rPr>
                <w:rFonts w:eastAsia="Times New Roman" w:cs="Times New Roman"/>
                <w:color w:val="000000"/>
                <w:sz w:val="20"/>
                <w:szCs w:val="20"/>
              </w:rPr>
            </w:pPr>
            <w:r w:rsidRPr="00D25311">
              <w:rPr>
                <w:rFonts w:eastAsia="Times New Roman" w:cs="Times New Roman"/>
                <w:color w:val="000000"/>
                <w:sz w:val="20"/>
                <w:szCs w:val="20"/>
              </w:rPr>
              <w:t>Rest of Asia</w:t>
            </w:r>
          </w:p>
        </w:tc>
        <w:tc>
          <w:tcPr>
            <w:tcW w:w="830"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3.2</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3.0</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3.7</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4.2</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4.4</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5.1</w:t>
            </w:r>
          </w:p>
        </w:tc>
      </w:tr>
      <w:tr w:rsidR="00AB680F" w:rsidRPr="009B29A9" w:rsidTr="00D77BE1">
        <w:trPr>
          <w:trHeight w:val="216"/>
          <w:jc w:val="center"/>
        </w:trPr>
        <w:tc>
          <w:tcPr>
            <w:tcW w:w="3303" w:type="dxa"/>
            <w:shd w:val="clear" w:color="auto" w:fill="auto"/>
            <w:noWrap/>
            <w:vAlign w:val="bottom"/>
            <w:hideMark/>
          </w:tcPr>
          <w:p w:rsidR="00AB680F" w:rsidRPr="00D25311" w:rsidRDefault="00AB680F" w:rsidP="008A48B2">
            <w:pPr>
              <w:spacing w:after="0" w:line="240" w:lineRule="auto"/>
              <w:rPr>
                <w:rFonts w:eastAsia="Times New Roman" w:cs="Times New Roman"/>
                <w:color w:val="000000"/>
                <w:sz w:val="20"/>
                <w:szCs w:val="20"/>
              </w:rPr>
            </w:pPr>
            <w:r w:rsidRPr="00D25311">
              <w:rPr>
                <w:rFonts w:eastAsia="Times New Roman" w:cs="Times New Roman"/>
                <w:color w:val="000000"/>
                <w:sz w:val="20"/>
                <w:szCs w:val="20"/>
              </w:rPr>
              <w:t>Rest of Europe and ECA incl</w:t>
            </w:r>
            <w:r w:rsidR="00FC7BCA">
              <w:rPr>
                <w:rFonts w:eastAsia="Times New Roman" w:cs="Times New Roman"/>
                <w:color w:val="000000"/>
                <w:sz w:val="20"/>
                <w:szCs w:val="20"/>
              </w:rPr>
              <w:t>.</w:t>
            </w:r>
            <w:r w:rsidRPr="00D25311">
              <w:rPr>
                <w:rFonts w:eastAsia="Times New Roman" w:cs="Times New Roman"/>
                <w:color w:val="000000"/>
                <w:sz w:val="20"/>
                <w:szCs w:val="20"/>
              </w:rPr>
              <w:t xml:space="preserve"> Turkey</w:t>
            </w:r>
          </w:p>
        </w:tc>
        <w:tc>
          <w:tcPr>
            <w:tcW w:w="830"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4.3</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4.1</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2.9</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3.1</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2.4</w:t>
            </w:r>
          </w:p>
        </w:tc>
        <w:tc>
          <w:tcPr>
            <w:tcW w:w="831" w:type="dxa"/>
            <w:shd w:val="clear" w:color="auto" w:fill="auto"/>
            <w:noWrap/>
            <w:vAlign w:val="bottom"/>
            <w:hideMark/>
          </w:tcPr>
          <w:p w:rsidR="00AB680F" w:rsidRPr="00D25311" w:rsidRDefault="00AB680F" w:rsidP="008A48B2">
            <w:pPr>
              <w:spacing w:after="0" w:line="240" w:lineRule="auto"/>
              <w:jc w:val="right"/>
              <w:rPr>
                <w:rFonts w:eastAsia="Times New Roman" w:cs="Times New Roman"/>
                <w:color w:val="000000"/>
                <w:sz w:val="20"/>
                <w:szCs w:val="20"/>
              </w:rPr>
            </w:pPr>
            <w:r w:rsidRPr="00D25311">
              <w:rPr>
                <w:rFonts w:eastAsia="Times New Roman" w:cs="Times New Roman"/>
                <w:color w:val="000000"/>
                <w:sz w:val="20"/>
                <w:szCs w:val="20"/>
              </w:rPr>
              <w:t>2.4</w:t>
            </w:r>
          </w:p>
        </w:tc>
      </w:tr>
      <w:tr w:rsidR="00AB680F" w:rsidRPr="009B29A9" w:rsidTr="00D77BE1">
        <w:trPr>
          <w:trHeight w:val="432"/>
          <w:jc w:val="center"/>
        </w:trPr>
        <w:tc>
          <w:tcPr>
            <w:tcW w:w="8288" w:type="dxa"/>
            <w:gridSpan w:val="7"/>
            <w:tcBorders>
              <w:top w:val="single" w:sz="4" w:space="0" w:color="auto"/>
            </w:tcBorders>
            <w:shd w:val="clear" w:color="auto" w:fill="auto"/>
            <w:noWrap/>
            <w:vAlign w:val="bottom"/>
          </w:tcPr>
          <w:p w:rsidR="00D77BE1" w:rsidRDefault="00AB680F" w:rsidP="00F1420C">
            <w:pPr>
              <w:spacing w:before="120" w:after="60" w:line="240" w:lineRule="auto"/>
              <w:jc w:val="left"/>
              <w:rPr>
                <w:rFonts w:cs="Times New Roman"/>
                <w:sz w:val="18"/>
                <w:szCs w:val="18"/>
              </w:rPr>
            </w:pPr>
            <w:r w:rsidRPr="00E6002A">
              <w:rPr>
                <w:rFonts w:cs="Times New Roman"/>
                <w:i/>
                <w:sz w:val="18"/>
                <w:szCs w:val="18"/>
              </w:rPr>
              <w:t xml:space="preserve">Source: </w:t>
            </w:r>
            <w:r w:rsidR="00F1420C">
              <w:rPr>
                <w:rFonts w:cs="Times New Roman"/>
                <w:sz w:val="18"/>
                <w:szCs w:val="18"/>
              </w:rPr>
              <w:t xml:space="preserve">Data from Kazakhstan </w:t>
            </w:r>
            <w:r w:rsidRPr="00E6002A">
              <w:rPr>
                <w:rFonts w:cs="Times New Roman"/>
                <w:sz w:val="18"/>
                <w:szCs w:val="18"/>
              </w:rPr>
              <w:t>Customs Authority</w:t>
            </w:r>
            <w:r w:rsidR="00F1420C">
              <w:rPr>
                <w:rFonts w:cs="Times New Roman"/>
                <w:i/>
                <w:sz w:val="18"/>
                <w:szCs w:val="18"/>
              </w:rPr>
              <w:t xml:space="preserve">. </w:t>
            </w:r>
            <w:r w:rsidR="00F1420C">
              <w:rPr>
                <w:rFonts w:cs="Times New Roman"/>
                <w:sz w:val="18"/>
                <w:szCs w:val="18"/>
              </w:rPr>
              <w:t xml:space="preserve">World Bank calculations. </w:t>
            </w:r>
          </w:p>
          <w:p w:rsidR="00AB680F" w:rsidRPr="00F1420C" w:rsidRDefault="00AB680F" w:rsidP="00D77BE1">
            <w:pPr>
              <w:spacing w:before="60" w:after="0" w:line="240" w:lineRule="auto"/>
              <w:jc w:val="left"/>
              <w:rPr>
                <w:rFonts w:cs="Times New Roman"/>
                <w:i/>
                <w:sz w:val="18"/>
                <w:szCs w:val="18"/>
              </w:rPr>
            </w:pPr>
            <w:r w:rsidRPr="00E6002A">
              <w:rPr>
                <w:rFonts w:cs="Times New Roman"/>
                <w:sz w:val="18"/>
                <w:szCs w:val="18"/>
              </w:rPr>
              <w:t>Note: BEC</w:t>
            </w:r>
            <w:r w:rsidRPr="00E6002A">
              <w:rPr>
                <w:rFonts w:cs="Times New Roman"/>
                <w:i/>
                <w:sz w:val="18"/>
                <w:szCs w:val="18"/>
              </w:rPr>
              <w:t xml:space="preserve"> = </w:t>
            </w:r>
            <w:r w:rsidRPr="00E6002A">
              <w:rPr>
                <w:rFonts w:cs="Times New Roman"/>
                <w:sz w:val="18"/>
                <w:szCs w:val="18"/>
              </w:rPr>
              <w:t>Broad economic classification.</w:t>
            </w:r>
          </w:p>
        </w:tc>
      </w:tr>
    </w:tbl>
    <w:p w:rsidR="00AB680F" w:rsidRPr="00067F51" w:rsidRDefault="00AB680F" w:rsidP="00D77BE1">
      <w:pPr>
        <w:tabs>
          <w:tab w:val="left" w:pos="720"/>
        </w:tabs>
        <w:spacing w:after="0" w:line="240" w:lineRule="auto"/>
        <w:rPr>
          <w:rFonts w:cs="Times New Roman"/>
          <w:sz w:val="22"/>
        </w:rPr>
      </w:pPr>
    </w:p>
    <w:p w:rsidR="00C22BC8" w:rsidRPr="00F9391C" w:rsidRDefault="00AB680F" w:rsidP="00F9391C">
      <w:pPr>
        <w:pStyle w:val="ListParagraph"/>
        <w:numPr>
          <w:ilvl w:val="0"/>
          <w:numId w:val="1"/>
        </w:numPr>
        <w:tabs>
          <w:tab w:val="left" w:pos="720"/>
        </w:tabs>
        <w:spacing w:line="240" w:lineRule="auto"/>
        <w:ind w:left="0" w:firstLine="0"/>
        <w:contextualSpacing w:val="0"/>
        <w:rPr>
          <w:rFonts w:cs="Times New Roman"/>
          <w:sz w:val="22"/>
        </w:rPr>
      </w:pPr>
      <w:r>
        <w:rPr>
          <w:rFonts w:cs="Times New Roman"/>
          <w:b/>
          <w:sz w:val="22"/>
        </w:rPr>
        <w:t xml:space="preserve">Furthermore, </w:t>
      </w:r>
      <w:r w:rsidR="007242FC">
        <w:rPr>
          <w:rFonts w:cs="Times New Roman"/>
          <w:b/>
          <w:sz w:val="22"/>
        </w:rPr>
        <w:t>with accession to the WTO</w:t>
      </w:r>
      <w:r w:rsidR="00FC3281">
        <w:rPr>
          <w:rFonts w:cs="Times New Roman"/>
          <w:b/>
          <w:sz w:val="22"/>
        </w:rPr>
        <w:t xml:space="preserve">, </w:t>
      </w:r>
      <w:r w:rsidR="00FC3281" w:rsidRPr="00C22BC8">
        <w:rPr>
          <w:rFonts w:cs="Times New Roman"/>
          <w:b/>
          <w:sz w:val="22"/>
        </w:rPr>
        <w:t>the</w:t>
      </w:r>
      <w:r w:rsidR="00C22BC8" w:rsidRPr="007242FC">
        <w:rPr>
          <w:rFonts w:cs="Times New Roman"/>
          <w:b/>
          <w:sz w:val="22"/>
        </w:rPr>
        <w:t xml:space="preserve"> tariff structure will revert back partially to the 2009 levels.</w:t>
      </w:r>
      <w:r w:rsidR="00786508">
        <w:rPr>
          <w:rFonts w:cs="Times New Roman"/>
          <w:sz w:val="22"/>
        </w:rPr>
        <w:t xml:space="preserve"> </w:t>
      </w:r>
      <w:r w:rsidR="00F9391C" w:rsidRPr="00F9391C">
        <w:rPr>
          <w:rFonts w:cs="Times New Roman"/>
          <w:sz w:val="22"/>
        </w:rPr>
        <w:t>This should reverse the impact of higher CU tariff schedules on intermediate imports.</w:t>
      </w:r>
      <w:r w:rsidR="00F9391C">
        <w:rPr>
          <w:rFonts w:cs="Times New Roman"/>
          <w:sz w:val="22"/>
        </w:rPr>
        <w:t xml:space="preserve">  </w:t>
      </w:r>
      <w:r w:rsidR="00C22BC8" w:rsidRPr="00F9391C">
        <w:rPr>
          <w:rFonts w:cs="Times New Roman"/>
          <w:sz w:val="22"/>
        </w:rPr>
        <w:t>Average trade weighted tariff rates on intermediate inputs in 2020 will be within 0.5 percent</w:t>
      </w:r>
      <w:r w:rsidR="001B1BC0" w:rsidRPr="00F9391C">
        <w:rPr>
          <w:rFonts w:cs="Times New Roman"/>
          <w:sz w:val="22"/>
        </w:rPr>
        <w:t>age point</w:t>
      </w:r>
      <w:r w:rsidR="00C22BC8" w:rsidRPr="00F9391C">
        <w:rPr>
          <w:rFonts w:cs="Times New Roman"/>
          <w:sz w:val="22"/>
        </w:rPr>
        <w:t xml:space="preserve"> of the 2009 rates, while that of 2012 capital goods rates will remain well above the 2009 rates. Th</w:t>
      </w:r>
      <w:r w:rsidR="004A42BE" w:rsidRPr="00F9391C">
        <w:rPr>
          <w:rFonts w:cs="Times New Roman"/>
          <w:sz w:val="22"/>
        </w:rPr>
        <w:t xml:space="preserve">e </w:t>
      </w:r>
      <w:r w:rsidR="00C22BC8" w:rsidRPr="00F9391C">
        <w:rPr>
          <w:rFonts w:cs="Times New Roman"/>
          <w:sz w:val="22"/>
        </w:rPr>
        <w:t xml:space="preserve">2020 structure of the tariff schedule is more conducive for developing of manufacturing industry, due to larger positive impact on productivity. At the same time, the pre-CU tariff schedule of Kazakhstan had been even more open for importers of capital and intermediate goods. Kazakhstan </w:t>
      </w:r>
      <w:r w:rsidR="00EC2468" w:rsidRPr="00F9391C">
        <w:rPr>
          <w:rFonts w:cs="Times New Roman"/>
          <w:sz w:val="22"/>
        </w:rPr>
        <w:t>could propose</w:t>
      </w:r>
      <w:r w:rsidR="00C51738" w:rsidRPr="00F9391C">
        <w:rPr>
          <w:rFonts w:cs="Times New Roman"/>
          <w:sz w:val="22"/>
        </w:rPr>
        <w:t xml:space="preserve"> </w:t>
      </w:r>
      <w:r w:rsidR="004A42BE" w:rsidRPr="00F9391C">
        <w:rPr>
          <w:rFonts w:cs="Times New Roman"/>
          <w:sz w:val="22"/>
        </w:rPr>
        <w:t>higher</w:t>
      </w:r>
      <w:r w:rsidR="00C22BC8" w:rsidRPr="00F9391C">
        <w:rPr>
          <w:rFonts w:cs="Times New Roman"/>
          <w:sz w:val="22"/>
        </w:rPr>
        <w:t xml:space="preserve"> tariff reduction for capital and intermediate goods to its CU partners. </w:t>
      </w:r>
    </w:p>
    <w:tbl>
      <w:tblPr>
        <w:tblW w:w="6753" w:type="dxa"/>
        <w:jc w:val="center"/>
        <w:tblLook w:val="04A0" w:firstRow="1" w:lastRow="0" w:firstColumn="1" w:lastColumn="0" w:noHBand="0" w:noVBand="1"/>
      </w:tblPr>
      <w:tblGrid>
        <w:gridCol w:w="1351"/>
        <w:gridCol w:w="1351"/>
        <w:gridCol w:w="1350"/>
        <w:gridCol w:w="1350"/>
        <w:gridCol w:w="1351"/>
      </w:tblGrid>
      <w:tr w:rsidR="004A42BE" w:rsidRPr="00C22BC8" w:rsidTr="00B51C0F">
        <w:trPr>
          <w:jc w:val="center"/>
        </w:trPr>
        <w:tc>
          <w:tcPr>
            <w:tcW w:w="6753" w:type="dxa"/>
            <w:gridSpan w:val="5"/>
            <w:tcBorders>
              <w:bottom w:val="single" w:sz="4" w:space="0" w:color="auto"/>
            </w:tcBorders>
            <w:shd w:val="clear" w:color="auto" w:fill="auto"/>
          </w:tcPr>
          <w:p w:rsidR="004A42BE" w:rsidRPr="00C22BC8" w:rsidRDefault="0056192E" w:rsidP="0056192E">
            <w:pPr>
              <w:pStyle w:val="Caption"/>
              <w:rPr>
                <w:rFonts w:eastAsia="Times New Roman"/>
                <w:color w:val="000000"/>
                <w:lang w:eastAsia="ru-RU"/>
              </w:rPr>
            </w:pPr>
            <w:bookmarkStart w:id="31" w:name="_Toc378151218"/>
            <w:r>
              <w:t xml:space="preserve">Table </w:t>
            </w:r>
            <w:fldSimple w:instr=" SEQ Table \* ARABIC ">
              <w:r>
                <w:rPr>
                  <w:noProof/>
                </w:rPr>
                <w:t>10</w:t>
              </w:r>
            </w:fldSimple>
            <w:r>
              <w:t>:</w:t>
            </w:r>
            <w:r w:rsidR="004A42BE">
              <w:t xml:space="preserve"> </w:t>
            </w:r>
            <w:r w:rsidR="004A42BE" w:rsidRPr="00C22BC8">
              <w:t xml:space="preserve">Simple </w:t>
            </w:r>
            <w:r w:rsidR="00D77BE1">
              <w:t>a</w:t>
            </w:r>
            <w:r w:rsidR="00D77BE1" w:rsidRPr="00C22BC8">
              <w:t xml:space="preserve">nd Trade-Weighted Average </w:t>
            </w:r>
            <w:r w:rsidR="004A42BE" w:rsidRPr="00C22BC8">
              <w:t xml:space="preserve">MFN </w:t>
            </w:r>
            <w:r w:rsidR="00D77BE1" w:rsidRPr="00C22BC8">
              <w:t xml:space="preserve">Tariffs </w:t>
            </w:r>
            <w:r w:rsidR="00D77BE1">
              <w:t xml:space="preserve">Partially Reverses the </w:t>
            </w:r>
            <w:r w:rsidR="00C51738">
              <w:rPr>
                <w:rFonts w:eastAsia="Times New Roman"/>
                <w:color w:val="000000"/>
                <w:lang w:eastAsia="ru-RU"/>
              </w:rPr>
              <w:t xml:space="preserve">Custom Union </w:t>
            </w:r>
            <w:r w:rsidR="00D77BE1">
              <w:rPr>
                <w:rFonts w:eastAsia="Times New Roman"/>
                <w:color w:val="000000"/>
                <w:lang w:eastAsia="ru-RU"/>
              </w:rPr>
              <w:t>Tariff Increases</w:t>
            </w:r>
            <w:bookmarkEnd w:id="31"/>
          </w:p>
        </w:tc>
      </w:tr>
      <w:tr w:rsidR="00C95EEF" w:rsidRPr="00C22BC8" w:rsidTr="00D77BE1">
        <w:trPr>
          <w:jc w:val="center"/>
        </w:trPr>
        <w:tc>
          <w:tcPr>
            <w:tcW w:w="1351" w:type="dxa"/>
            <w:tcBorders>
              <w:top w:val="single" w:sz="4" w:space="0" w:color="auto"/>
              <w:bottom w:val="single" w:sz="4" w:space="0" w:color="auto"/>
            </w:tcBorders>
            <w:shd w:val="clear" w:color="auto" w:fill="auto"/>
            <w:vAlign w:val="center"/>
            <w:hideMark/>
          </w:tcPr>
          <w:p w:rsidR="00C22BC8" w:rsidRPr="00C22BC8" w:rsidRDefault="00C22BC8" w:rsidP="00166FE8">
            <w:pPr>
              <w:spacing w:before="60" w:after="6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Year</w:t>
            </w:r>
          </w:p>
        </w:tc>
        <w:tc>
          <w:tcPr>
            <w:tcW w:w="1351" w:type="dxa"/>
            <w:tcBorders>
              <w:top w:val="single" w:sz="4" w:space="0" w:color="auto"/>
              <w:bottom w:val="single" w:sz="4" w:space="0" w:color="auto"/>
            </w:tcBorders>
            <w:shd w:val="clear" w:color="auto" w:fill="auto"/>
            <w:vAlign w:val="center"/>
            <w:hideMark/>
          </w:tcPr>
          <w:p w:rsidR="00C22BC8" w:rsidRPr="00C22BC8" w:rsidRDefault="00C95EEF" w:rsidP="00166FE8">
            <w:pPr>
              <w:spacing w:before="60" w:after="6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Capital G</w:t>
            </w:r>
            <w:r w:rsidR="00C22BC8" w:rsidRPr="00C22BC8">
              <w:rPr>
                <w:rFonts w:eastAsia="Times New Roman" w:cs="Times New Roman"/>
                <w:color w:val="000000"/>
                <w:sz w:val="20"/>
                <w:szCs w:val="20"/>
                <w:lang w:eastAsia="ru-RU"/>
              </w:rPr>
              <w:t>oods</w:t>
            </w:r>
          </w:p>
        </w:tc>
        <w:tc>
          <w:tcPr>
            <w:tcW w:w="1350" w:type="dxa"/>
            <w:tcBorders>
              <w:top w:val="single" w:sz="4" w:space="0" w:color="auto"/>
              <w:bottom w:val="single" w:sz="4" w:space="0" w:color="auto"/>
            </w:tcBorders>
            <w:shd w:val="clear" w:color="auto" w:fill="auto"/>
            <w:vAlign w:val="center"/>
            <w:hideMark/>
          </w:tcPr>
          <w:p w:rsidR="00C22BC8" w:rsidRPr="00C22BC8" w:rsidRDefault="00C22BC8" w:rsidP="00C95EEF">
            <w:pPr>
              <w:spacing w:before="60" w:after="6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 xml:space="preserve">Consumer </w:t>
            </w:r>
            <w:r w:rsidR="00C95EEF">
              <w:rPr>
                <w:rFonts w:eastAsia="Times New Roman" w:cs="Times New Roman"/>
                <w:color w:val="000000"/>
                <w:sz w:val="20"/>
                <w:szCs w:val="20"/>
                <w:lang w:eastAsia="ru-RU"/>
              </w:rPr>
              <w:t>G</w:t>
            </w:r>
            <w:r w:rsidRPr="00C22BC8">
              <w:rPr>
                <w:rFonts w:eastAsia="Times New Roman" w:cs="Times New Roman"/>
                <w:color w:val="000000"/>
                <w:sz w:val="20"/>
                <w:szCs w:val="20"/>
                <w:lang w:eastAsia="ru-RU"/>
              </w:rPr>
              <w:t>oods</w:t>
            </w:r>
          </w:p>
        </w:tc>
        <w:tc>
          <w:tcPr>
            <w:tcW w:w="1350" w:type="dxa"/>
            <w:tcBorders>
              <w:top w:val="single" w:sz="4" w:space="0" w:color="auto"/>
              <w:bottom w:val="single" w:sz="4" w:space="0" w:color="auto"/>
            </w:tcBorders>
            <w:shd w:val="clear" w:color="auto" w:fill="auto"/>
            <w:vAlign w:val="center"/>
            <w:hideMark/>
          </w:tcPr>
          <w:p w:rsidR="00C22BC8" w:rsidRPr="00C22BC8" w:rsidRDefault="00C22BC8" w:rsidP="00C95EEF">
            <w:pPr>
              <w:spacing w:before="60" w:after="6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 xml:space="preserve">Intermediate </w:t>
            </w:r>
            <w:r w:rsidR="00C95EEF">
              <w:rPr>
                <w:rFonts w:eastAsia="Times New Roman" w:cs="Times New Roman"/>
                <w:color w:val="000000"/>
                <w:sz w:val="20"/>
                <w:szCs w:val="20"/>
                <w:lang w:eastAsia="ru-RU"/>
              </w:rPr>
              <w:t>G</w:t>
            </w:r>
            <w:r w:rsidRPr="00C22BC8">
              <w:rPr>
                <w:rFonts w:eastAsia="Times New Roman" w:cs="Times New Roman"/>
                <w:color w:val="000000"/>
                <w:sz w:val="20"/>
                <w:szCs w:val="20"/>
                <w:lang w:eastAsia="ru-RU"/>
              </w:rPr>
              <w:t>oods</w:t>
            </w:r>
          </w:p>
        </w:tc>
        <w:tc>
          <w:tcPr>
            <w:tcW w:w="1351" w:type="dxa"/>
            <w:tcBorders>
              <w:top w:val="single" w:sz="4" w:space="0" w:color="auto"/>
              <w:bottom w:val="single" w:sz="4" w:space="0" w:color="auto"/>
            </w:tcBorders>
            <w:shd w:val="clear" w:color="auto" w:fill="auto"/>
            <w:vAlign w:val="center"/>
            <w:hideMark/>
          </w:tcPr>
          <w:p w:rsidR="00C22BC8" w:rsidRPr="00C22BC8" w:rsidRDefault="00C22BC8" w:rsidP="00521FC6">
            <w:pPr>
              <w:spacing w:before="60" w:after="6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 xml:space="preserve">Raw </w:t>
            </w:r>
            <w:r w:rsidR="00521FC6">
              <w:rPr>
                <w:rFonts w:eastAsia="Times New Roman" w:cs="Times New Roman"/>
                <w:color w:val="000000"/>
                <w:sz w:val="20"/>
                <w:szCs w:val="20"/>
                <w:lang w:eastAsia="ru-RU"/>
              </w:rPr>
              <w:t>M</w:t>
            </w:r>
            <w:r w:rsidRPr="00C22BC8">
              <w:rPr>
                <w:rFonts w:eastAsia="Times New Roman" w:cs="Times New Roman"/>
                <w:color w:val="000000"/>
                <w:sz w:val="20"/>
                <w:szCs w:val="20"/>
                <w:lang w:eastAsia="ru-RU"/>
              </w:rPr>
              <w:t>aterials</w:t>
            </w:r>
          </w:p>
        </w:tc>
      </w:tr>
      <w:tr w:rsidR="00166FE8" w:rsidRPr="00C22BC8" w:rsidTr="00B51C0F">
        <w:trPr>
          <w:trHeight w:val="300"/>
          <w:jc w:val="center"/>
        </w:trPr>
        <w:tc>
          <w:tcPr>
            <w:tcW w:w="6753" w:type="dxa"/>
            <w:gridSpan w:val="5"/>
            <w:tcBorders>
              <w:top w:val="single" w:sz="4" w:space="0" w:color="auto"/>
            </w:tcBorders>
            <w:shd w:val="clear" w:color="auto" w:fill="auto"/>
            <w:noWrap/>
            <w:vAlign w:val="bottom"/>
            <w:hideMark/>
          </w:tcPr>
          <w:p w:rsidR="00166FE8" w:rsidRPr="00C22BC8" w:rsidRDefault="00166FE8" w:rsidP="00D25311">
            <w:pPr>
              <w:spacing w:before="120" w:after="6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Simple average</w:t>
            </w:r>
          </w:p>
        </w:tc>
      </w:tr>
      <w:tr w:rsidR="00C22BC8" w:rsidRPr="00C22BC8" w:rsidTr="00B51C0F">
        <w:trPr>
          <w:trHeight w:val="216"/>
          <w:jc w:val="center"/>
        </w:trPr>
        <w:tc>
          <w:tcPr>
            <w:tcW w:w="1351" w:type="dxa"/>
            <w:shd w:val="clear" w:color="auto" w:fill="auto"/>
            <w:noWrap/>
            <w:vAlign w:val="bottom"/>
            <w:hideMark/>
          </w:tcPr>
          <w:p w:rsidR="00C22BC8" w:rsidRPr="00C22BC8" w:rsidRDefault="00C22BC8" w:rsidP="00DC04CB">
            <w:pPr>
              <w:spacing w:after="0" w:line="240" w:lineRule="auto"/>
              <w:rPr>
                <w:rFonts w:eastAsia="Times New Roman" w:cs="Times New Roman"/>
                <w:color w:val="000000"/>
                <w:sz w:val="20"/>
                <w:szCs w:val="20"/>
                <w:lang w:eastAsia="ru-RU"/>
              </w:rPr>
            </w:pPr>
            <w:r w:rsidRPr="00C22BC8">
              <w:rPr>
                <w:rFonts w:eastAsia="Times New Roman" w:cs="Times New Roman"/>
                <w:color w:val="000000"/>
                <w:sz w:val="20"/>
                <w:szCs w:val="20"/>
                <w:lang w:eastAsia="ru-RU"/>
              </w:rPr>
              <w:t>2009</w:t>
            </w:r>
          </w:p>
        </w:tc>
        <w:tc>
          <w:tcPr>
            <w:tcW w:w="1351" w:type="dxa"/>
            <w:shd w:val="clear" w:color="auto" w:fill="auto"/>
            <w:noWrap/>
            <w:vAlign w:val="bottom"/>
            <w:hideMark/>
          </w:tcPr>
          <w:p w:rsidR="00C22BC8" w:rsidRPr="00C22BC8" w:rsidRDefault="00C22BC8" w:rsidP="004C1DE4">
            <w:pPr>
              <w:spacing w:after="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1.0</w:t>
            </w:r>
          </w:p>
        </w:tc>
        <w:tc>
          <w:tcPr>
            <w:tcW w:w="1350" w:type="dxa"/>
            <w:shd w:val="clear" w:color="auto" w:fill="auto"/>
            <w:noWrap/>
            <w:vAlign w:val="bottom"/>
            <w:hideMark/>
          </w:tcPr>
          <w:p w:rsidR="00C22BC8" w:rsidRPr="00C22BC8" w:rsidRDefault="004C1DE4" w:rsidP="001B1BC0">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9.9</w:t>
            </w:r>
          </w:p>
        </w:tc>
        <w:tc>
          <w:tcPr>
            <w:tcW w:w="1350" w:type="dxa"/>
            <w:shd w:val="clear" w:color="auto" w:fill="auto"/>
            <w:noWrap/>
            <w:vAlign w:val="bottom"/>
            <w:hideMark/>
          </w:tcPr>
          <w:p w:rsidR="00C22BC8" w:rsidRPr="00C22BC8" w:rsidRDefault="004C1DE4" w:rsidP="00DC04CB">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5.</w:t>
            </w:r>
            <w:r w:rsidR="00C22BC8" w:rsidRPr="00C22BC8">
              <w:rPr>
                <w:rFonts w:eastAsia="Times New Roman" w:cs="Times New Roman"/>
                <w:color w:val="000000"/>
                <w:sz w:val="20"/>
                <w:szCs w:val="20"/>
                <w:lang w:eastAsia="ru-RU"/>
              </w:rPr>
              <w:t>3</w:t>
            </w:r>
          </w:p>
        </w:tc>
        <w:tc>
          <w:tcPr>
            <w:tcW w:w="1351" w:type="dxa"/>
            <w:shd w:val="clear" w:color="auto" w:fill="auto"/>
            <w:noWrap/>
            <w:vAlign w:val="bottom"/>
            <w:hideMark/>
          </w:tcPr>
          <w:p w:rsidR="00C22BC8" w:rsidRPr="00C22BC8" w:rsidRDefault="004C1DE4" w:rsidP="00DC04CB">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9.6</w:t>
            </w:r>
          </w:p>
        </w:tc>
      </w:tr>
      <w:tr w:rsidR="00C22BC8" w:rsidRPr="00C22BC8" w:rsidTr="00B51C0F">
        <w:trPr>
          <w:trHeight w:val="216"/>
          <w:jc w:val="center"/>
        </w:trPr>
        <w:tc>
          <w:tcPr>
            <w:tcW w:w="1351" w:type="dxa"/>
            <w:shd w:val="clear" w:color="auto" w:fill="auto"/>
            <w:noWrap/>
            <w:vAlign w:val="bottom"/>
            <w:hideMark/>
          </w:tcPr>
          <w:p w:rsidR="00C22BC8" w:rsidRPr="00C22BC8" w:rsidRDefault="00C22BC8" w:rsidP="00DC04CB">
            <w:pPr>
              <w:spacing w:after="0" w:line="240" w:lineRule="auto"/>
              <w:rPr>
                <w:rFonts w:eastAsia="Times New Roman" w:cs="Times New Roman"/>
                <w:color w:val="000000"/>
                <w:sz w:val="20"/>
                <w:szCs w:val="20"/>
                <w:lang w:eastAsia="ru-RU"/>
              </w:rPr>
            </w:pPr>
            <w:r w:rsidRPr="00C22BC8">
              <w:rPr>
                <w:rFonts w:eastAsia="Times New Roman" w:cs="Times New Roman"/>
                <w:color w:val="000000"/>
                <w:sz w:val="20"/>
                <w:szCs w:val="20"/>
                <w:lang w:eastAsia="ru-RU"/>
              </w:rPr>
              <w:t>2012</w:t>
            </w:r>
          </w:p>
        </w:tc>
        <w:tc>
          <w:tcPr>
            <w:tcW w:w="1351" w:type="dxa"/>
            <w:shd w:val="clear" w:color="auto" w:fill="auto"/>
            <w:noWrap/>
            <w:vAlign w:val="bottom"/>
            <w:hideMark/>
          </w:tcPr>
          <w:p w:rsidR="00C22BC8" w:rsidRPr="00C22BC8" w:rsidRDefault="004C1DE4" w:rsidP="00DC04CB">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5.7</w:t>
            </w:r>
          </w:p>
        </w:tc>
        <w:tc>
          <w:tcPr>
            <w:tcW w:w="1350" w:type="dxa"/>
            <w:shd w:val="clear" w:color="auto" w:fill="auto"/>
            <w:noWrap/>
            <w:vAlign w:val="bottom"/>
            <w:hideMark/>
          </w:tcPr>
          <w:p w:rsidR="00C22BC8" w:rsidRPr="00C22BC8" w:rsidRDefault="004C1DE4" w:rsidP="001B1BC0">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14.</w:t>
            </w:r>
            <w:r w:rsidR="00C22BC8" w:rsidRPr="00C22BC8">
              <w:rPr>
                <w:rFonts w:eastAsia="Times New Roman" w:cs="Times New Roman"/>
                <w:color w:val="000000"/>
                <w:sz w:val="20"/>
                <w:szCs w:val="20"/>
                <w:lang w:eastAsia="ru-RU"/>
              </w:rPr>
              <w:t>6</w:t>
            </w:r>
          </w:p>
        </w:tc>
        <w:tc>
          <w:tcPr>
            <w:tcW w:w="1350" w:type="dxa"/>
            <w:shd w:val="clear" w:color="auto" w:fill="auto"/>
            <w:noWrap/>
            <w:vAlign w:val="bottom"/>
            <w:hideMark/>
          </w:tcPr>
          <w:p w:rsidR="00C22BC8" w:rsidRPr="00C22BC8" w:rsidRDefault="00C22BC8" w:rsidP="00DC04CB">
            <w:pPr>
              <w:spacing w:after="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8.4</w:t>
            </w:r>
          </w:p>
        </w:tc>
        <w:tc>
          <w:tcPr>
            <w:tcW w:w="1351" w:type="dxa"/>
            <w:shd w:val="clear" w:color="auto" w:fill="auto"/>
            <w:noWrap/>
            <w:vAlign w:val="bottom"/>
            <w:hideMark/>
          </w:tcPr>
          <w:p w:rsidR="00C22BC8" w:rsidRPr="00C22BC8" w:rsidRDefault="004C1DE4" w:rsidP="00DC04CB">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12.9</w:t>
            </w:r>
          </w:p>
        </w:tc>
      </w:tr>
      <w:tr w:rsidR="00C22BC8" w:rsidRPr="00C22BC8" w:rsidTr="00B51C0F">
        <w:trPr>
          <w:trHeight w:val="216"/>
          <w:jc w:val="center"/>
        </w:trPr>
        <w:tc>
          <w:tcPr>
            <w:tcW w:w="1351" w:type="dxa"/>
            <w:shd w:val="clear" w:color="auto" w:fill="auto"/>
            <w:noWrap/>
            <w:vAlign w:val="bottom"/>
            <w:hideMark/>
          </w:tcPr>
          <w:p w:rsidR="00C22BC8" w:rsidRPr="00C22BC8" w:rsidRDefault="00C22BC8" w:rsidP="00DC04CB">
            <w:pPr>
              <w:spacing w:after="0" w:line="240" w:lineRule="auto"/>
              <w:rPr>
                <w:rFonts w:eastAsia="Times New Roman" w:cs="Times New Roman"/>
                <w:color w:val="000000"/>
                <w:sz w:val="20"/>
                <w:szCs w:val="20"/>
                <w:lang w:eastAsia="ru-RU"/>
              </w:rPr>
            </w:pPr>
            <w:r w:rsidRPr="00C22BC8">
              <w:rPr>
                <w:rFonts w:eastAsia="Times New Roman" w:cs="Times New Roman"/>
                <w:color w:val="000000"/>
                <w:sz w:val="20"/>
                <w:szCs w:val="20"/>
                <w:lang w:eastAsia="ru-RU"/>
              </w:rPr>
              <w:t>2020</w:t>
            </w:r>
          </w:p>
        </w:tc>
        <w:tc>
          <w:tcPr>
            <w:tcW w:w="1351" w:type="dxa"/>
            <w:shd w:val="clear" w:color="auto" w:fill="auto"/>
            <w:noWrap/>
            <w:vAlign w:val="bottom"/>
            <w:hideMark/>
          </w:tcPr>
          <w:p w:rsidR="00C22BC8" w:rsidRPr="00C22BC8" w:rsidRDefault="004C1DE4" w:rsidP="00DC04CB">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4.2</w:t>
            </w:r>
          </w:p>
        </w:tc>
        <w:tc>
          <w:tcPr>
            <w:tcW w:w="1350" w:type="dxa"/>
            <w:shd w:val="clear" w:color="auto" w:fill="auto"/>
            <w:noWrap/>
            <w:vAlign w:val="bottom"/>
            <w:hideMark/>
          </w:tcPr>
          <w:p w:rsidR="00C22BC8" w:rsidRPr="00C22BC8" w:rsidRDefault="004C1DE4" w:rsidP="001B1BC0">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9.7</w:t>
            </w:r>
          </w:p>
        </w:tc>
        <w:tc>
          <w:tcPr>
            <w:tcW w:w="1350" w:type="dxa"/>
            <w:shd w:val="clear" w:color="auto" w:fill="auto"/>
            <w:noWrap/>
            <w:vAlign w:val="bottom"/>
            <w:hideMark/>
          </w:tcPr>
          <w:p w:rsidR="00C22BC8" w:rsidRPr="00C22BC8" w:rsidRDefault="00C22BC8" w:rsidP="004C1DE4">
            <w:pPr>
              <w:spacing w:after="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6.</w:t>
            </w:r>
            <w:r w:rsidR="004C1DE4">
              <w:rPr>
                <w:rFonts w:eastAsia="Times New Roman" w:cs="Times New Roman"/>
                <w:color w:val="000000"/>
                <w:sz w:val="20"/>
                <w:szCs w:val="20"/>
                <w:lang w:eastAsia="ru-RU"/>
              </w:rPr>
              <w:t>6</w:t>
            </w:r>
          </w:p>
        </w:tc>
        <w:tc>
          <w:tcPr>
            <w:tcW w:w="1351" w:type="dxa"/>
            <w:shd w:val="clear" w:color="auto" w:fill="auto"/>
            <w:noWrap/>
            <w:vAlign w:val="bottom"/>
            <w:hideMark/>
          </w:tcPr>
          <w:p w:rsidR="00C22BC8" w:rsidRPr="00C22BC8" w:rsidRDefault="004C1DE4" w:rsidP="00DC04CB">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12.9</w:t>
            </w:r>
          </w:p>
        </w:tc>
      </w:tr>
      <w:tr w:rsidR="00166FE8" w:rsidRPr="00C22BC8" w:rsidTr="00B51C0F">
        <w:trPr>
          <w:trHeight w:val="300"/>
          <w:jc w:val="center"/>
        </w:trPr>
        <w:tc>
          <w:tcPr>
            <w:tcW w:w="6753" w:type="dxa"/>
            <w:gridSpan w:val="5"/>
            <w:shd w:val="clear" w:color="auto" w:fill="auto"/>
            <w:noWrap/>
            <w:vAlign w:val="bottom"/>
            <w:hideMark/>
          </w:tcPr>
          <w:p w:rsidR="00166FE8" w:rsidRPr="00C22BC8" w:rsidRDefault="00166FE8" w:rsidP="001B1BC0">
            <w:pPr>
              <w:spacing w:before="120" w:after="6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Trade-weighted average</w:t>
            </w:r>
          </w:p>
        </w:tc>
      </w:tr>
      <w:tr w:rsidR="00C22BC8" w:rsidRPr="00C22BC8" w:rsidTr="00B51C0F">
        <w:trPr>
          <w:trHeight w:val="216"/>
          <w:jc w:val="center"/>
        </w:trPr>
        <w:tc>
          <w:tcPr>
            <w:tcW w:w="1351" w:type="dxa"/>
            <w:shd w:val="clear" w:color="auto" w:fill="auto"/>
            <w:noWrap/>
            <w:vAlign w:val="bottom"/>
            <w:hideMark/>
          </w:tcPr>
          <w:p w:rsidR="00C22BC8" w:rsidRPr="00C22BC8" w:rsidRDefault="00C22BC8" w:rsidP="00DC04CB">
            <w:pPr>
              <w:spacing w:after="0" w:line="240" w:lineRule="auto"/>
              <w:rPr>
                <w:rFonts w:eastAsia="Times New Roman" w:cs="Times New Roman"/>
                <w:color w:val="000000"/>
                <w:sz w:val="20"/>
                <w:szCs w:val="20"/>
                <w:lang w:eastAsia="ru-RU"/>
              </w:rPr>
            </w:pPr>
            <w:r w:rsidRPr="00C22BC8">
              <w:rPr>
                <w:rFonts w:eastAsia="Times New Roman" w:cs="Times New Roman"/>
                <w:color w:val="000000"/>
                <w:sz w:val="20"/>
                <w:szCs w:val="20"/>
                <w:lang w:eastAsia="ru-RU"/>
              </w:rPr>
              <w:t>2009</w:t>
            </w:r>
          </w:p>
        </w:tc>
        <w:tc>
          <w:tcPr>
            <w:tcW w:w="1351" w:type="dxa"/>
            <w:shd w:val="clear" w:color="auto" w:fill="auto"/>
            <w:noWrap/>
            <w:vAlign w:val="bottom"/>
            <w:hideMark/>
          </w:tcPr>
          <w:p w:rsidR="00C22BC8" w:rsidRPr="00C22BC8" w:rsidRDefault="00C22BC8" w:rsidP="004C1DE4">
            <w:pPr>
              <w:spacing w:after="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1.</w:t>
            </w:r>
            <w:r w:rsidR="004C1DE4">
              <w:rPr>
                <w:rFonts w:eastAsia="Times New Roman" w:cs="Times New Roman"/>
                <w:color w:val="000000"/>
                <w:sz w:val="20"/>
                <w:szCs w:val="20"/>
                <w:lang w:eastAsia="ru-RU"/>
              </w:rPr>
              <w:t>7</w:t>
            </w:r>
          </w:p>
        </w:tc>
        <w:tc>
          <w:tcPr>
            <w:tcW w:w="1350" w:type="dxa"/>
            <w:shd w:val="clear" w:color="auto" w:fill="auto"/>
            <w:noWrap/>
            <w:vAlign w:val="bottom"/>
            <w:hideMark/>
          </w:tcPr>
          <w:p w:rsidR="00C22BC8" w:rsidRPr="00C22BC8" w:rsidRDefault="00C22BC8" w:rsidP="004C1DE4">
            <w:pPr>
              <w:spacing w:after="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9.</w:t>
            </w:r>
            <w:r w:rsidR="004C1DE4">
              <w:rPr>
                <w:rFonts w:eastAsia="Times New Roman" w:cs="Times New Roman"/>
                <w:color w:val="000000"/>
                <w:sz w:val="20"/>
                <w:szCs w:val="20"/>
                <w:lang w:eastAsia="ru-RU"/>
              </w:rPr>
              <w:t>1</w:t>
            </w:r>
          </w:p>
        </w:tc>
        <w:tc>
          <w:tcPr>
            <w:tcW w:w="1350" w:type="dxa"/>
            <w:shd w:val="clear" w:color="auto" w:fill="auto"/>
            <w:noWrap/>
            <w:vAlign w:val="bottom"/>
            <w:hideMark/>
          </w:tcPr>
          <w:p w:rsidR="00C22BC8" w:rsidRPr="00C22BC8" w:rsidRDefault="004C1DE4" w:rsidP="00DC04CB">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5.4</w:t>
            </w:r>
          </w:p>
        </w:tc>
        <w:tc>
          <w:tcPr>
            <w:tcW w:w="1351" w:type="dxa"/>
            <w:shd w:val="clear" w:color="auto" w:fill="auto"/>
            <w:noWrap/>
            <w:vAlign w:val="bottom"/>
            <w:hideMark/>
          </w:tcPr>
          <w:p w:rsidR="00C22BC8" w:rsidRPr="00C22BC8" w:rsidRDefault="004C1DE4" w:rsidP="00DC04CB">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8.2</w:t>
            </w:r>
          </w:p>
        </w:tc>
      </w:tr>
      <w:tr w:rsidR="00C22BC8" w:rsidRPr="00C22BC8" w:rsidTr="00B51C0F">
        <w:trPr>
          <w:trHeight w:val="216"/>
          <w:jc w:val="center"/>
        </w:trPr>
        <w:tc>
          <w:tcPr>
            <w:tcW w:w="1351" w:type="dxa"/>
            <w:shd w:val="clear" w:color="auto" w:fill="auto"/>
            <w:noWrap/>
            <w:vAlign w:val="bottom"/>
            <w:hideMark/>
          </w:tcPr>
          <w:p w:rsidR="00C22BC8" w:rsidRPr="00C22BC8" w:rsidRDefault="00C22BC8" w:rsidP="00DC04CB">
            <w:pPr>
              <w:spacing w:after="0" w:line="240" w:lineRule="auto"/>
              <w:rPr>
                <w:rFonts w:eastAsia="Times New Roman" w:cs="Times New Roman"/>
                <w:color w:val="000000"/>
                <w:sz w:val="20"/>
                <w:szCs w:val="20"/>
                <w:lang w:eastAsia="ru-RU"/>
              </w:rPr>
            </w:pPr>
            <w:r w:rsidRPr="00C22BC8">
              <w:rPr>
                <w:rFonts w:eastAsia="Times New Roman" w:cs="Times New Roman"/>
                <w:color w:val="000000"/>
                <w:sz w:val="20"/>
                <w:szCs w:val="20"/>
                <w:lang w:eastAsia="ru-RU"/>
              </w:rPr>
              <w:t>2012</w:t>
            </w:r>
          </w:p>
        </w:tc>
        <w:tc>
          <w:tcPr>
            <w:tcW w:w="1351" w:type="dxa"/>
            <w:shd w:val="clear" w:color="auto" w:fill="auto"/>
            <w:noWrap/>
            <w:vAlign w:val="bottom"/>
            <w:hideMark/>
          </w:tcPr>
          <w:p w:rsidR="00C22BC8" w:rsidRPr="00C22BC8" w:rsidRDefault="00C22BC8" w:rsidP="004C1DE4">
            <w:pPr>
              <w:spacing w:after="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4.</w:t>
            </w:r>
            <w:r w:rsidR="004C1DE4">
              <w:rPr>
                <w:rFonts w:eastAsia="Times New Roman" w:cs="Times New Roman"/>
                <w:color w:val="000000"/>
                <w:sz w:val="20"/>
                <w:szCs w:val="20"/>
                <w:lang w:eastAsia="ru-RU"/>
              </w:rPr>
              <w:t>7</w:t>
            </w:r>
          </w:p>
        </w:tc>
        <w:tc>
          <w:tcPr>
            <w:tcW w:w="1350" w:type="dxa"/>
            <w:shd w:val="clear" w:color="auto" w:fill="auto"/>
            <w:noWrap/>
            <w:vAlign w:val="bottom"/>
            <w:hideMark/>
          </w:tcPr>
          <w:p w:rsidR="00C22BC8" w:rsidRPr="00C22BC8" w:rsidRDefault="004C1DE4" w:rsidP="001B1BC0">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14.0</w:t>
            </w:r>
          </w:p>
        </w:tc>
        <w:tc>
          <w:tcPr>
            <w:tcW w:w="1350" w:type="dxa"/>
            <w:shd w:val="clear" w:color="auto" w:fill="auto"/>
            <w:noWrap/>
            <w:vAlign w:val="bottom"/>
            <w:hideMark/>
          </w:tcPr>
          <w:p w:rsidR="00C22BC8" w:rsidRPr="00C22BC8" w:rsidRDefault="00C22BC8" w:rsidP="004C1DE4">
            <w:pPr>
              <w:spacing w:after="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8.</w:t>
            </w:r>
            <w:r w:rsidR="004C1DE4">
              <w:rPr>
                <w:rFonts w:eastAsia="Times New Roman" w:cs="Times New Roman"/>
                <w:color w:val="000000"/>
                <w:sz w:val="20"/>
                <w:szCs w:val="20"/>
                <w:lang w:eastAsia="ru-RU"/>
              </w:rPr>
              <w:t>9</w:t>
            </w:r>
          </w:p>
        </w:tc>
        <w:tc>
          <w:tcPr>
            <w:tcW w:w="1351" w:type="dxa"/>
            <w:shd w:val="clear" w:color="auto" w:fill="auto"/>
            <w:noWrap/>
            <w:vAlign w:val="bottom"/>
            <w:hideMark/>
          </w:tcPr>
          <w:p w:rsidR="00C22BC8" w:rsidRPr="00C22BC8" w:rsidRDefault="004C1DE4" w:rsidP="00DC04CB">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16.1</w:t>
            </w:r>
          </w:p>
        </w:tc>
      </w:tr>
      <w:tr w:rsidR="00C22BC8" w:rsidRPr="00C22BC8" w:rsidTr="00B51C0F">
        <w:trPr>
          <w:trHeight w:val="216"/>
          <w:jc w:val="center"/>
        </w:trPr>
        <w:tc>
          <w:tcPr>
            <w:tcW w:w="1351" w:type="dxa"/>
            <w:tcBorders>
              <w:bottom w:val="single" w:sz="4" w:space="0" w:color="auto"/>
            </w:tcBorders>
            <w:shd w:val="clear" w:color="auto" w:fill="auto"/>
            <w:noWrap/>
            <w:vAlign w:val="bottom"/>
            <w:hideMark/>
          </w:tcPr>
          <w:p w:rsidR="00C22BC8" w:rsidRPr="00C22BC8" w:rsidRDefault="00C22BC8" w:rsidP="00DC04CB">
            <w:pPr>
              <w:spacing w:after="0" w:line="240" w:lineRule="auto"/>
              <w:rPr>
                <w:rFonts w:eastAsia="Times New Roman" w:cs="Times New Roman"/>
                <w:color w:val="000000"/>
                <w:sz w:val="20"/>
                <w:szCs w:val="20"/>
                <w:lang w:eastAsia="ru-RU"/>
              </w:rPr>
            </w:pPr>
            <w:r w:rsidRPr="00C22BC8">
              <w:rPr>
                <w:rFonts w:eastAsia="Times New Roman" w:cs="Times New Roman"/>
                <w:color w:val="000000"/>
                <w:sz w:val="20"/>
                <w:szCs w:val="20"/>
                <w:lang w:eastAsia="ru-RU"/>
              </w:rPr>
              <w:t>2020</w:t>
            </w:r>
          </w:p>
        </w:tc>
        <w:tc>
          <w:tcPr>
            <w:tcW w:w="1351" w:type="dxa"/>
            <w:tcBorders>
              <w:bottom w:val="single" w:sz="4" w:space="0" w:color="auto"/>
            </w:tcBorders>
            <w:shd w:val="clear" w:color="auto" w:fill="auto"/>
            <w:noWrap/>
            <w:vAlign w:val="bottom"/>
            <w:hideMark/>
          </w:tcPr>
          <w:p w:rsidR="00C22BC8" w:rsidRPr="00C22BC8" w:rsidRDefault="00C22BC8" w:rsidP="004C1DE4">
            <w:pPr>
              <w:spacing w:after="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3.</w:t>
            </w:r>
            <w:r w:rsidR="004C1DE4">
              <w:rPr>
                <w:rFonts w:eastAsia="Times New Roman" w:cs="Times New Roman"/>
                <w:color w:val="000000"/>
                <w:sz w:val="20"/>
                <w:szCs w:val="20"/>
                <w:lang w:eastAsia="ru-RU"/>
              </w:rPr>
              <w:t>4</w:t>
            </w:r>
          </w:p>
        </w:tc>
        <w:tc>
          <w:tcPr>
            <w:tcW w:w="1350" w:type="dxa"/>
            <w:tcBorders>
              <w:bottom w:val="single" w:sz="4" w:space="0" w:color="auto"/>
            </w:tcBorders>
            <w:shd w:val="clear" w:color="auto" w:fill="auto"/>
            <w:noWrap/>
            <w:vAlign w:val="bottom"/>
            <w:hideMark/>
          </w:tcPr>
          <w:p w:rsidR="00C22BC8" w:rsidRPr="00C22BC8" w:rsidRDefault="00C22BC8" w:rsidP="004C1DE4">
            <w:pPr>
              <w:spacing w:after="0" w:line="240" w:lineRule="auto"/>
              <w:jc w:val="center"/>
              <w:rPr>
                <w:rFonts w:eastAsia="Times New Roman" w:cs="Times New Roman"/>
                <w:color w:val="000000"/>
                <w:sz w:val="20"/>
                <w:szCs w:val="20"/>
                <w:lang w:eastAsia="ru-RU"/>
              </w:rPr>
            </w:pPr>
            <w:r w:rsidRPr="00C22BC8">
              <w:rPr>
                <w:rFonts w:eastAsia="Times New Roman" w:cs="Times New Roman"/>
                <w:color w:val="000000"/>
                <w:sz w:val="20"/>
                <w:szCs w:val="20"/>
                <w:lang w:eastAsia="ru-RU"/>
              </w:rPr>
              <w:t>8.</w:t>
            </w:r>
            <w:r w:rsidR="004C1DE4">
              <w:rPr>
                <w:rFonts w:eastAsia="Times New Roman" w:cs="Times New Roman"/>
                <w:color w:val="000000"/>
                <w:sz w:val="20"/>
                <w:szCs w:val="20"/>
                <w:lang w:eastAsia="ru-RU"/>
              </w:rPr>
              <w:t>5</w:t>
            </w:r>
          </w:p>
        </w:tc>
        <w:tc>
          <w:tcPr>
            <w:tcW w:w="1350" w:type="dxa"/>
            <w:tcBorders>
              <w:bottom w:val="single" w:sz="4" w:space="0" w:color="auto"/>
            </w:tcBorders>
            <w:shd w:val="clear" w:color="auto" w:fill="auto"/>
            <w:noWrap/>
            <w:vAlign w:val="bottom"/>
            <w:hideMark/>
          </w:tcPr>
          <w:p w:rsidR="00C22BC8" w:rsidRPr="00C22BC8" w:rsidRDefault="004C1DE4" w:rsidP="00DC04CB">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5.9</w:t>
            </w:r>
          </w:p>
        </w:tc>
        <w:tc>
          <w:tcPr>
            <w:tcW w:w="1351" w:type="dxa"/>
            <w:tcBorders>
              <w:bottom w:val="single" w:sz="4" w:space="0" w:color="auto"/>
            </w:tcBorders>
            <w:shd w:val="clear" w:color="auto" w:fill="auto"/>
            <w:noWrap/>
            <w:vAlign w:val="bottom"/>
            <w:hideMark/>
          </w:tcPr>
          <w:p w:rsidR="00C22BC8" w:rsidRPr="00C22BC8" w:rsidRDefault="004C1DE4" w:rsidP="00DC04CB">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6.9</w:t>
            </w:r>
          </w:p>
        </w:tc>
      </w:tr>
      <w:tr w:rsidR="00166FE8" w:rsidRPr="00C22BC8" w:rsidTr="00B51C0F">
        <w:trPr>
          <w:trHeight w:val="300"/>
          <w:jc w:val="center"/>
        </w:trPr>
        <w:tc>
          <w:tcPr>
            <w:tcW w:w="6753" w:type="dxa"/>
            <w:gridSpan w:val="5"/>
            <w:tcBorders>
              <w:top w:val="single" w:sz="4" w:space="0" w:color="auto"/>
            </w:tcBorders>
            <w:shd w:val="clear" w:color="auto" w:fill="auto"/>
            <w:noWrap/>
            <w:vAlign w:val="bottom"/>
          </w:tcPr>
          <w:p w:rsidR="00D77BE1" w:rsidRDefault="004C1DE4" w:rsidP="00166FE8">
            <w:pPr>
              <w:spacing w:before="120" w:after="0" w:line="240" w:lineRule="auto"/>
              <w:jc w:val="left"/>
              <w:rPr>
                <w:rFonts w:cs="Times New Roman"/>
                <w:sz w:val="18"/>
                <w:szCs w:val="18"/>
              </w:rPr>
            </w:pPr>
            <w:r>
              <w:rPr>
                <w:rFonts w:cs="Times New Roman"/>
                <w:sz w:val="18"/>
                <w:szCs w:val="18"/>
              </w:rPr>
              <w:t>Source:</w:t>
            </w:r>
            <w:r w:rsidR="00786508">
              <w:rPr>
                <w:rFonts w:cs="Times New Roman"/>
                <w:sz w:val="18"/>
                <w:szCs w:val="18"/>
              </w:rPr>
              <w:t xml:space="preserve"> </w:t>
            </w:r>
            <w:r>
              <w:rPr>
                <w:rFonts w:cs="Times New Roman"/>
                <w:sz w:val="18"/>
                <w:szCs w:val="18"/>
              </w:rPr>
              <w:t>Official data. World Bank calculations.</w:t>
            </w:r>
            <w:r w:rsidR="00786508">
              <w:rPr>
                <w:rFonts w:cs="Times New Roman"/>
                <w:sz w:val="18"/>
                <w:szCs w:val="18"/>
              </w:rPr>
              <w:t xml:space="preserve"> </w:t>
            </w:r>
          </w:p>
          <w:p w:rsidR="00166FE8" w:rsidRPr="00C22BC8" w:rsidRDefault="00166FE8" w:rsidP="00D77BE1">
            <w:pPr>
              <w:spacing w:before="60" w:after="0" w:line="240" w:lineRule="auto"/>
              <w:rPr>
                <w:rFonts w:eastAsia="Times New Roman" w:cs="Times New Roman"/>
                <w:color w:val="000000"/>
                <w:sz w:val="20"/>
                <w:szCs w:val="20"/>
                <w:lang w:eastAsia="ru-RU"/>
              </w:rPr>
            </w:pPr>
            <w:r w:rsidRPr="00C22BC8">
              <w:rPr>
                <w:rFonts w:cs="Times New Roman"/>
                <w:sz w:val="18"/>
                <w:szCs w:val="18"/>
              </w:rPr>
              <w:t xml:space="preserve">Note: The mapping of the six-digit HS code into four product categories according to WTO –SoP schedule is available at </w:t>
            </w:r>
            <w:hyperlink r:id="rId17" w:history="1">
              <w:r w:rsidRPr="00C22BC8">
                <w:rPr>
                  <w:rFonts w:cs="Times New Roman"/>
                  <w:color w:val="0000FF"/>
                  <w:sz w:val="18"/>
                  <w:szCs w:val="18"/>
                  <w:u w:val="single"/>
                </w:rPr>
                <w:t>http://wits.worldbank.org/wits/data_details.html</w:t>
              </w:r>
            </w:hyperlink>
            <w:r w:rsidRPr="00C22BC8">
              <w:rPr>
                <w:rFonts w:cs="Times New Roman"/>
                <w:sz w:val="18"/>
                <w:szCs w:val="18"/>
              </w:rPr>
              <w:t>. 2009 statistics are based on author’s computations performed for World Bank (2012) report. They use the same methodology; therefore can be compared with the computations performed in this study. Trade weights are computed based on import statistics of Kazakhstan for 2009 (2009 rates) and 2012 (2012 and 2020 rates).</w:t>
            </w:r>
          </w:p>
        </w:tc>
      </w:tr>
    </w:tbl>
    <w:p w:rsidR="00166FE8" w:rsidRDefault="00166FE8" w:rsidP="00E6002A">
      <w:pPr>
        <w:pStyle w:val="ListParagraph"/>
        <w:spacing w:after="0" w:line="240" w:lineRule="auto"/>
        <w:ind w:left="0"/>
        <w:contextualSpacing w:val="0"/>
        <w:rPr>
          <w:rFonts w:cs="Times New Roman"/>
          <w:b/>
          <w:sz w:val="22"/>
        </w:rPr>
      </w:pPr>
    </w:p>
    <w:p w:rsidR="00880F6A" w:rsidRPr="00D77BE1" w:rsidRDefault="005E706C" w:rsidP="00D77BE1">
      <w:pPr>
        <w:pStyle w:val="ListParagraph"/>
        <w:numPr>
          <w:ilvl w:val="0"/>
          <w:numId w:val="1"/>
        </w:numPr>
        <w:tabs>
          <w:tab w:val="left" w:pos="720"/>
        </w:tabs>
        <w:spacing w:line="240" w:lineRule="auto"/>
        <w:ind w:left="0" w:firstLine="0"/>
        <w:contextualSpacing w:val="0"/>
        <w:rPr>
          <w:rFonts w:cs="Times New Roman"/>
          <w:sz w:val="22"/>
        </w:rPr>
      </w:pPr>
      <w:r w:rsidRPr="005E706C">
        <w:rPr>
          <w:rFonts w:cs="Times New Roman"/>
          <w:b/>
          <w:sz w:val="22"/>
        </w:rPr>
        <w:lastRenderedPageBreak/>
        <w:t xml:space="preserve">Kazakhstan’s </w:t>
      </w:r>
      <w:r w:rsidR="007242FC">
        <w:rPr>
          <w:rFonts w:cs="Times New Roman"/>
          <w:b/>
          <w:sz w:val="22"/>
        </w:rPr>
        <w:t xml:space="preserve">pre-CU </w:t>
      </w:r>
      <w:r w:rsidRPr="005E706C">
        <w:rPr>
          <w:rFonts w:cs="Times New Roman"/>
          <w:b/>
          <w:sz w:val="22"/>
        </w:rPr>
        <w:t xml:space="preserve">imports from </w:t>
      </w:r>
      <w:r w:rsidR="00E6002A" w:rsidRPr="005E706C">
        <w:rPr>
          <w:rFonts w:cs="Times New Roman"/>
          <w:b/>
          <w:sz w:val="22"/>
        </w:rPr>
        <w:t>its</w:t>
      </w:r>
      <w:r w:rsidRPr="005E706C">
        <w:rPr>
          <w:rFonts w:cs="Times New Roman"/>
          <w:b/>
          <w:sz w:val="22"/>
        </w:rPr>
        <w:t xml:space="preserve"> four </w:t>
      </w:r>
      <w:r w:rsidR="00347EB0" w:rsidRPr="005E706C">
        <w:rPr>
          <w:rFonts w:cs="Times New Roman"/>
          <w:b/>
          <w:sz w:val="22"/>
        </w:rPr>
        <w:t>m</w:t>
      </w:r>
      <w:r w:rsidR="00347EB0">
        <w:rPr>
          <w:rFonts w:cs="Times New Roman"/>
          <w:b/>
          <w:sz w:val="22"/>
        </w:rPr>
        <w:t>ain</w:t>
      </w:r>
      <w:r w:rsidR="00347EB0" w:rsidRPr="005E706C">
        <w:rPr>
          <w:rFonts w:cs="Times New Roman"/>
          <w:b/>
          <w:sz w:val="22"/>
        </w:rPr>
        <w:t xml:space="preserve"> </w:t>
      </w:r>
      <w:r w:rsidRPr="005E706C">
        <w:rPr>
          <w:rFonts w:cs="Times New Roman"/>
          <w:b/>
          <w:sz w:val="22"/>
        </w:rPr>
        <w:t>trading partners show</w:t>
      </w:r>
      <w:r w:rsidR="00DB1980">
        <w:rPr>
          <w:rFonts w:cs="Times New Roman"/>
          <w:b/>
          <w:sz w:val="22"/>
        </w:rPr>
        <w:t xml:space="preserve"> </w:t>
      </w:r>
      <w:r w:rsidR="00FD5DBC">
        <w:rPr>
          <w:rFonts w:cs="Times New Roman"/>
          <w:b/>
          <w:sz w:val="22"/>
        </w:rPr>
        <w:t xml:space="preserve">a </w:t>
      </w:r>
      <w:r w:rsidR="00362029">
        <w:rPr>
          <w:rFonts w:cs="Times New Roman"/>
          <w:b/>
          <w:sz w:val="22"/>
        </w:rPr>
        <w:t xml:space="preserve">typical </w:t>
      </w:r>
      <w:r w:rsidRPr="005E706C">
        <w:rPr>
          <w:rFonts w:cs="Times New Roman"/>
          <w:b/>
          <w:sz w:val="22"/>
        </w:rPr>
        <w:t xml:space="preserve">pattern for </w:t>
      </w:r>
      <w:r w:rsidR="00AD0F02">
        <w:rPr>
          <w:rFonts w:cs="Times New Roman"/>
          <w:b/>
          <w:sz w:val="22"/>
        </w:rPr>
        <w:t xml:space="preserve">a </w:t>
      </w:r>
      <w:r w:rsidR="00AD0F02" w:rsidRPr="005E706C">
        <w:rPr>
          <w:rFonts w:cs="Times New Roman"/>
          <w:b/>
          <w:sz w:val="22"/>
        </w:rPr>
        <w:t>develop</w:t>
      </w:r>
      <w:r w:rsidR="00AD0F02">
        <w:rPr>
          <w:rFonts w:cs="Times New Roman"/>
          <w:b/>
          <w:sz w:val="22"/>
        </w:rPr>
        <w:t xml:space="preserve">ing </w:t>
      </w:r>
      <w:r w:rsidRPr="005E706C">
        <w:rPr>
          <w:rFonts w:cs="Times New Roman"/>
          <w:b/>
          <w:sz w:val="22"/>
        </w:rPr>
        <w:t>small open economy.</w:t>
      </w:r>
      <w:r w:rsidR="00786508">
        <w:rPr>
          <w:rFonts w:cs="Times New Roman"/>
          <w:b/>
          <w:sz w:val="22"/>
        </w:rPr>
        <w:t xml:space="preserve"> </w:t>
      </w:r>
      <w:r w:rsidR="007242FC">
        <w:rPr>
          <w:rFonts w:cs="Times New Roman"/>
          <w:sz w:val="22"/>
        </w:rPr>
        <w:t>In 2009, t</w:t>
      </w:r>
      <w:r w:rsidR="00347EB0" w:rsidRPr="00DB1980">
        <w:rPr>
          <w:rFonts w:cs="Times New Roman"/>
          <w:sz w:val="22"/>
        </w:rPr>
        <w:t xml:space="preserve">he four main trade partners </w:t>
      </w:r>
      <w:r w:rsidR="009E781C">
        <w:rPr>
          <w:rFonts w:cs="Times New Roman"/>
          <w:sz w:val="22"/>
        </w:rPr>
        <w:t>were</w:t>
      </w:r>
      <w:r w:rsidR="00347EB0" w:rsidRPr="00DB1980">
        <w:rPr>
          <w:rFonts w:cs="Times New Roman"/>
          <w:sz w:val="22"/>
        </w:rPr>
        <w:t xml:space="preserve"> the Customs Union, the European Union, other CIS countries, and the Rest of the World, including China.</w:t>
      </w:r>
      <w:r w:rsidR="00786508">
        <w:rPr>
          <w:rFonts w:cs="Times New Roman"/>
          <w:b/>
          <w:sz w:val="22"/>
        </w:rPr>
        <w:t xml:space="preserve"> </w:t>
      </w:r>
      <w:r w:rsidRPr="005E706C">
        <w:rPr>
          <w:rFonts w:cs="Times New Roman"/>
          <w:sz w:val="22"/>
        </w:rPr>
        <w:t>Imports from OECD countries are dominated by large, complex manufactured items such as construction machines, passenger vehicles, mobile handsets, and other devices that require a high share of research and development and complex production facilities.</w:t>
      </w:r>
      <w:r w:rsidR="00786508">
        <w:rPr>
          <w:rFonts w:cs="Times New Roman"/>
          <w:sz w:val="22"/>
        </w:rPr>
        <w:t xml:space="preserve"> </w:t>
      </w:r>
      <w:r w:rsidRPr="005E706C">
        <w:rPr>
          <w:rFonts w:cs="Times New Roman"/>
          <w:sz w:val="22"/>
        </w:rPr>
        <w:t xml:space="preserve">Imports from the EU, show that 40 percent of imports are machinery and equipment, 20 percent are chemicals, followed by another 10 percent of electrical machinery and apparatus, and 8 </w:t>
      </w:r>
      <w:r w:rsidR="00E6002A" w:rsidRPr="005E706C">
        <w:rPr>
          <w:rFonts w:cs="Times New Roman"/>
          <w:sz w:val="22"/>
        </w:rPr>
        <w:t>percent of vehicles</w:t>
      </w:r>
      <w:r w:rsidR="00AB680F" w:rsidRPr="00347EB0">
        <w:rPr>
          <w:sz w:val="22"/>
        </w:rPr>
        <w:t>.</w:t>
      </w:r>
      <w:r w:rsidR="00786508">
        <w:rPr>
          <w:sz w:val="17"/>
          <w:szCs w:val="17"/>
        </w:rPr>
        <w:t xml:space="preserve"> </w:t>
      </w:r>
      <w:r w:rsidRPr="005E706C">
        <w:rPr>
          <w:rFonts w:cs="Times New Roman"/>
          <w:sz w:val="22"/>
        </w:rPr>
        <w:t xml:space="preserve">Conversely, the pattern of imports from Russia is dominated by basic resources and low-technology items. The largest single import from the Customs Union is crude oil and natural gas, followed by processed foods and beverages. Machinery and equipment are certainly imported from the Customs Union, but closer inspection shows that this machinery does not contain any significant amount of new </w:t>
      </w:r>
      <w:r w:rsidRPr="001B1BC0">
        <w:rPr>
          <w:rFonts w:cs="Times New Roman"/>
          <w:sz w:val="22"/>
        </w:rPr>
        <w:t>intellectual property.</w:t>
      </w:r>
      <w:r w:rsidR="00786508">
        <w:rPr>
          <w:rFonts w:cs="Times New Roman"/>
          <w:sz w:val="22"/>
        </w:rPr>
        <w:t xml:space="preserve"> </w:t>
      </w:r>
      <w:r w:rsidRPr="001B1BC0">
        <w:rPr>
          <w:rFonts w:cs="Times New Roman"/>
          <w:sz w:val="22"/>
        </w:rPr>
        <w:t>Chemicals and base-metals round out the remainder of major imports from the Customs Union</w:t>
      </w:r>
      <w:r w:rsidR="00AC7D33" w:rsidRPr="001B1BC0">
        <w:rPr>
          <w:rFonts w:cs="Times New Roman"/>
          <w:sz w:val="22"/>
        </w:rPr>
        <w:t xml:space="preserve"> (</w:t>
      </w:r>
      <w:r w:rsidR="00AC7D33" w:rsidRPr="001B1BC0">
        <w:rPr>
          <w:sz w:val="22"/>
        </w:rPr>
        <w:t xml:space="preserve">Table </w:t>
      </w:r>
      <w:r w:rsidR="00D27956">
        <w:rPr>
          <w:sz w:val="22"/>
        </w:rPr>
        <w:t>11</w:t>
      </w:r>
      <w:r w:rsidR="00AC7D33" w:rsidRPr="001B1BC0">
        <w:rPr>
          <w:sz w:val="22"/>
        </w:rPr>
        <w:t>)</w:t>
      </w:r>
      <w:r w:rsidR="00347EB0" w:rsidRPr="001B1BC0">
        <w:rPr>
          <w:rFonts w:cs="Times New Roman"/>
          <w:sz w:val="22"/>
        </w:rPr>
        <w:t>.</w:t>
      </w:r>
      <w:r w:rsidR="00AC7D33">
        <w:rPr>
          <w:rFonts w:cs="Times New Roman"/>
          <w:sz w:val="22"/>
        </w:rPr>
        <w:t xml:space="preserve"> </w:t>
      </w:r>
      <w:r w:rsidR="00240CFB" w:rsidRPr="00240CFB">
        <w:rPr>
          <w:rFonts w:cs="Times New Roman"/>
          <w:sz w:val="22"/>
        </w:rPr>
        <w:t>The profile of import from other CIS countries matches that of Russia, while imports from the ROW are most similar to those from EU.</w:t>
      </w:r>
      <w:r w:rsidR="00786508">
        <w:rPr>
          <w:rFonts w:cs="Times New Roman"/>
          <w:sz w:val="22"/>
        </w:rPr>
        <w:t xml:space="preserve"> </w:t>
      </w:r>
      <w:r w:rsidR="00AC7D33" w:rsidRPr="005E706C">
        <w:rPr>
          <w:rFonts w:cs="Times New Roman"/>
          <w:sz w:val="22"/>
        </w:rPr>
        <w:t xml:space="preserve">This pattern of trade dictates the magnitude of change after </w:t>
      </w:r>
      <w:r w:rsidR="00F44F2C">
        <w:rPr>
          <w:rFonts w:cs="Times New Roman"/>
          <w:sz w:val="22"/>
        </w:rPr>
        <w:t>Kazakhstan’s</w:t>
      </w:r>
      <w:r w:rsidR="00AC7D33">
        <w:rPr>
          <w:rFonts w:cs="Times New Roman"/>
          <w:sz w:val="22"/>
        </w:rPr>
        <w:t xml:space="preserve"> </w:t>
      </w:r>
      <w:r w:rsidR="00AC7D33" w:rsidRPr="005E706C">
        <w:rPr>
          <w:rFonts w:cs="Times New Roman"/>
          <w:sz w:val="22"/>
        </w:rPr>
        <w:t>WTO accession.</w:t>
      </w:r>
    </w:p>
    <w:tbl>
      <w:tblPr>
        <w:tblW w:w="9689" w:type="dxa"/>
        <w:jc w:val="center"/>
        <w:tblLook w:val="04A0" w:firstRow="1" w:lastRow="0" w:firstColumn="1" w:lastColumn="0" w:noHBand="0" w:noVBand="1"/>
      </w:tblPr>
      <w:tblGrid>
        <w:gridCol w:w="3469"/>
        <w:gridCol w:w="740"/>
        <w:gridCol w:w="721"/>
        <w:gridCol w:w="3240"/>
        <w:gridCol w:w="736"/>
        <w:gridCol w:w="783"/>
      </w:tblGrid>
      <w:tr w:rsidR="00347EB0" w:rsidRPr="00E94B0D" w:rsidTr="006A6079">
        <w:trPr>
          <w:trHeight w:val="20"/>
          <w:jc w:val="center"/>
        </w:trPr>
        <w:tc>
          <w:tcPr>
            <w:tcW w:w="9689" w:type="dxa"/>
            <w:gridSpan w:val="6"/>
            <w:tcBorders>
              <w:bottom w:val="single" w:sz="4" w:space="0" w:color="auto"/>
            </w:tcBorders>
            <w:shd w:val="clear" w:color="auto" w:fill="auto"/>
            <w:noWrap/>
            <w:vAlign w:val="bottom"/>
          </w:tcPr>
          <w:p w:rsidR="00347EB0" w:rsidRPr="00880F6A" w:rsidRDefault="0056192E" w:rsidP="00880F6A">
            <w:pPr>
              <w:pStyle w:val="Caption"/>
            </w:pPr>
            <w:bookmarkStart w:id="32" w:name="_Toc378151219"/>
            <w:r>
              <w:t xml:space="preserve">Table </w:t>
            </w:r>
            <w:fldSimple w:instr=" SEQ Table \* ARABIC ">
              <w:r>
                <w:rPr>
                  <w:noProof/>
                </w:rPr>
                <w:t>11</w:t>
              </w:r>
            </w:fldSimple>
            <w:r w:rsidR="00D77BE1">
              <w:t xml:space="preserve">: </w:t>
            </w:r>
            <w:r w:rsidR="00347EB0" w:rsidRPr="00880F6A">
              <w:t xml:space="preserve">The </w:t>
            </w:r>
            <w:r w:rsidR="00D77BE1">
              <w:t>Pattern o</w:t>
            </w:r>
            <w:r w:rsidR="00D77BE1" w:rsidRPr="00880F6A">
              <w:t>f Imports Depend</w:t>
            </w:r>
            <w:r w:rsidR="00D77BE1">
              <w:t>ed on t</w:t>
            </w:r>
            <w:r w:rsidR="00D77BE1" w:rsidRPr="00880F6A">
              <w:t xml:space="preserve">he Trading Partner </w:t>
            </w:r>
            <w:r w:rsidR="00D77BE1">
              <w:t>in Pre-</w:t>
            </w:r>
            <w:r w:rsidR="007242FC">
              <w:t xml:space="preserve">CU </w:t>
            </w:r>
            <w:r w:rsidR="00D77BE1">
              <w:t>Period</w:t>
            </w:r>
            <w:bookmarkEnd w:id="32"/>
          </w:p>
          <w:p w:rsidR="00347EB0" w:rsidRPr="00880F6A" w:rsidRDefault="00347EB0" w:rsidP="00880F6A">
            <w:pPr>
              <w:spacing w:before="60" w:after="60" w:line="240" w:lineRule="auto"/>
              <w:jc w:val="center"/>
              <w:rPr>
                <w:rFonts w:eastAsia="Times New Roman" w:cs="Times New Roman"/>
                <w:bCs/>
                <w:sz w:val="18"/>
                <w:szCs w:val="18"/>
              </w:rPr>
            </w:pPr>
            <w:r w:rsidRPr="00880F6A">
              <w:rPr>
                <w:sz w:val="18"/>
                <w:szCs w:val="18"/>
              </w:rPr>
              <w:t xml:space="preserve">(2009, billion </w:t>
            </w:r>
            <w:r w:rsidR="004C1DE4">
              <w:rPr>
                <w:sz w:val="18"/>
                <w:szCs w:val="18"/>
              </w:rPr>
              <w:t>T</w:t>
            </w:r>
            <w:r w:rsidRPr="00880F6A">
              <w:rPr>
                <w:sz w:val="18"/>
                <w:szCs w:val="18"/>
              </w:rPr>
              <w:t>enge and percent)</w:t>
            </w:r>
          </w:p>
        </w:tc>
      </w:tr>
      <w:tr w:rsidR="00347EB0" w:rsidRPr="00E94B0D" w:rsidTr="006A6079">
        <w:trPr>
          <w:trHeight w:val="20"/>
          <w:jc w:val="center"/>
        </w:trPr>
        <w:tc>
          <w:tcPr>
            <w:tcW w:w="4930" w:type="dxa"/>
            <w:gridSpan w:val="3"/>
            <w:tcBorders>
              <w:top w:val="single" w:sz="4" w:space="0" w:color="auto"/>
              <w:bottom w:val="single" w:sz="4" w:space="0" w:color="auto"/>
              <w:right w:val="single" w:sz="4" w:space="0" w:color="auto"/>
            </w:tcBorders>
            <w:shd w:val="clear" w:color="auto" w:fill="auto"/>
            <w:noWrap/>
            <w:vAlign w:val="bottom"/>
            <w:hideMark/>
          </w:tcPr>
          <w:p w:rsidR="00347EB0" w:rsidRPr="006A6079" w:rsidRDefault="00347EB0" w:rsidP="008A48B2">
            <w:pPr>
              <w:spacing w:after="60" w:line="240" w:lineRule="auto"/>
              <w:jc w:val="center"/>
              <w:rPr>
                <w:rFonts w:eastAsia="Times New Roman" w:cs="Times New Roman"/>
                <w:bCs/>
                <w:sz w:val="18"/>
                <w:szCs w:val="18"/>
              </w:rPr>
            </w:pPr>
            <w:r w:rsidRPr="006A6079">
              <w:rPr>
                <w:rFonts w:eastAsia="Times New Roman" w:cs="Times New Roman"/>
                <w:bCs/>
                <w:sz w:val="18"/>
                <w:szCs w:val="18"/>
              </w:rPr>
              <w:t>European Union</w:t>
            </w:r>
          </w:p>
        </w:tc>
        <w:tc>
          <w:tcPr>
            <w:tcW w:w="4759" w:type="dxa"/>
            <w:gridSpan w:val="3"/>
            <w:tcBorders>
              <w:top w:val="single" w:sz="4" w:space="0" w:color="auto"/>
              <w:left w:val="single" w:sz="4" w:space="0" w:color="auto"/>
              <w:bottom w:val="single" w:sz="4" w:space="0" w:color="auto"/>
            </w:tcBorders>
            <w:shd w:val="clear" w:color="auto" w:fill="auto"/>
            <w:noWrap/>
            <w:vAlign w:val="bottom"/>
            <w:hideMark/>
          </w:tcPr>
          <w:p w:rsidR="00347EB0" w:rsidRPr="006A6079" w:rsidRDefault="00347EB0" w:rsidP="008A48B2">
            <w:pPr>
              <w:spacing w:after="60" w:line="240" w:lineRule="auto"/>
              <w:jc w:val="center"/>
              <w:rPr>
                <w:rFonts w:eastAsia="Times New Roman" w:cs="Times New Roman"/>
                <w:bCs/>
                <w:sz w:val="18"/>
                <w:szCs w:val="18"/>
              </w:rPr>
            </w:pPr>
            <w:r w:rsidRPr="006A6079">
              <w:rPr>
                <w:rFonts w:eastAsia="Times New Roman" w:cs="Times New Roman"/>
                <w:bCs/>
                <w:sz w:val="18"/>
                <w:szCs w:val="18"/>
              </w:rPr>
              <w:t>Other CIS Countries</w:t>
            </w:r>
          </w:p>
        </w:tc>
      </w:tr>
      <w:tr w:rsidR="00347EB0" w:rsidRPr="00E94B0D" w:rsidTr="006A6079">
        <w:trPr>
          <w:trHeight w:val="20"/>
          <w:jc w:val="center"/>
        </w:trPr>
        <w:tc>
          <w:tcPr>
            <w:tcW w:w="3469" w:type="dxa"/>
            <w:tcBorders>
              <w:top w:val="single" w:sz="4" w:space="0" w:color="auto"/>
              <w:bottom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p>
        </w:tc>
        <w:tc>
          <w:tcPr>
            <w:tcW w:w="740" w:type="dxa"/>
            <w:tcBorders>
              <w:top w:val="single" w:sz="4" w:space="0" w:color="auto"/>
              <w:bottom w:val="single" w:sz="4" w:space="0" w:color="auto"/>
            </w:tcBorders>
            <w:shd w:val="clear" w:color="auto" w:fill="auto"/>
            <w:vAlign w:val="center"/>
            <w:hideMark/>
          </w:tcPr>
          <w:p w:rsidR="00347EB0" w:rsidRPr="006A6079" w:rsidRDefault="00347EB0" w:rsidP="009E781C">
            <w:pPr>
              <w:spacing w:after="0" w:line="240" w:lineRule="auto"/>
              <w:jc w:val="center"/>
              <w:rPr>
                <w:rFonts w:eastAsia="Times New Roman" w:cs="Times New Roman"/>
                <w:sz w:val="18"/>
                <w:szCs w:val="18"/>
              </w:rPr>
            </w:pPr>
            <w:r w:rsidRPr="006A6079">
              <w:rPr>
                <w:rFonts w:eastAsia="Times New Roman" w:cs="Times New Roman"/>
                <w:sz w:val="18"/>
                <w:szCs w:val="18"/>
              </w:rPr>
              <w:t>Value</w:t>
            </w:r>
          </w:p>
        </w:tc>
        <w:tc>
          <w:tcPr>
            <w:tcW w:w="721" w:type="dxa"/>
            <w:tcBorders>
              <w:top w:val="single" w:sz="4" w:space="0" w:color="auto"/>
              <w:bottom w:val="single" w:sz="4" w:space="0" w:color="auto"/>
              <w:right w:val="single" w:sz="4" w:space="0" w:color="auto"/>
            </w:tcBorders>
            <w:shd w:val="clear" w:color="auto" w:fill="auto"/>
            <w:noWrap/>
            <w:vAlign w:val="center"/>
            <w:hideMark/>
          </w:tcPr>
          <w:p w:rsidR="00347EB0" w:rsidRPr="006A6079" w:rsidRDefault="00347EB0" w:rsidP="008A48B2">
            <w:pPr>
              <w:spacing w:after="0" w:line="240" w:lineRule="auto"/>
              <w:jc w:val="center"/>
              <w:rPr>
                <w:rFonts w:eastAsia="Times New Roman" w:cs="Times New Roman"/>
                <w:sz w:val="18"/>
                <w:szCs w:val="18"/>
              </w:rPr>
            </w:pPr>
            <w:r w:rsidRPr="006A6079">
              <w:rPr>
                <w:rFonts w:eastAsia="Times New Roman" w:cs="Times New Roman"/>
                <w:sz w:val="18"/>
                <w:szCs w:val="18"/>
              </w:rPr>
              <w:t>Share (%)</w:t>
            </w:r>
          </w:p>
        </w:tc>
        <w:tc>
          <w:tcPr>
            <w:tcW w:w="3240" w:type="dxa"/>
            <w:tcBorders>
              <w:top w:val="single" w:sz="4" w:space="0" w:color="auto"/>
              <w:left w:val="single" w:sz="4" w:space="0" w:color="auto"/>
              <w:bottom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p>
        </w:tc>
        <w:tc>
          <w:tcPr>
            <w:tcW w:w="736" w:type="dxa"/>
            <w:tcBorders>
              <w:top w:val="single" w:sz="4" w:space="0" w:color="auto"/>
              <w:bottom w:val="single" w:sz="4" w:space="0" w:color="auto"/>
            </w:tcBorders>
            <w:shd w:val="clear" w:color="auto" w:fill="auto"/>
            <w:vAlign w:val="center"/>
            <w:hideMark/>
          </w:tcPr>
          <w:p w:rsidR="00347EB0" w:rsidRPr="006A6079" w:rsidRDefault="009E781C" w:rsidP="008A48B2">
            <w:pPr>
              <w:spacing w:after="0" w:line="240" w:lineRule="auto"/>
              <w:jc w:val="center"/>
              <w:rPr>
                <w:rFonts w:eastAsia="Times New Roman" w:cs="Times New Roman"/>
                <w:sz w:val="18"/>
                <w:szCs w:val="18"/>
              </w:rPr>
            </w:pPr>
            <w:r>
              <w:rPr>
                <w:rFonts w:eastAsia="Times New Roman" w:cs="Times New Roman"/>
                <w:sz w:val="18"/>
                <w:szCs w:val="18"/>
              </w:rPr>
              <w:t>Value</w:t>
            </w:r>
          </w:p>
        </w:tc>
        <w:tc>
          <w:tcPr>
            <w:tcW w:w="783" w:type="dxa"/>
            <w:tcBorders>
              <w:top w:val="single" w:sz="4" w:space="0" w:color="auto"/>
              <w:bottom w:val="single" w:sz="4" w:space="0" w:color="auto"/>
            </w:tcBorders>
            <w:shd w:val="clear" w:color="auto" w:fill="auto"/>
            <w:noWrap/>
            <w:vAlign w:val="center"/>
            <w:hideMark/>
          </w:tcPr>
          <w:p w:rsidR="00347EB0" w:rsidRPr="006A6079" w:rsidRDefault="00347EB0" w:rsidP="008A48B2">
            <w:pPr>
              <w:spacing w:after="0" w:line="240" w:lineRule="auto"/>
              <w:jc w:val="center"/>
              <w:rPr>
                <w:rFonts w:eastAsia="Times New Roman" w:cs="Times New Roman"/>
                <w:sz w:val="18"/>
                <w:szCs w:val="18"/>
              </w:rPr>
            </w:pPr>
            <w:r w:rsidRPr="006A6079">
              <w:rPr>
                <w:rFonts w:eastAsia="Times New Roman" w:cs="Times New Roman"/>
                <w:sz w:val="18"/>
                <w:szCs w:val="18"/>
              </w:rPr>
              <w:t>Share (%)</w:t>
            </w:r>
          </w:p>
        </w:tc>
      </w:tr>
      <w:tr w:rsidR="00347EB0" w:rsidRPr="00E94B0D" w:rsidTr="006A6079">
        <w:trPr>
          <w:trHeight w:val="20"/>
          <w:jc w:val="center"/>
        </w:trPr>
        <w:tc>
          <w:tcPr>
            <w:tcW w:w="3469" w:type="dxa"/>
            <w:tcBorders>
              <w:top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Machinery and equipment</w:t>
            </w:r>
          </w:p>
        </w:tc>
        <w:tc>
          <w:tcPr>
            <w:tcW w:w="740" w:type="dxa"/>
            <w:tcBorders>
              <w:top w:val="single" w:sz="4" w:space="0" w:color="auto"/>
            </w:tcBorders>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408.5</w:t>
            </w:r>
          </w:p>
        </w:tc>
        <w:tc>
          <w:tcPr>
            <w:tcW w:w="721" w:type="dxa"/>
            <w:tcBorders>
              <w:top w:val="single" w:sz="4" w:space="0" w:color="auto"/>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40</w:t>
            </w:r>
          </w:p>
        </w:tc>
        <w:tc>
          <w:tcPr>
            <w:tcW w:w="3240" w:type="dxa"/>
            <w:tcBorders>
              <w:top w:val="single" w:sz="4" w:space="0" w:color="auto"/>
              <w:left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Base Metals</w:t>
            </w:r>
          </w:p>
        </w:tc>
        <w:tc>
          <w:tcPr>
            <w:tcW w:w="736" w:type="dxa"/>
            <w:tcBorders>
              <w:top w:val="single" w:sz="4" w:space="0" w:color="auto"/>
            </w:tcBorders>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68.7</w:t>
            </w:r>
          </w:p>
        </w:tc>
        <w:tc>
          <w:tcPr>
            <w:tcW w:w="783" w:type="dxa"/>
            <w:tcBorders>
              <w:top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24</w:t>
            </w:r>
          </w:p>
        </w:tc>
      </w:tr>
      <w:tr w:rsidR="00347EB0" w:rsidRPr="00E94B0D" w:rsidTr="006A6079">
        <w:trPr>
          <w:trHeight w:val="20"/>
          <w:jc w:val="center"/>
        </w:trPr>
        <w:tc>
          <w:tcPr>
            <w:tcW w:w="3469" w:type="dxa"/>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Chemicals</w:t>
            </w:r>
          </w:p>
        </w:tc>
        <w:tc>
          <w:tcPr>
            <w:tcW w:w="740" w:type="dxa"/>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200.2</w:t>
            </w:r>
          </w:p>
        </w:tc>
        <w:tc>
          <w:tcPr>
            <w:tcW w:w="721" w:type="dxa"/>
            <w:tcBorders>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20</w:t>
            </w:r>
          </w:p>
        </w:tc>
        <w:tc>
          <w:tcPr>
            <w:tcW w:w="3240" w:type="dxa"/>
            <w:tcBorders>
              <w:left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Processed food products, beverages</w:t>
            </w:r>
          </w:p>
        </w:tc>
        <w:tc>
          <w:tcPr>
            <w:tcW w:w="736" w:type="dxa"/>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56.8</w:t>
            </w:r>
          </w:p>
        </w:tc>
        <w:tc>
          <w:tcPr>
            <w:tcW w:w="783" w:type="dxa"/>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20</w:t>
            </w:r>
          </w:p>
        </w:tc>
      </w:tr>
      <w:tr w:rsidR="00347EB0" w:rsidRPr="00E94B0D" w:rsidTr="006A6079">
        <w:trPr>
          <w:trHeight w:val="20"/>
          <w:jc w:val="center"/>
        </w:trPr>
        <w:tc>
          <w:tcPr>
            <w:tcW w:w="3469" w:type="dxa"/>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Electrical machinery and apparatus</w:t>
            </w:r>
          </w:p>
        </w:tc>
        <w:tc>
          <w:tcPr>
            <w:tcW w:w="740" w:type="dxa"/>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101.5</w:t>
            </w:r>
          </w:p>
        </w:tc>
        <w:tc>
          <w:tcPr>
            <w:tcW w:w="721" w:type="dxa"/>
            <w:tcBorders>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10</w:t>
            </w:r>
          </w:p>
        </w:tc>
        <w:tc>
          <w:tcPr>
            <w:tcW w:w="3240" w:type="dxa"/>
            <w:tcBorders>
              <w:left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Other transport equipment</w:t>
            </w:r>
          </w:p>
        </w:tc>
        <w:tc>
          <w:tcPr>
            <w:tcW w:w="736" w:type="dxa"/>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46.9</w:t>
            </w:r>
          </w:p>
        </w:tc>
        <w:tc>
          <w:tcPr>
            <w:tcW w:w="783" w:type="dxa"/>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16</w:t>
            </w:r>
          </w:p>
        </w:tc>
      </w:tr>
      <w:tr w:rsidR="00347EB0" w:rsidRPr="00E94B0D" w:rsidTr="006A6079">
        <w:trPr>
          <w:trHeight w:val="20"/>
          <w:jc w:val="center"/>
        </w:trPr>
        <w:tc>
          <w:tcPr>
            <w:tcW w:w="3469" w:type="dxa"/>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Fabricated metal products</w:t>
            </w:r>
          </w:p>
        </w:tc>
        <w:tc>
          <w:tcPr>
            <w:tcW w:w="740" w:type="dxa"/>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92.1</w:t>
            </w:r>
          </w:p>
        </w:tc>
        <w:tc>
          <w:tcPr>
            <w:tcW w:w="721" w:type="dxa"/>
            <w:tcBorders>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9</w:t>
            </w:r>
          </w:p>
        </w:tc>
        <w:tc>
          <w:tcPr>
            <w:tcW w:w="3240" w:type="dxa"/>
            <w:tcBorders>
              <w:left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Crude oil and natural gas services</w:t>
            </w:r>
          </w:p>
        </w:tc>
        <w:tc>
          <w:tcPr>
            <w:tcW w:w="736" w:type="dxa"/>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38.0</w:t>
            </w:r>
          </w:p>
        </w:tc>
        <w:tc>
          <w:tcPr>
            <w:tcW w:w="783" w:type="dxa"/>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13</w:t>
            </w:r>
          </w:p>
        </w:tc>
      </w:tr>
      <w:tr w:rsidR="00347EB0" w:rsidRPr="00E94B0D" w:rsidTr="006A6079">
        <w:trPr>
          <w:trHeight w:val="20"/>
          <w:jc w:val="center"/>
        </w:trPr>
        <w:tc>
          <w:tcPr>
            <w:tcW w:w="3469" w:type="dxa"/>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Motor vehicles, trailers and semitrailers</w:t>
            </w:r>
          </w:p>
        </w:tc>
        <w:tc>
          <w:tcPr>
            <w:tcW w:w="740" w:type="dxa"/>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80.9</w:t>
            </w:r>
          </w:p>
        </w:tc>
        <w:tc>
          <w:tcPr>
            <w:tcW w:w="721" w:type="dxa"/>
            <w:tcBorders>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8</w:t>
            </w:r>
          </w:p>
        </w:tc>
        <w:tc>
          <w:tcPr>
            <w:tcW w:w="3240" w:type="dxa"/>
            <w:tcBorders>
              <w:left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Machinery and equipment</w:t>
            </w:r>
          </w:p>
        </w:tc>
        <w:tc>
          <w:tcPr>
            <w:tcW w:w="736" w:type="dxa"/>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36.0</w:t>
            </w:r>
          </w:p>
        </w:tc>
        <w:tc>
          <w:tcPr>
            <w:tcW w:w="783" w:type="dxa"/>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13</w:t>
            </w:r>
          </w:p>
        </w:tc>
      </w:tr>
      <w:tr w:rsidR="00347EB0" w:rsidRPr="00E94B0D" w:rsidTr="006A6079">
        <w:trPr>
          <w:trHeight w:val="20"/>
          <w:jc w:val="center"/>
        </w:trPr>
        <w:tc>
          <w:tcPr>
            <w:tcW w:w="3469" w:type="dxa"/>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Other transport equipment</w:t>
            </w:r>
          </w:p>
        </w:tc>
        <w:tc>
          <w:tcPr>
            <w:tcW w:w="740" w:type="dxa"/>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77.6</w:t>
            </w:r>
          </w:p>
        </w:tc>
        <w:tc>
          <w:tcPr>
            <w:tcW w:w="721" w:type="dxa"/>
            <w:tcBorders>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8</w:t>
            </w:r>
          </w:p>
        </w:tc>
        <w:tc>
          <w:tcPr>
            <w:tcW w:w="3240" w:type="dxa"/>
            <w:tcBorders>
              <w:left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Electrical machinery and apparatus</w:t>
            </w:r>
          </w:p>
        </w:tc>
        <w:tc>
          <w:tcPr>
            <w:tcW w:w="736" w:type="dxa"/>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21.8</w:t>
            </w:r>
          </w:p>
        </w:tc>
        <w:tc>
          <w:tcPr>
            <w:tcW w:w="783" w:type="dxa"/>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8</w:t>
            </w:r>
          </w:p>
        </w:tc>
      </w:tr>
      <w:tr w:rsidR="00347EB0" w:rsidRPr="00E94B0D" w:rsidTr="006A6079">
        <w:trPr>
          <w:trHeight w:val="20"/>
          <w:jc w:val="center"/>
        </w:trPr>
        <w:tc>
          <w:tcPr>
            <w:tcW w:w="3469" w:type="dxa"/>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Medical, precision and optical instruments</w:t>
            </w:r>
          </w:p>
        </w:tc>
        <w:tc>
          <w:tcPr>
            <w:tcW w:w="740" w:type="dxa"/>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50.9</w:t>
            </w:r>
          </w:p>
        </w:tc>
        <w:tc>
          <w:tcPr>
            <w:tcW w:w="721" w:type="dxa"/>
            <w:tcBorders>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5</w:t>
            </w:r>
          </w:p>
        </w:tc>
        <w:tc>
          <w:tcPr>
            <w:tcW w:w="3240" w:type="dxa"/>
            <w:tcBorders>
              <w:left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Chemicals</w:t>
            </w:r>
          </w:p>
        </w:tc>
        <w:tc>
          <w:tcPr>
            <w:tcW w:w="736" w:type="dxa"/>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17.1</w:t>
            </w:r>
          </w:p>
        </w:tc>
        <w:tc>
          <w:tcPr>
            <w:tcW w:w="783" w:type="dxa"/>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6</w:t>
            </w:r>
          </w:p>
        </w:tc>
      </w:tr>
      <w:tr w:rsidR="00347EB0" w:rsidRPr="00E94B0D" w:rsidTr="006A6079">
        <w:trPr>
          <w:trHeight w:val="20"/>
          <w:jc w:val="center"/>
        </w:trPr>
        <w:tc>
          <w:tcPr>
            <w:tcW w:w="3469" w:type="dxa"/>
            <w:tcBorders>
              <w:bottom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Total:</w:t>
            </w:r>
          </w:p>
        </w:tc>
        <w:tc>
          <w:tcPr>
            <w:tcW w:w="740" w:type="dxa"/>
            <w:tcBorders>
              <w:bottom w:val="single" w:sz="4" w:space="0" w:color="auto"/>
            </w:tcBorders>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1011.7</w:t>
            </w:r>
          </w:p>
        </w:tc>
        <w:tc>
          <w:tcPr>
            <w:tcW w:w="721" w:type="dxa"/>
            <w:tcBorders>
              <w:bottom w:val="single" w:sz="4" w:space="0" w:color="auto"/>
              <w:right w:val="single" w:sz="4" w:space="0" w:color="auto"/>
            </w:tcBorders>
            <w:shd w:val="clear" w:color="auto" w:fill="auto"/>
            <w:noWrap/>
            <w:vAlign w:val="bottom"/>
            <w:hideMark/>
          </w:tcPr>
          <w:p w:rsidR="00347EB0" w:rsidRPr="006A6079" w:rsidRDefault="00347EB0" w:rsidP="008A48B2">
            <w:pPr>
              <w:spacing w:after="0" w:line="240" w:lineRule="auto"/>
              <w:ind w:right="144"/>
              <w:rPr>
                <w:rFonts w:eastAsia="Times New Roman" w:cs="Times New Roman"/>
                <w:sz w:val="18"/>
                <w:szCs w:val="18"/>
              </w:rPr>
            </w:pPr>
          </w:p>
        </w:tc>
        <w:tc>
          <w:tcPr>
            <w:tcW w:w="3240" w:type="dxa"/>
            <w:tcBorders>
              <w:left w:val="single" w:sz="4" w:space="0" w:color="auto"/>
              <w:bottom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r w:rsidRPr="006A6079">
              <w:rPr>
                <w:rFonts w:eastAsia="Times New Roman" w:cs="Times New Roman"/>
                <w:sz w:val="18"/>
                <w:szCs w:val="18"/>
              </w:rPr>
              <w:t>Total:</w:t>
            </w:r>
          </w:p>
        </w:tc>
        <w:tc>
          <w:tcPr>
            <w:tcW w:w="736" w:type="dxa"/>
            <w:tcBorders>
              <w:bottom w:val="single" w:sz="4" w:space="0" w:color="auto"/>
            </w:tcBorders>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285.3</w:t>
            </w:r>
          </w:p>
        </w:tc>
        <w:tc>
          <w:tcPr>
            <w:tcW w:w="783" w:type="dxa"/>
            <w:tcBorders>
              <w:bottom w:val="single" w:sz="4" w:space="0" w:color="auto"/>
            </w:tcBorders>
            <w:shd w:val="clear" w:color="auto" w:fill="auto"/>
            <w:noWrap/>
            <w:vAlign w:val="bottom"/>
            <w:hideMark/>
          </w:tcPr>
          <w:p w:rsidR="00347EB0" w:rsidRPr="006A6079" w:rsidRDefault="00347EB0" w:rsidP="008A48B2">
            <w:pPr>
              <w:spacing w:after="0" w:line="240" w:lineRule="auto"/>
              <w:ind w:right="144"/>
              <w:jc w:val="right"/>
              <w:rPr>
                <w:rFonts w:eastAsia="Times New Roman" w:cs="Times New Roman"/>
                <w:sz w:val="18"/>
                <w:szCs w:val="18"/>
              </w:rPr>
            </w:pPr>
          </w:p>
        </w:tc>
      </w:tr>
      <w:tr w:rsidR="00347EB0" w:rsidRPr="00E94B0D" w:rsidTr="006A6079">
        <w:trPr>
          <w:trHeight w:val="20"/>
          <w:jc w:val="center"/>
        </w:trPr>
        <w:tc>
          <w:tcPr>
            <w:tcW w:w="4930" w:type="dxa"/>
            <w:gridSpan w:val="3"/>
            <w:tcBorders>
              <w:top w:val="single" w:sz="4" w:space="0" w:color="auto"/>
              <w:bottom w:val="single" w:sz="4" w:space="0" w:color="auto"/>
              <w:right w:val="single" w:sz="4" w:space="0" w:color="auto"/>
            </w:tcBorders>
            <w:shd w:val="clear" w:color="auto" w:fill="auto"/>
            <w:noWrap/>
            <w:vAlign w:val="bottom"/>
            <w:hideMark/>
          </w:tcPr>
          <w:p w:rsidR="00347EB0" w:rsidRPr="006A6079" w:rsidRDefault="00347EB0" w:rsidP="008A48B2">
            <w:pPr>
              <w:spacing w:before="60" w:after="60" w:line="240" w:lineRule="auto"/>
              <w:jc w:val="center"/>
              <w:rPr>
                <w:rFonts w:eastAsia="Times New Roman" w:cs="Times New Roman"/>
                <w:bCs/>
                <w:sz w:val="18"/>
                <w:szCs w:val="18"/>
              </w:rPr>
            </w:pPr>
            <w:r w:rsidRPr="006A6079">
              <w:rPr>
                <w:rFonts w:eastAsia="Times New Roman" w:cs="Times New Roman"/>
                <w:bCs/>
                <w:sz w:val="18"/>
                <w:szCs w:val="18"/>
              </w:rPr>
              <w:t>Customs Union</w:t>
            </w:r>
          </w:p>
        </w:tc>
        <w:tc>
          <w:tcPr>
            <w:tcW w:w="4759" w:type="dxa"/>
            <w:gridSpan w:val="3"/>
            <w:tcBorders>
              <w:top w:val="single" w:sz="4" w:space="0" w:color="auto"/>
              <w:left w:val="single" w:sz="4" w:space="0" w:color="auto"/>
              <w:bottom w:val="single" w:sz="4" w:space="0" w:color="auto"/>
            </w:tcBorders>
            <w:shd w:val="clear" w:color="auto" w:fill="auto"/>
            <w:noWrap/>
            <w:vAlign w:val="bottom"/>
            <w:hideMark/>
          </w:tcPr>
          <w:p w:rsidR="00347EB0" w:rsidRPr="006A6079" w:rsidRDefault="00347EB0" w:rsidP="008A48B2">
            <w:pPr>
              <w:spacing w:before="60" w:after="60" w:line="240" w:lineRule="auto"/>
              <w:jc w:val="center"/>
              <w:rPr>
                <w:rFonts w:eastAsia="Times New Roman" w:cs="Times New Roman"/>
                <w:bCs/>
                <w:sz w:val="18"/>
                <w:szCs w:val="18"/>
              </w:rPr>
            </w:pPr>
            <w:r w:rsidRPr="006A6079">
              <w:rPr>
                <w:rFonts w:eastAsia="Times New Roman" w:cs="Times New Roman"/>
                <w:bCs/>
                <w:sz w:val="18"/>
                <w:szCs w:val="18"/>
              </w:rPr>
              <w:t>Rest of the World</w:t>
            </w:r>
          </w:p>
        </w:tc>
      </w:tr>
      <w:tr w:rsidR="00347EB0" w:rsidRPr="00E94B0D" w:rsidTr="006A6079">
        <w:trPr>
          <w:trHeight w:val="20"/>
          <w:jc w:val="center"/>
        </w:trPr>
        <w:tc>
          <w:tcPr>
            <w:tcW w:w="3469" w:type="dxa"/>
            <w:tcBorders>
              <w:top w:val="single" w:sz="4" w:space="0" w:color="auto"/>
            </w:tcBorders>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Crude oil and natural gas services</w:t>
            </w:r>
          </w:p>
        </w:tc>
        <w:tc>
          <w:tcPr>
            <w:tcW w:w="740" w:type="dxa"/>
            <w:tcBorders>
              <w:top w:val="single" w:sz="4" w:space="0" w:color="auto"/>
            </w:tcBorders>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267.7</w:t>
            </w:r>
          </w:p>
        </w:tc>
        <w:tc>
          <w:tcPr>
            <w:tcW w:w="721" w:type="dxa"/>
            <w:tcBorders>
              <w:top w:val="single" w:sz="4" w:space="0" w:color="auto"/>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26</w:t>
            </w:r>
          </w:p>
        </w:tc>
        <w:tc>
          <w:tcPr>
            <w:tcW w:w="3240" w:type="dxa"/>
            <w:tcBorders>
              <w:top w:val="single" w:sz="4" w:space="0" w:color="auto"/>
              <w:left w:val="single" w:sz="4" w:space="0" w:color="auto"/>
            </w:tcBorders>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Machinery and equipment</w:t>
            </w:r>
          </w:p>
        </w:tc>
        <w:tc>
          <w:tcPr>
            <w:tcW w:w="736" w:type="dxa"/>
            <w:tcBorders>
              <w:top w:val="single" w:sz="4" w:space="0" w:color="auto"/>
            </w:tcBorders>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350.1</w:t>
            </w:r>
          </w:p>
        </w:tc>
        <w:tc>
          <w:tcPr>
            <w:tcW w:w="783" w:type="dxa"/>
            <w:tcBorders>
              <w:top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38</w:t>
            </w:r>
          </w:p>
        </w:tc>
      </w:tr>
      <w:tr w:rsidR="00347EB0" w:rsidRPr="00E94B0D" w:rsidTr="006A6079">
        <w:trPr>
          <w:trHeight w:val="20"/>
          <w:jc w:val="center"/>
        </w:trPr>
        <w:tc>
          <w:tcPr>
            <w:tcW w:w="3469" w:type="dxa"/>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Processed food products, beverages</w:t>
            </w:r>
          </w:p>
        </w:tc>
        <w:tc>
          <w:tcPr>
            <w:tcW w:w="740" w:type="dxa"/>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176.3</w:t>
            </w:r>
          </w:p>
        </w:tc>
        <w:tc>
          <w:tcPr>
            <w:tcW w:w="721" w:type="dxa"/>
            <w:tcBorders>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17</w:t>
            </w:r>
          </w:p>
        </w:tc>
        <w:tc>
          <w:tcPr>
            <w:tcW w:w="3240" w:type="dxa"/>
            <w:tcBorders>
              <w:left w:val="single" w:sz="4" w:space="0" w:color="auto"/>
            </w:tcBorders>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Motor vehicles, trailers and semitrailers</w:t>
            </w:r>
          </w:p>
        </w:tc>
        <w:tc>
          <w:tcPr>
            <w:tcW w:w="736" w:type="dxa"/>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134.6</w:t>
            </w:r>
          </w:p>
        </w:tc>
        <w:tc>
          <w:tcPr>
            <w:tcW w:w="783" w:type="dxa"/>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15</w:t>
            </w:r>
          </w:p>
        </w:tc>
      </w:tr>
      <w:tr w:rsidR="00347EB0" w:rsidRPr="00E94B0D" w:rsidTr="006A6079">
        <w:trPr>
          <w:trHeight w:val="20"/>
          <w:jc w:val="center"/>
        </w:trPr>
        <w:tc>
          <w:tcPr>
            <w:tcW w:w="3469" w:type="dxa"/>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Refined petroleum products &amp; other materials</w:t>
            </w:r>
          </w:p>
        </w:tc>
        <w:tc>
          <w:tcPr>
            <w:tcW w:w="740" w:type="dxa"/>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148.7</w:t>
            </w:r>
          </w:p>
        </w:tc>
        <w:tc>
          <w:tcPr>
            <w:tcW w:w="721" w:type="dxa"/>
            <w:tcBorders>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15</w:t>
            </w:r>
          </w:p>
        </w:tc>
        <w:tc>
          <w:tcPr>
            <w:tcW w:w="3240" w:type="dxa"/>
            <w:tcBorders>
              <w:left w:val="single" w:sz="4" w:space="0" w:color="auto"/>
            </w:tcBorders>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Chemicals</w:t>
            </w:r>
          </w:p>
        </w:tc>
        <w:tc>
          <w:tcPr>
            <w:tcW w:w="736" w:type="dxa"/>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122.1</w:t>
            </w:r>
          </w:p>
        </w:tc>
        <w:tc>
          <w:tcPr>
            <w:tcW w:w="783" w:type="dxa"/>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13</w:t>
            </w:r>
          </w:p>
        </w:tc>
      </w:tr>
      <w:tr w:rsidR="00347EB0" w:rsidRPr="00E94B0D" w:rsidTr="006A6079">
        <w:trPr>
          <w:trHeight w:val="20"/>
          <w:jc w:val="center"/>
        </w:trPr>
        <w:tc>
          <w:tcPr>
            <w:tcW w:w="3469" w:type="dxa"/>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Machinery and equipment</w:t>
            </w:r>
          </w:p>
        </w:tc>
        <w:tc>
          <w:tcPr>
            <w:tcW w:w="740" w:type="dxa"/>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141.1</w:t>
            </w:r>
          </w:p>
        </w:tc>
        <w:tc>
          <w:tcPr>
            <w:tcW w:w="721" w:type="dxa"/>
            <w:tcBorders>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14</w:t>
            </w:r>
          </w:p>
        </w:tc>
        <w:tc>
          <w:tcPr>
            <w:tcW w:w="3240" w:type="dxa"/>
            <w:tcBorders>
              <w:left w:val="single" w:sz="4" w:space="0" w:color="auto"/>
            </w:tcBorders>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Agriculture, animals, and related services</w:t>
            </w:r>
          </w:p>
        </w:tc>
        <w:tc>
          <w:tcPr>
            <w:tcW w:w="736" w:type="dxa"/>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94.9</w:t>
            </w:r>
          </w:p>
        </w:tc>
        <w:tc>
          <w:tcPr>
            <w:tcW w:w="783" w:type="dxa"/>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10</w:t>
            </w:r>
          </w:p>
        </w:tc>
      </w:tr>
      <w:tr w:rsidR="00347EB0" w:rsidRPr="00E94B0D" w:rsidTr="006A6079">
        <w:trPr>
          <w:trHeight w:val="20"/>
          <w:jc w:val="center"/>
        </w:trPr>
        <w:tc>
          <w:tcPr>
            <w:tcW w:w="3469" w:type="dxa"/>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Chemicals</w:t>
            </w:r>
          </w:p>
        </w:tc>
        <w:tc>
          <w:tcPr>
            <w:tcW w:w="740" w:type="dxa"/>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136.8</w:t>
            </w:r>
          </w:p>
        </w:tc>
        <w:tc>
          <w:tcPr>
            <w:tcW w:w="721" w:type="dxa"/>
            <w:tcBorders>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14</w:t>
            </w:r>
          </w:p>
        </w:tc>
        <w:tc>
          <w:tcPr>
            <w:tcW w:w="3240" w:type="dxa"/>
            <w:tcBorders>
              <w:left w:val="single" w:sz="4" w:space="0" w:color="auto"/>
            </w:tcBorders>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Base Metals</w:t>
            </w:r>
          </w:p>
        </w:tc>
        <w:tc>
          <w:tcPr>
            <w:tcW w:w="736" w:type="dxa"/>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80.2</w:t>
            </w:r>
          </w:p>
        </w:tc>
        <w:tc>
          <w:tcPr>
            <w:tcW w:w="783" w:type="dxa"/>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9</w:t>
            </w:r>
          </w:p>
        </w:tc>
      </w:tr>
      <w:tr w:rsidR="00347EB0" w:rsidRPr="00E94B0D" w:rsidTr="006A6079">
        <w:trPr>
          <w:trHeight w:val="20"/>
          <w:jc w:val="center"/>
        </w:trPr>
        <w:tc>
          <w:tcPr>
            <w:tcW w:w="3469" w:type="dxa"/>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Base Metals</w:t>
            </w:r>
          </w:p>
        </w:tc>
        <w:tc>
          <w:tcPr>
            <w:tcW w:w="740" w:type="dxa"/>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78.4</w:t>
            </w:r>
          </w:p>
        </w:tc>
        <w:tc>
          <w:tcPr>
            <w:tcW w:w="721" w:type="dxa"/>
            <w:tcBorders>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8</w:t>
            </w:r>
          </w:p>
        </w:tc>
        <w:tc>
          <w:tcPr>
            <w:tcW w:w="3240" w:type="dxa"/>
            <w:tcBorders>
              <w:left w:val="single" w:sz="4" w:space="0" w:color="auto"/>
            </w:tcBorders>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Processed food products, beverages</w:t>
            </w:r>
          </w:p>
        </w:tc>
        <w:tc>
          <w:tcPr>
            <w:tcW w:w="736" w:type="dxa"/>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75.3</w:t>
            </w:r>
          </w:p>
        </w:tc>
        <w:tc>
          <w:tcPr>
            <w:tcW w:w="783" w:type="dxa"/>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8</w:t>
            </w:r>
          </w:p>
        </w:tc>
      </w:tr>
      <w:tr w:rsidR="00347EB0" w:rsidRPr="00E94B0D" w:rsidTr="006A6079">
        <w:trPr>
          <w:trHeight w:val="20"/>
          <w:jc w:val="center"/>
        </w:trPr>
        <w:tc>
          <w:tcPr>
            <w:tcW w:w="3469" w:type="dxa"/>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Rubber and plastic products</w:t>
            </w:r>
          </w:p>
        </w:tc>
        <w:tc>
          <w:tcPr>
            <w:tcW w:w="740" w:type="dxa"/>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63.2</w:t>
            </w:r>
          </w:p>
        </w:tc>
        <w:tc>
          <w:tcPr>
            <w:tcW w:w="721" w:type="dxa"/>
            <w:tcBorders>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6</w:t>
            </w:r>
          </w:p>
        </w:tc>
        <w:tc>
          <w:tcPr>
            <w:tcW w:w="3240" w:type="dxa"/>
            <w:tcBorders>
              <w:left w:val="single" w:sz="4" w:space="0" w:color="auto"/>
            </w:tcBorders>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Electrical machinery and apparatus</w:t>
            </w:r>
          </w:p>
        </w:tc>
        <w:tc>
          <w:tcPr>
            <w:tcW w:w="736" w:type="dxa"/>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71.0</w:t>
            </w:r>
          </w:p>
        </w:tc>
        <w:tc>
          <w:tcPr>
            <w:tcW w:w="783" w:type="dxa"/>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r w:rsidRPr="006A6079">
              <w:rPr>
                <w:rFonts w:eastAsia="Times New Roman" w:cs="Times New Roman"/>
                <w:sz w:val="18"/>
                <w:szCs w:val="18"/>
              </w:rPr>
              <w:t>8</w:t>
            </w:r>
          </w:p>
        </w:tc>
      </w:tr>
      <w:tr w:rsidR="00347EB0" w:rsidRPr="00E94B0D" w:rsidTr="006A6079">
        <w:trPr>
          <w:trHeight w:val="20"/>
          <w:jc w:val="center"/>
        </w:trPr>
        <w:tc>
          <w:tcPr>
            <w:tcW w:w="3469" w:type="dxa"/>
            <w:tcBorders>
              <w:bottom w:val="single" w:sz="4" w:space="0" w:color="auto"/>
            </w:tcBorders>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Total:</w:t>
            </w:r>
          </w:p>
        </w:tc>
        <w:tc>
          <w:tcPr>
            <w:tcW w:w="740" w:type="dxa"/>
            <w:tcBorders>
              <w:bottom w:val="single" w:sz="4" w:space="0" w:color="auto"/>
            </w:tcBorders>
            <w:shd w:val="clear" w:color="auto" w:fill="auto"/>
            <w:noWrap/>
            <w:vAlign w:val="bottom"/>
            <w:hideMark/>
          </w:tcPr>
          <w:p w:rsidR="00347EB0" w:rsidRPr="006A6079" w:rsidRDefault="00347EB0" w:rsidP="008A48B2">
            <w:pPr>
              <w:spacing w:after="0" w:line="240" w:lineRule="auto"/>
              <w:ind w:right="29"/>
              <w:jc w:val="right"/>
              <w:rPr>
                <w:rFonts w:eastAsia="Times New Roman" w:cs="Times New Roman"/>
                <w:sz w:val="18"/>
                <w:szCs w:val="18"/>
              </w:rPr>
            </w:pPr>
            <w:r w:rsidRPr="006A6079">
              <w:rPr>
                <w:rFonts w:eastAsia="Times New Roman" w:cs="Times New Roman"/>
                <w:sz w:val="18"/>
                <w:szCs w:val="18"/>
              </w:rPr>
              <w:t>1012.2</w:t>
            </w:r>
          </w:p>
        </w:tc>
        <w:tc>
          <w:tcPr>
            <w:tcW w:w="721" w:type="dxa"/>
            <w:tcBorders>
              <w:bottom w:val="single" w:sz="4" w:space="0" w:color="auto"/>
              <w:right w:val="single" w:sz="4" w:space="0" w:color="auto"/>
            </w:tcBorders>
            <w:shd w:val="clear" w:color="auto" w:fill="auto"/>
            <w:noWrap/>
            <w:vAlign w:val="bottom"/>
            <w:hideMark/>
          </w:tcPr>
          <w:p w:rsidR="00347EB0" w:rsidRPr="006A6079" w:rsidRDefault="00347EB0" w:rsidP="008A48B2">
            <w:pPr>
              <w:spacing w:after="0" w:line="240" w:lineRule="auto"/>
              <w:ind w:right="173"/>
              <w:jc w:val="right"/>
              <w:rPr>
                <w:rFonts w:eastAsia="Times New Roman" w:cs="Times New Roman"/>
                <w:sz w:val="18"/>
                <w:szCs w:val="18"/>
              </w:rPr>
            </w:pPr>
          </w:p>
        </w:tc>
        <w:tc>
          <w:tcPr>
            <w:tcW w:w="3240" w:type="dxa"/>
            <w:tcBorders>
              <w:left w:val="single" w:sz="4" w:space="0" w:color="auto"/>
              <w:bottom w:val="single" w:sz="4" w:space="0" w:color="auto"/>
            </w:tcBorders>
            <w:shd w:val="clear" w:color="auto" w:fill="auto"/>
            <w:noWrap/>
            <w:vAlign w:val="bottom"/>
            <w:hideMark/>
          </w:tcPr>
          <w:p w:rsidR="00347EB0" w:rsidRPr="006A6079" w:rsidRDefault="00347EB0" w:rsidP="008A48B2">
            <w:pPr>
              <w:spacing w:after="0" w:line="240" w:lineRule="auto"/>
              <w:jc w:val="left"/>
              <w:rPr>
                <w:rFonts w:eastAsia="Times New Roman" w:cs="Times New Roman"/>
                <w:sz w:val="18"/>
                <w:szCs w:val="18"/>
              </w:rPr>
            </w:pPr>
            <w:r w:rsidRPr="006A6079">
              <w:rPr>
                <w:rFonts w:eastAsia="Times New Roman" w:cs="Times New Roman"/>
                <w:sz w:val="18"/>
                <w:szCs w:val="18"/>
              </w:rPr>
              <w:t>Total:</w:t>
            </w:r>
          </w:p>
        </w:tc>
        <w:tc>
          <w:tcPr>
            <w:tcW w:w="736" w:type="dxa"/>
            <w:tcBorders>
              <w:bottom w:val="single" w:sz="4" w:space="0" w:color="auto"/>
            </w:tcBorders>
            <w:shd w:val="clear" w:color="auto" w:fill="auto"/>
            <w:noWrap/>
            <w:vAlign w:val="bottom"/>
            <w:hideMark/>
          </w:tcPr>
          <w:p w:rsidR="00347EB0" w:rsidRPr="006A6079" w:rsidRDefault="00347EB0" w:rsidP="008A48B2">
            <w:pPr>
              <w:spacing w:after="0" w:line="240" w:lineRule="auto"/>
              <w:ind w:right="86"/>
              <w:jc w:val="right"/>
              <w:rPr>
                <w:rFonts w:eastAsia="Times New Roman" w:cs="Times New Roman"/>
                <w:sz w:val="18"/>
                <w:szCs w:val="18"/>
              </w:rPr>
            </w:pPr>
            <w:r w:rsidRPr="006A6079">
              <w:rPr>
                <w:rFonts w:eastAsia="Times New Roman" w:cs="Times New Roman"/>
                <w:sz w:val="18"/>
                <w:szCs w:val="18"/>
              </w:rPr>
              <w:t>928.2</w:t>
            </w:r>
          </w:p>
        </w:tc>
        <w:tc>
          <w:tcPr>
            <w:tcW w:w="783" w:type="dxa"/>
            <w:tcBorders>
              <w:bottom w:val="single" w:sz="4" w:space="0" w:color="auto"/>
            </w:tcBorders>
            <w:shd w:val="clear" w:color="auto" w:fill="auto"/>
            <w:noWrap/>
            <w:vAlign w:val="bottom"/>
            <w:hideMark/>
          </w:tcPr>
          <w:p w:rsidR="00347EB0" w:rsidRPr="006A6079" w:rsidRDefault="00347EB0" w:rsidP="008A48B2">
            <w:pPr>
              <w:spacing w:after="0" w:line="240" w:lineRule="auto"/>
              <w:rPr>
                <w:rFonts w:eastAsia="Times New Roman" w:cs="Times New Roman"/>
                <w:sz w:val="18"/>
                <w:szCs w:val="18"/>
              </w:rPr>
            </w:pPr>
          </w:p>
        </w:tc>
      </w:tr>
      <w:tr w:rsidR="00347EB0" w:rsidRPr="00D25311" w:rsidTr="00D77BE1">
        <w:trPr>
          <w:trHeight w:val="144"/>
          <w:jc w:val="center"/>
        </w:trPr>
        <w:tc>
          <w:tcPr>
            <w:tcW w:w="9689" w:type="dxa"/>
            <w:gridSpan w:val="6"/>
            <w:tcBorders>
              <w:top w:val="single" w:sz="4" w:space="0" w:color="auto"/>
            </w:tcBorders>
            <w:shd w:val="clear" w:color="auto" w:fill="auto"/>
            <w:noWrap/>
            <w:vAlign w:val="bottom"/>
          </w:tcPr>
          <w:p w:rsidR="00347EB0" w:rsidRPr="006A6079" w:rsidRDefault="00347EB0" w:rsidP="00D77BE1">
            <w:pPr>
              <w:spacing w:before="120" w:after="0" w:line="240" w:lineRule="auto"/>
              <w:rPr>
                <w:rFonts w:eastAsia="Times New Roman" w:cs="Times New Roman"/>
                <w:sz w:val="18"/>
                <w:szCs w:val="18"/>
              </w:rPr>
            </w:pPr>
            <w:r w:rsidRPr="006A6079">
              <w:rPr>
                <w:rFonts w:eastAsia="Times New Roman" w:cs="Times New Roman"/>
                <w:i/>
                <w:sz w:val="18"/>
                <w:szCs w:val="18"/>
              </w:rPr>
              <w:t>Source:</w:t>
            </w:r>
            <w:r w:rsidRPr="006A6079">
              <w:rPr>
                <w:rFonts w:eastAsia="Times New Roman" w:cs="Times New Roman"/>
                <w:sz w:val="18"/>
                <w:szCs w:val="18"/>
              </w:rPr>
              <w:t xml:space="preserve"> </w:t>
            </w:r>
            <w:r w:rsidR="009E781C">
              <w:rPr>
                <w:rFonts w:eastAsia="Times New Roman" w:cs="Times New Roman"/>
                <w:sz w:val="18"/>
                <w:szCs w:val="18"/>
              </w:rPr>
              <w:t xml:space="preserve">Official data. </w:t>
            </w:r>
            <w:r w:rsidRPr="006A6079">
              <w:rPr>
                <w:rFonts w:eastAsia="Times New Roman" w:cs="Times New Roman"/>
                <w:sz w:val="18"/>
                <w:szCs w:val="18"/>
              </w:rPr>
              <w:t>World Bank</w:t>
            </w:r>
            <w:r w:rsidRPr="006A6079">
              <w:rPr>
                <w:rFonts w:eastAsia="Times New Roman" w:cs="Times New Roman"/>
                <w:i/>
                <w:sz w:val="18"/>
                <w:szCs w:val="18"/>
              </w:rPr>
              <w:t xml:space="preserve"> </w:t>
            </w:r>
            <w:r w:rsidR="009E781C">
              <w:rPr>
                <w:rFonts w:eastAsia="Times New Roman" w:cs="Times New Roman"/>
                <w:sz w:val="18"/>
                <w:szCs w:val="18"/>
              </w:rPr>
              <w:t>calculations.</w:t>
            </w:r>
          </w:p>
        </w:tc>
      </w:tr>
    </w:tbl>
    <w:p w:rsidR="00D77BE1" w:rsidRPr="00D77BE1" w:rsidRDefault="00D77BE1" w:rsidP="00D77BE1">
      <w:pPr>
        <w:pStyle w:val="ListParagraph"/>
        <w:tabs>
          <w:tab w:val="left" w:pos="720"/>
        </w:tabs>
        <w:spacing w:after="0" w:line="240" w:lineRule="auto"/>
        <w:ind w:left="0"/>
        <w:contextualSpacing w:val="0"/>
        <w:rPr>
          <w:rFonts w:cs="Times New Roman"/>
          <w:sz w:val="22"/>
        </w:rPr>
      </w:pPr>
    </w:p>
    <w:p w:rsidR="00E6002A" w:rsidRPr="00551867" w:rsidRDefault="00347EB0" w:rsidP="00551867">
      <w:pPr>
        <w:pStyle w:val="ListParagraph"/>
        <w:numPr>
          <w:ilvl w:val="0"/>
          <w:numId w:val="1"/>
        </w:numPr>
        <w:tabs>
          <w:tab w:val="left" w:pos="720"/>
        </w:tabs>
        <w:spacing w:line="240" w:lineRule="auto"/>
        <w:ind w:left="0" w:firstLine="0"/>
        <w:contextualSpacing w:val="0"/>
        <w:rPr>
          <w:rFonts w:cs="Times New Roman"/>
          <w:sz w:val="22"/>
        </w:rPr>
      </w:pPr>
      <w:r>
        <w:rPr>
          <w:rFonts w:cs="Times New Roman"/>
          <w:b/>
          <w:sz w:val="22"/>
        </w:rPr>
        <w:t xml:space="preserve">Membership in the WTO will lead to </w:t>
      </w:r>
      <w:r w:rsidR="00A32E3D" w:rsidRPr="00A32E3D">
        <w:rPr>
          <w:rFonts w:cs="Times New Roman"/>
          <w:b/>
          <w:sz w:val="22"/>
        </w:rPr>
        <w:t xml:space="preserve">a strong rebalancing </w:t>
      </w:r>
      <w:r w:rsidR="00AD0F02">
        <w:rPr>
          <w:rFonts w:cs="Times New Roman"/>
          <w:b/>
          <w:sz w:val="22"/>
        </w:rPr>
        <w:t>of imports to pre-CU patterns.</w:t>
      </w:r>
      <w:r w:rsidR="00786508">
        <w:rPr>
          <w:rFonts w:cs="Times New Roman"/>
          <w:b/>
          <w:sz w:val="22"/>
        </w:rPr>
        <w:t xml:space="preserve">  </w:t>
      </w:r>
      <w:r w:rsidR="00067F51" w:rsidRPr="00067F51">
        <w:rPr>
          <w:rFonts w:cs="Times New Roman"/>
          <w:sz w:val="22"/>
        </w:rPr>
        <w:t xml:space="preserve">Total import value increases by 56.7 Billion Tenge (or 1 percent of 2009 imports of 5,728 Billion Tenge) from the benchmark </w:t>
      </w:r>
      <w:r w:rsidR="007242FC">
        <w:rPr>
          <w:rFonts w:cs="Times New Roman"/>
          <w:sz w:val="22"/>
        </w:rPr>
        <w:t xml:space="preserve">2012 </w:t>
      </w:r>
      <w:r w:rsidR="00067F51" w:rsidRPr="00067F51">
        <w:rPr>
          <w:rFonts w:cs="Times New Roman"/>
          <w:sz w:val="22"/>
        </w:rPr>
        <w:t>case as a result of accession.</w:t>
      </w:r>
      <w:r w:rsidR="00786508">
        <w:rPr>
          <w:rFonts w:cs="Times New Roman"/>
          <w:sz w:val="22"/>
        </w:rPr>
        <w:t xml:space="preserve"> </w:t>
      </w:r>
      <w:r w:rsidR="00AD0F02" w:rsidRPr="00B215E9">
        <w:rPr>
          <w:rFonts w:cs="Times New Roman"/>
          <w:sz w:val="22"/>
        </w:rPr>
        <w:t xml:space="preserve">The base case CGE results </w:t>
      </w:r>
      <w:r w:rsidR="00AD0F02">
        <w:rPr>
          <w:rFonts w:cs="Times New Roman"/>
          <w:sz w:val="22"/>
        </w:rPr>
        <w:t>show that</w:t>
      </w:r>
      <w:r w:rsidR="00AD0F02" w:rsidRPr="00B215E9">
        <w:rPr>
          <w:rFonts w:cs="Times New Roman"/>
          <w:sz w:val="22"/>
        </w:rPr>
        <w:t xml:space="preserve"> </w:t>
      </w:r>
      <w:r w:rsidR="00AD0F02">
        <w:rPr>
          <w:rFonts w:cs="Times New Roman"/>
          <w:sz w:val="22"/>
        </w:rPr>
        <w:t>b</w:t>
      </w:r>
      <w:r w:rsidR="00AD0F02" w:rsidRPr="00067F51">
        <w:rPr>
          <w:rFonts w:cs="Times New Roman"/>
          <w:sz w:val="22"/>
        </w:rPr>
        <w:t>y</w:t>
      </w:r>
      <w:r w:rsidR="00AC7D33" w:rsidRPr="00067F51">
        <w:rPr>
          <w:rFonts w:cs="Times New Roman"/>
          <w:sz w:val="22"/>
        </w:rPr>
        <w:t xml:space="preserve"> 2020</w:t>
      </w:r>
      <w:r w:rsidR="00A32E3D" w:rsidRPr="00067F51">
        <w:rPr>
          <w:rFonts w:cs="Times New Roman"/>
          <w:sz w:val="22"/>
        </w:rPr>
        <w:t xml:space="preserve"> imports </w:t>
      </w:r>
      <w:r w:rsidR="00751C7C">
        <w:rPr>
          <w:rFonts w:cs="Times New Roman"/>
          <w:sz w:val="22"/>
        </w:rPr>
        <w:t xml:space="preserve">will </w:t>
      </w:r>
      <w:r w:rsidR="00F44F2C" w:rsidRPr="00AD0F02">
        <w:rPr>
          <w:rFonts w:cs="Times New Roman"/>
          <w:sz w:val="22"/>
        </w:rPr>
        <w:t>raise</w:t>
      </w:r>
      <w:r w:rsidR="00A32E3D" w:rsidRPr="00AD0F02">
        <w:rPr>
          <w:rFonts w:cs="Times New Roman"/>
          <w:sz w:val="22"/>
        </w:rPr>
        <w:t xml:space="preserve"> significantly for non CIS, non-CU trading partners</w:t>
      </w:r>
      <w:r w:rsidR="00621DA3">
        <w:rPr>
          <w:rFonts w:cs="Times New Roman"/>
          <w:sz w:val="22"/>
        </w:rPr>
        <w:t xml:space="preserve"> (table 14)</w:t>
      </w:r>
      <w:r w:rsidR="00A32E3D" w:rsidRPr="00AD0F02">
        <w:rPr>
          <w:rFonts w:cs="Times New Roman"/>
          <w:sz w:val="22"/>
        </w:rPr>
        <w:t>.</w:t>
      </w:r>
      <w:r w:rsidR="00786508">
        <w:rPr>
          <w:rFonts w:cs="Times New Roman"/>
          <w:sz w:val="22"/>
        </w:rPr>
        <w:t xml:space="preserve"> </w:t>
      </w:r>
      <w:r w:rsidR="00A32E3D" w:rsidRPr="00AD0F02">
        <w:rPr>
          <w:rFonts w:cs="Times New Roman"/>
          <w:sz w:val="22"/>
        </w:rPr>
        <w:t>On the other hand</w:t>
      </w:r>
      <w:r w:rsidR="00E6002A" w:rsidRPr="00067F51">
        <w:rPr>
          <w:rFonts w:cs="Times New Roman"/>
          <w:sz w:val="22"/>
        </w:rPr>
        <w:t xml:space="preserve">, </w:t>
      </w:r>
      <w:r w:rsidR="002977D7">
        <w:rPr>
          <w:rFonts w:cs="Times New Roman"/>
          <w:sz w:val="22"/>
        </w:rPr>
        <w:t xml:space="preserve">imports </w:t>
      </w:r>
      <w:r w:rsidR="00A32E3D" w:rsidRPr="00067F51">
        <w:rPr>
          <w:rFonts w:cs="Times New Roman"/>
          <w:sz w:val="22"/>
        </w:rPr>
        <w:t>from Russia and other neighboring trade partners</w:t>
      </w:r>
      <w:r w:rsidR="002977D7">
        <w:rPr>
          <w:rFonts w:cs="Times New Roman"/>
          <w:sz w:val="22"/>
        </w:rPr>
        <w:t xml:space="preserve"> fall sometimes significantly</w:t>
      </w:r>
      <w:r w:rsidR="00A32E3D" w:rsidRPr="00067F51">
        <w:rPr>
          <w:rFonts w:cs="Times New Roman"/>
          <w:sz w:val="22"/>
        </w:rPr>
        <w:t>.</w:t>
      </w:r>
      <w:r w:rsidR="00067F51">
        <w:rPr>
          <w:rStyle w:val="FootnoteReference"/>
          <w:sz w:val="22"/>
        </w:rPr>
        <w:footnoteReference w:id="11"/>
      </w:r>
      <w:r w:rsidR="00786508">
        <w:rPr>
          <w:rFonts w:cs="Times New Roman"/>
          <w:sz w:val="22"/>
        </w:rPr>
        <w:t xml:space="preserve"> </w:t>
      </w:r>
      <w:r w:rsidR="00056605">
        <w:rPr>
          <w:rFonts w:cs="Times New Roman"/>
          <w:sz w:val="22"/>
        </w:rPr>
        <w:t xml:space="preserve">The increase in imports </w:t>
      </w:r>
      <w:r w:rsidR="00A32E3D" w:rsidRPr="00067F51">
        <w:rPr>
          <w:rFonts w:cs="Times New Roman"/>
          <w:sz w:val="22"/>
        </w:rPr>
        <w:t xml:space="preserve">is particularly strong in sectors where </w:t>
      </w:r>
      <w:r w:rsidR="002977D7">
        <w:rPr>
          <w:rFonts w:cs="Times New Roman"/>
          <w:sz w:val="22"/>
        </w:rPr>
        <w:t xml:space="preserve">CU </w:t>
      </w:r>
      <w:r w:rsidR="00A32E3D" w:rsidRPr="00067F51">
        <w:rPr>
          <w:rFonts w:cs="Times New Roman"/>
          <w:sz w:val="22"/>
        </w:rPr>
        <w:t>barriers had been high, and where potential trade volume shifts are large.</w:t>
      </w:r>
      <w:r w:rsidR="00786508">
        <w:rPr>
          <w:rFonts w:cs="Times New Roman"/>
          <w:sz w:val="22"/>
        </w:rPr>
        <w:t xml:space="preserve"> </w:t>
      </w:r>
      <w:r w:rsidR="00A32E3D" w:rsidRPr="00067F51">
        <w:rPr>
          <w:rFonts w:cs="Times New Roman"/>
          <w:sz w:val="22"/>
        </w:rPr>
        <w:t>Processed foods, basic metals, metal products, and tobacco products are examples.</w:t>
      </w:r>
      <w:r w:rsidR="00786508">
        <w:rPr>
          <w:rFonts w:cs="Times New Roman"/>
          <w:sz w:val="22"/>
        </w:rPr>
        <w:t xml:space="preserve"> </w:t>
      </w:r>
      <w:r w:rsidR="00A32E3D" w:rsidRPr="00067F51">
        <w:rPr>
          <w:rFonts w:cs="Times New Roman"/>
          <w:sz w:val="22"/>
        </w:rPr>
        <w:t xml:space="preserve">Although the change in value is different among each trading partner within a specific industry, </w:t>
      </w:r>
      <w:r w:rsidR="00E6002A" w:rsidRPr="00067F51">
        <w:rPr>
          <w:rFonts w:cs="Times New Roman"/>
          <w:sz w:val="22"/>
        </w:rPr>
        <w:t>the percentage</w:t>
      </w:r>
      <w:r w:rsidR="00A32E3D" w:rsidRPr="00067F51">
        <w:rPr>
          <w:rFonts w:cs="Times New Roman"/>
          <w:sz w:val="22"/>
        </w:rPr>
        <w:t xml:space="preserve"> change is identical within the Customs Union and CIS group, and also identical within the EU and Rest of World group.</w:t>
      </w:r>
      <w:r w:rsidR="00786508">
        <w:rPr>
          <w:rFonts w:cs="Times New Roman"/>
          <w:sz w:val="22"/>
        </w:rPr>
        <w:t xml:space="preserve"> </w:t>
      </w:r>
      <w:r w:rsidR="00A32E3D" w:rsidRPr="00067F51">
        <w:rPr>
          <w:rFonts w:cs="Times New Roman"/>
          <w:sz w:val="22"/>
        </w:rPr>
        <w:t xml:space="preserve">This is because the update of the CGE only includes a tariff reduction, and the tariff reduction is equal </w:t>
      </w:r>
      <w:r w:rsidR="00A32E3D" w:rsidRPr="00067F51">
        <w:rPr>
          <w:rFonts w:cs="Times New Roman"/>
          <w:sz w:val="22"/>
        </w:rPr>
        <w:lastRenderedPageBreak/>
        <w:t>for all trading partners except the CU and CIS countries.</w:t>
      </w:r>
      <w:r w:rsidR="00786508">
        <w:rPr>
          <w:rFonts w:cs="Times New Roman"/>
          <w:sz w:val="22"/>
        </w:rPr>
        <w:t xml:space="preserve"> </w:t>
      </w:r>
      <w:r w:rsidR="00A32E3D" w:rsidRPr="00067F51">
        <w:rPr>
          <w:rFonts w:cs="Times New Roman"/>
          <w:sz w:val="22"/>
        </w:rPr>
        <w:t xml:space="preserve">Within the CU and CIS countries, import tariffs are already zero, so the relative change in import price is the same for CU and CIS. The quantity change is different because the percentage change is applied to the base-year import value for each region, which is unique to each trading partner and sector. </w:t>
      </w:r>
    </w:p>
    <w:tbl>
      <w:tblPr>
        <w:tblW w:w="7741" w:type="dxa"/>
        <w:jc w:val="center"/>
        <w:tblLayout w:type="fixed"/>
        <w:tblLook w:val="04A0" w:firstRow="1" w:lastRow="0" w:firstColumn="1" w:lastColumn="0" w:noHBand="0" w:noVBand="1"/>
      </w:tblPr>
      <w:tblGrid>
        <w:gridCol w:w="2683"/>
        <w:gridCol w:w="1264"/>
        <w:gridCol w:w="1265"/>
        <w:gridCol w:w="1264"/>
        <w:gridCol w:w="1265"/>
      </w:tblGrid>
      <w:tr w:rsidR="004F7B12" w:rsidRPr="002A0FE1" w:rsidTr="006A6079">
        <w:trPr>
          <w:trHeight w:val="495"/>
          <w:jc w:val="center"/>
        </w:trPr>
        <w:tc>
          <w:tcPr>
            <w:tcW w:w="7741" w:type="dxa"/>
            <w:gridSpan w:val="5"/>
            <w:tcBorders>
              <w:bottom w:val="single" w:sz="4" w:space="0" w:color="auto"/>
            </w:tcBorders>
            <w:shd w:val="clear" w:color="000000" w:fill="FFFFFF"/>
            <w:noWrap/>
            <w:vAlign w:val="bottom"/>
          </w:tcPr>
          <w:p w:rsidR="00067F51" w:rsidRDefault="0056192E" w:rsidP="00103888">
            <w:pPr>
              <w:pStyle w:val="Caption"/>
            </w:pPr>
            <w:bookmarkStart w:id="33" w:name="_Toc378151220"/>
            <w:bookmarkStart w:id="34" w:name="_Toc358583055"/>
            <w:r>
              <w:t xml:space="preserve">Table </w:t>
            </w:r>
            <w:fldSimple w:instr=" SEQ Table \* ARABIC ">
              <w:r>
                <w:rPr>
                  <w:noProof/>
                </w:rPr>
                <w:t>12</w:t>
              </w:r>
            </w:fldSimple>
            <w:r w:rsidR="004F7B12" w:rsidRPr="00E6002A">
              <w:t xml:space="preserve">: WTO </w:t>
            </w:r>
            <w:r w:rsidR="00D77BE1">
              <w:t>A</w:t>
            </w:r>
            <w:r w:rsidR="00D77BE1" w:rsidRPr="00E6002A">
              <w:t xml:space="preserve">ccession </w:t>
            </w:r>
            <w:r w:rsidR="00D77BE1">
              <w:t xml:space="preserve">Will Rebalance Some of the Effects of the </w:t>
            </w:r>
            <w:r w:rsidR="00067F51">
              <w:t xml:space="preserve">CU </w:t>
            </w:r>
            <w:r w:rsidR="00D77BE1">
              <w:t>Membership on Imports by 2020</w:t>
            </w:r>
            <w:bookmarkEnd w:id="33"/>
          </w:p>
          <w:p w:rsidR="004F7B12" w:rsidRPr="006A6079" w:rsidRDefault="004F7B12" w:rsidP="004C1DE4">
            <w:pPr>
              <w:spacing w:after="60" w:line="240" w:lineRule="auto"/>
              <w:jc w:val="center"/>
              <w:rPr>
                <w:sz w:val="18"/>
                <w:szCs w:val="18"/>
              </w:rPr>
            </w:pPr>
            <w:r w:rsidRPr="006A6079">
              <w:rPr>
                <w:sz w:val="18"/>
                <w:szCs w:val="18"/>
              </w:rPr>
              <w:t>(</w:t>
            </w:r>
            <w:r w:rsidR="006A6079">
              <w:rPr>
                <w:sz w:val="18"/>
                <w:szCs w:val="18"/>
              </w:rPr>
              <w:t>P</w:t>
            </w:r>
            <w:r w:rsidR="00F338C2" w:rsidRPr="006A6079">
              <w:rPr>
                <w:sz w:val="18"/>
                <w:szCs w:val="18"/>
              </w:rPr>
              <w:t>ercent</w:t>
            </w:r>
            <w:r w:rsidRPr="006A6079">
              <w:rPr>
                <w:sz w:val="18"/>
                <w:szCs w:val="18"/>
              </w:rPr>
              <w:t xml:space="preserve"> change </w:t>
            </w:r>
            <w:r w:rsidR="004C1DE4">
              <w:rPr>
                <w:sz w:val="18"/>
                <w:szCs w:val="18"/>
              </w:rPr>
              <w:t>of sectoral imports, benchmark 2012</w:t>
            </w:r>
            <w:r w:rsidRPr="006A6079">
              <w:rPr>
                <w:sz w:val="18"/>
                <w:szCs w:val="18"/>
              </w:rPr>
              <w:t>)</w:t>
            </w:r>
            <w:bookmarkEnd w:id="34"/>
          </w:p>
        </w:tc>
      </w:tr>
      <w:tr w:rsidR="004F7B12" w:rsidRPr="002A0FE1" w:rsidTr="006A6079">
        <w:trPr>
          <w:trHeight w:val="20"/>
          <w:jc w:val="center"/>
        </w:trPr>
        <w:tc>
          <w:tcPr>
            <w:tcW w:w="2683" w:type="dxa"/>
            <w:tcBorders>
              <w:top w:val="single" w:sz="4" w:space="0" w:color="auto"/>
              <w:bottom w:val="single" w:sz="4" w:space="0" w:color="auto"/>
            </w:tcBorders>
            <w:shd w:val="clear" w:color="000000" w:fill="FFFFFF"/>
            <w:noWrap/>
            <w:vAlign w:val="center"/>
            <w:hideMark/>
          </w:tcPr>
          <w:p w:rsidR="004F7B12" w:rsidRPr="006A6079" w:rsidRDefault="004F7B12" w:rsidP="00D25311">
            <w:pPr>
              <w:spacing w:before="60" w:after="60" w:line="240" w:lineRule="auto"/>
              <w:jc w:val="left"/>
              <w:rPr>
                <w:rFonts w:eastAsia="Times New Roman" w:cs="Times New Roman"/>
                <w:bCs/>
                <w:sz w:val="20"/>
                <w:szCs w:val="20"/>
              </w:rPr>
            </w:pPr>
            <w:r w:rsidRPr="006A6079">
              <w:rPr>
                <w:rFonts w:eastAsia="Times New Roman" w:cs="Times New Roman"/>
                <w:bCs/>
                <w:sz w:val="20"/>
                <w:szCs w:val="20"/>
              </w:rPr>
              <w:t>Sector</w:t>
            </w:r>
          </w:p>
        </w:tc>
        <w:tc>
          <w:tcPr>
            <w:tcW w:w="1264" w:type="dxa"/>
            <w:tcBorders>
              <w:top w:val="single" w:sz="4" w:space="0" w:color="auto"/>
              <w:bottom w:val="single" w:sz="4" w:space="0" w:color="auto"/>
            </w:tcBorders>
            <w:shd w:val="clear" w:color="000000" w:fill="FFFFFF"/>
            <w:vAlign w:val="center"/>
            <w:hideMark/>
          </w:tcPr>
          <w:p w:rsidR="004F7B12" w:rsidRPr="006A6079" w:rsidRDefault="004F7B12" w:rsidP="00D25311">
            <w:pPr>
              <w:spacing w:before="60" w:after="60" w:line="240" w:lineRule="auto"/>
              <w:jc w:val="center"/>
              <w:rPr>
                <w:rFonts w:eastAsia="Times New Roman" w:cs="Times New Roman"/>
                <w:bCs/>
                <w:sz w:val="20"/>
                <w:szCs w:val="20"/>
              </w:rPr>
            </w:pPr>
            <w:r w:rsidRPr="006A6079">
              <w:rPr>
                <w:rFonts w:eastAsia="Times New Roman" w:cs="Times New Roman"/>
                <w:bCs/>
                <w:sz w:val="20"/>
                <w:szCs w:val="20"/>
              </w:rPr>
              <w:t>Customs Union</w:t>
            </w:r>
          </w:p>
        </w:tc>
        <w:tc>
          <w:tcPr>
            <w:tcW w:w="1265" w:type="dxa"/>
            <w:tcBorders>
              <w:top w:val="single" w:sz="4" w:space="0" w:color="auto"/>
              <w:bottom w:val="single" w:sz="4" w:space="0" w:color="auto"/>
            </w:tcBorders>
            <w:shd w:val="clear" w:color="000000" w:fill="FFFFFF"/>
            <w:vAlign w:val="center"/>
            <w:hideMark/>
          </w:tcPr>
          <w:p w:rsidR="004F7B12" w:rsidRPr="006A6079" w:rsidRDefault="004F7B12" w:rsidP="00D25311">
            <w:pPr>
              <w:spacing w:before="60" w:after="60" w:line="240" w:lineRule="auto"/>
              <w:jc w:val="center"/>
              <w:rPr>
                <w:rFonts w:eastAsia="Times New Roman" w:cs="Times New Roman"/>
                <w:bCs/>
                <w:sz w:val="20"/>
                <w:szCs w:val="20"/>
              </w:rPr>
            </w:pPr>
            <w:r w:rsidRPr="006A6079">
              <w:rPr>
                <w:rFonts w:eastAsia="Times New Roman" w:cs="Times New Roman"/>
                <w:bCs/>
                <w:sz w:val="20"/>
                <w:szCs w:val="20"/>
              </w:rPr>
              <w:t>Other CIS</w:t>
            </w:r>
          </w:p>
        </w:tc>
        <w:tc>
          <w:tcPr>
            <w:tcW w:w="1264" w:type="dxa"/>
            <w:tcBorders>
              <w:top w:val="single" w:sz="4" w:space="0" w:color="auto"/>
              <w:bottom w:val="single" w:sz="4" w:space="0" w:color="auto"/>
            </w:tcBorders>
            <w:shd w:val="clear" w:color="000000" w:fill="FFFFFF"/>
            <w:vAlign w:val="center"/>
            <w:hideMark/>
          </w:tcPr>
          <w:p w:rsidR="004F7B12" w:rsidRPr="006A6079" w:rsidRDefault="004F7B12" w:rsidP="00D25311">
            <w:pPr>
              <w:spacing w:before="60" w:after="60" w:line="240" w:lineRule="auto"/>
              <w:jc w:val="center"/>
              <w:rPr>
                <w:rFonts w:eastAsia="Times New Roman" w:cs="Times New Roman"/>
                <w:bCs/>
                <w:sz w:val="20"/>
                <w:szCs w:val="20"/>
              </w:rPr>
            </w:pPr>
            <w:r w:rsidRPr="006A6079">
              <w:rPr>
                <w:rFonts w:eastAsia="Times New Roman" w:cs="Times New Roman"/>
                <w:bCs/>
                <w:sz w:val="20"/>
                <w:szCs w:val="20"/>
              </w:rPr>
              <w:t>European Union</w:t>
            </w:r>
          </w:p>
        </w:tc>
        <w:tc>
          <w:tcPr>
            <w:tcW w:w="1265" w:type="dxa"/>
            <w:tcBorders>
              <w:top w:val="single" w:sz="4" w:space="0" w:color="auto"/>
              <w:bottom w:val="single" w:sz="4" w:space="0" w:color="auto"/>
            </w:tcBorders>
            <w:shd w:val="clear" w:color="000000" w:fill="FFFFFF"/>
            <w:vAlign w:val="center"/>
            <w:hideMark/>
          </w:tcPr>
          <w:p w:rsidR="004F7B12" w:rsidRPr="006A6079" w:rsidRDefault="004F7B12" w:rsidP="00D25311">
            <w:pPr>
              <w:spacing w:before="60" w:after="60" w:line="240" w:lineRule="auto"/>
              <w:jc w:val="center"/>
              <w:rPr>
                <w:rFonts w:eastAsia="Times New Roman" w:cs="Times New Roman"/>
                <w:bCs/>
                <w:sz w:val="20"/>
                <w:szCs w:val="20"/>
              </w:rPr>
            </w:pPr>
            <w:r w:rsidRPr="006A6079">
              <w:rPr>
                <w:rFonts w:eastAsia="Times New Roman" w:cs="Times New Roman"/>
                <w:bCs/>
                <w:sz w:val="20"/>
                <w:szCs w:val="20"/>
              </w:rPr>
              <w:t>Rest of the World</w:t>
            </w:r>
          </w:p>
        </w:tc>
      </w:tr>
      <w:tr w:rsidR="00551867" w:rsidRPr="00D25311" w:rsidTr="006A6079">
        <w:trPr>
          <w:trHeight w:val="20"/>
          <w:jc w:val="center"/>
        </w:trPr>
        <w:tc>
          <w:tcPr>
            <w:tcW w:w="2683" w:type="dxa"/>
            <w:tcBorders>
              <w:top w:val="single" w:sz="4" w:space="0" w:color="auto"/>
            </w:tcBorders>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Agriculture and hunting</w:t>
            </w:r>
          </w:p>
        </w:tc>
        <w:tc>
          <w:tcPr>
            <w:tcW w:w="1264" w:type="dxa"/>
            <w:tcBorders>
              <w:top w:val="single" w:sz="4" w:space="0" w:color="auto"/>
            </w:tcBorders>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-4.6</w:t>
            </w:r>
          </w:p>
        </w:tc>
        <w:tc>
          <w:tcPr>
            <w:tcW w:w="1265" w:type="dxa"/>
            <w:tcBorders>
              <w:top w:val="single" w:sz="4" w:space="0" w:color="auto"/>
            </w:tcBorders>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-4.6</w:t>
            </w:r>
          </w:p>
        </w:tc>
        <w:tc>
          <w:tcPr>
            <w:tcW w:w="1264" w:type="dxa"/>
            <w:tcBorders>
              <w:top w:val="single" w:sz="4" w:space="0" w:color="auto"/>
            </w:tcBorders>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5.3</w:t>
            </w:r>
          </w:p>
        </w:tc>
        <w:tc>
          <w:tcPr>
            <w:tcW w:w="1265" w:type="dxa"/>
            <w:tcBorders>
              <w:top w:val="single" w:sz="4" w:space="0" w:color="auto"/>
            </w:tcBorders>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5.3</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Chemical Industry</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-13.1</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-13.1</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6.9</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6.9</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Crude oil and natural gas</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0.5</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0.5</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0.5</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0.5</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Electrical machinery</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-12.6</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-12.6</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6.4</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6.4</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Fishing</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-8.4</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12.4</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12.4</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Food and beverages</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-11.9</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-11.9</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44</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44</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Forestry</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Furniture and other products</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-9.6</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-9.6</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12</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12</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 xml:space="preserve">Leather products </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-27.8</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-27.8</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17.1</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17.1</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Machinery and equipment</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-3.2</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-3.2</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0.7</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0.7</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Metal products</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-20.9</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-20.9</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14.8</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14.8</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Metallurgical industry</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-6.7</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-6.7</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14.1</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14.1</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Mining of coal and lignite</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-0.5</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-0.5</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-0.5</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-0.5</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Mining of metals</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2.1</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2.1</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-18.3</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-18.3</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Motor vehicles and trailers</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-27.4</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-27.4</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7.3</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7.3</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Office machinery</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-0.4</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-0.4</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-0.1</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-0.1</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Other mineral products</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-9.8</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-9.8</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18.9</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18.9</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Other mining</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-1.4</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-1.4</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-0.9</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-0.9</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Other transport equipment</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-4.7</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-4.7</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4.9</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4.9</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Precision instruments</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-6.8</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-6.8</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1.5</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1.5</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Publishing and printing</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-1.6</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-1.6</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1.5</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1.5</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Pulp and paper</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-17.6</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-17.6</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18.4</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18.4</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Radio and television</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-15.8</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-15.8</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3.6</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3.6</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 xml:space="preserve">Refined petroleum </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-0.2</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-0.2</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0.1</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0.1</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Rubber and plastic</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-16.1</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-16.1</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17.5</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17.5</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Textiles</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-15.7</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-15.7</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14.8</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14.8</w:t>
            </w:r>
          </w:p>
        </w:tc>
      </w:tr>
      <w:tr w:rsidR="00551867" w:rsidRPr="00D25311" w:rsidTr="006A6079">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Tobacco products</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-7.1</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-7.1</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70.1</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70.1</w:t>
            </w:r>
          </w:p>
        </w:tc>
      </w:tr>
      <w:tr w:rsidR="00551867" w:rsidRPr="00D25311" w:rsidTr="00D77BE1">
        <w:trPr>
          <w:trHeight w:val="20"/>
          <w:jc w:val="center"/>
        </w:trPr>
        <w:tc>
          <w:tcPr>
            <w:tcW w:w="2683" w:type="dxa"/>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Wearing apparel</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-12.4</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-12.4</w:t>
            </w:r>
          </w:p>
        </w:tc>
        <w:tc>
          <w:tcPr>
            <w:tcW w:w="1264"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5.1</w:t>
            </w:r>
          </w:p>
        </w:tc>
        <w:tc>
          <w:tcPr>
            <w:tcW w:w="1265" w:type="dxa"/>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5.1</w:t>
            </w:r>
          </w:p>
        </w:tc>
      </w:tr>
      <w:tr w:rsidR="00551867" w:rsidRPr="00D25311" w:rsidTr="00D77BE1">
        <w:trPr>
          <w:trHeight w:val="20"/>
          <w:jc w:val="center"/>
        </w:trPr>
        <w:tc>
          <w:tcPr>
            <w:tcW w:w="2683" w:type="dxa"/>
            <w:tcBorders>
              <w:bottom w:val="single" w:sz="4" w:space="0" w:color="auto"/>
            </w:tcBorders>
            <w:shd w:val="clear" w:color="000000" w:fill="FFFFFF"/>
            <w:noWrap/>
            <w:vAlign w:val="center"/>
          </w:tcPr>
          <w:p w:rsidR="00551867" w:rsidRPr="006A6079" w:rsidRDefault="00551867" w:rsidP="00103888">
            <w:pPr>
              <w:spacing w:after="0" w:line="240" w:lineRule="auto"/>
              <w:jc w:val="left"/>
              <w:rPr>
                <w:rFonts w:eastAsia="Times New Roman" w:cs="Times New Roman"/>
                <w:sz w:val="20"/>
                <w:szCs w:val="20"/>
              </w:rPr>
            </w:pPr>
            <w:r w:rsidRPr="006A6079">
              <w:rPr>
                <w:rFonts w:cs="Times New Roman"/>
                <w:color w:val="000000"/>
                <w:sz w:val="20"/>
                <w:szCs w:val="20"/>
              </w:rPr>
              <w:t>Wood products</w:t>
            </w:r>
          </w:p>
        </w:tc>
        <w:tc>
          <w:tcPr>
            <w:tcW w:w="1264" w:type="dxa"/>
            <w:tcBorders>
              <w:bottom w:val="single" w:sz="4" w:space="0" w:color="auto"/>
            </w:tcBorders>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-8.1</w:t>
            </w:r>
          </w:p>
        </w:tc>
        <w:tc>
          <w:tcPr>
            <w:tcW w:w="1265" w:type="dxa"/>
            <w:tcBorders>
              <w:bottom w:val="single" w:sz="4" w:space="0" w:color="auto"/>
            </w:tcBorders>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-8.1</w:t>
            </w:r>
          </w:p>
        </w:tc>
        <w:tc>
          <w:tcPr>
            <w:tcW w:w="1264" w:type="dxa"/>
            <w:tcBorders>
              <w:bottom w:val="single" w:sz="4" w:space="0" w:color="auto"/>
            </w:tcBorders>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34.2</w:t>
            </w:r>
          </w:p>
        </w:tc>
        <w:tc>
          <w:tcPr>
            <w:tcW w:w="1265" w:type="dxa"/>
            <w:tcBorders>
              <w:bottom w:val="single" w:sz="4" w:space="0" w:color="auto"/>
            </w:tcBorders>
            <w:shd w:val="clear" w:color="000000" w:fill="FFFFFF"/>
            <w:noWrap/>
            <w:vAlign w:val="center"/>
          </w:tcPr>
          <w:p w:rsidR="00551867" w:rsidRPr="006A6079" w:rsidRDefault="00551867" w:rsidP="00D25311">
            <w:pPr>
              <w:spacing w:after="0" w:line="240" w:lineRule="auto"/>
              <w:ind w:right="407"/>
              <w:jc w:val="right"/>
              <w:rPr>
                <w:rFonts w:eastAsia="Times New Roman" w:cs="Times New Roman"/>
                <w:sz w:val="20"/>
                <w:szCs w:val="20"/>
              </w:rPr>
            </w:pPr>
            <w:r w:rsidRPr="006A6079">
              <w:rPr>
                <w:rFonts w:cs="Times New Roman"/>
                <w:color w:val="000000"/>
                <w:sz w:val="20"/>
                <w:szCs w:val="20"/>
              </w:rPr>
              <w:t>34.2</w:t>
            </w:r>
          </w:p>
        </w:tc>
      </w:tr>
      <w:tr w:rsidR="006A6079" w:rsidRPr="00D25311" w:rsidTr="00D77BE1">
        <w:trPr>
          <w:trHeight w:val="20"/>
          <w:jc w:val="center"/>
        </w:trPr>
        <w:tc>
          <w:tcPr>
            <w:tcW w:w="7741" w:type="dxa"/>
            <w:gridSpan w:val="5"/>
            <w:tcBorders>
              <w:top w:val="single" w:sz="4" w:space="0" w:color="auto"/>
            </w:tcBorders>
            <w:shd w:val="clear" w:color="000000" w:fill="FFFFFF"/>
            <w:noWrap/>
            <w:vAlign w:val="center"/>
          </w:tcPr>
          <w:p w:rsidR="006A6079" w:rsidRPr="006A6079" w:rsidRDefault="006A6079" w:rsidP="00D77BE1">
            <w:pPr>
              <w:spacing w:before="120" w:after="0" w:line="240" w:lineRule="auto"/>
              <w:ind w:right="403"/>
              <w:jc w:val="left"/>
              <w:rPr>
                <w:rFonts w:cs="Times New Roman"/>
                <w:color w:val="000000"/>
                <w:sz w:val="18"/>
                <w:szCs w:val="18"/>
              </w:rPr>
            </w:pPr>
            <w:r w:rsidRPr="006A6079">
              <w:rPr>
                <w:rFonts w:cs="Times New Roman"/>
                <w:i/>
                <w:sz w:val="18"/>
                <w:szCs w:val="18"/>
              </w:rPr>
              <w:t>Source:</w:t>
            </w:r>
            <w:r w:rsidRPr="006A6079">
              <w:rPr>
                <w:rFonts w:cs="Times New Roman"/>
                <w:sz w:val="18"/>
                <w:szCs w:val="18"/>
              </w:rPr>
              <w:t xml:space="preserve"> World Bank</w:t>
            </w:r>
            <w:r>
              <w:rPr>
                <w:rFonts w:cs="Times New Roman"/>
                <w:sz w:val="18"/>
                <w:szCs w:val="18"/>
              </w:rPr>
              <w:t>.</w:t>
            </w:r>
          </w:p>
        </w:tc>
      </w:tr>
    </w:tbl>
    <w:p w:rsidR="00751C7C" w:rsidRPr="006A6079" w:rsidRDefault="00751C7C" w:rsidP="006A6079">
      <w:pPr>
        <w:pStyle w:val="ListParagraph"/>
        <w:tabs>
          <w:tab w:val="left" w:pos="720"/>
        </w:tabs>
        <w:spacing w:after="0" w:line="240" w:lineRule="auto"/>
        <w:ind w:left="0"/>
        <w:contextualSpacing w:val="0"/>
        <w:rPr>
          <w:rFonts w:cs="Times New Roman"/>
          <w:sz w:val="22"/>
        </w:rPr>
      </w:pPr>
      <w:r>
        <w:rPr>
          <w:rFonts w:cs="Times New Roman"/>
          <w:sz w:val="22"/>
        </w:rPr>
        <w:tab/>
      </w:r>
    </w:p>
    <w:p w:rsidR="00F338C2" w:rsidRPr="008A4F63" w:rsidRDefault="00216A85" w:rsidP="00551867">
      <w:pPr>
        <w:pStyle w:val="ListParagraph"/>
        <w:numPr>
          <w:ilvl w:val="0"/>
          <w:numId w:val="1"/>
        </w:numPr>
        <w:tabs>
          <w:tab w:val="left" w:pos="720"/>
        </w:tabs>
        <w:spacing w:after="240" w:line="240" w:lineRule="auto"/>
        <w:ind w:left="0" w:firstLine="0"/>
        <w:contextualSpacing w:val="0"/>
        <w:rPr>
          <w:rFonts w:ascii="Times New Roman Bold" w:eastAsiaTheme="majorEastAsia" w:hAnsi="Times New Roman Bold" w:cs="Times New Roman"/>
          <w:b/>
          <w:bCs/>
          <w:smallCaps/>
          <w:color w:val="000000" w:themeColor="text1"/>
          <w:szCs w:val="24"/>
        </w:rPr>
      </w:pPr>
      <w:r w:rsidRPr="008A4F63">
        <w:rPr>
          <w:rFonts w:cs="Times New Roman"/>
          <w:b/>
          <w:sz w:val="22"/>
        </w:rPr>
        <w:t>Beyond</w:t>
      </w:r>
      <w:r w:rsidR="00621DA3" w:rsidRPr="008A4F63">
        <w:rPr>
          <w:rFonts w:cs="Times New Roman"/>
          <w:b/>
          <w:sz w:val="22"/>
        </w:rPr>
        <w:t xml:space="preserve"> the </w:t>
      </w:r>
      <w:r w:rsidR="008A4F63" w:rsidRPr="008A4F63">
        <w:rPr>
          <w:rFonts w:cs="Times New Roman"/>
          <w:b/>
          <w:sz w:val="22"/>
        </w:rPr>
        <w:t>benefits</w:t>
      </w:r>
      <w:r w:rsidR="00621DA3" w:rsidRPr="008A4F63">
        <w:rPr>
          <w:rFonts w:cs="Times New Roman"/>
          <w:b/>
          <w:sz w:val="22"/>
        </w:rPr>
        <w:t xml:space="preserve"> of</w:t>
      </w:r>
      <w:r w:rsidRPr="008A4F63">
        <w:rPr>
          <w:rFonts w:cs="Times New Roman"/>
          <w:b/>
          <w:sz w:val="22"/>
        </w:rPr>
        <w:t xml:space="preserve"> </w:t>
      </w:r>
      <w:r w:rsidR="00621DA3" w:rsidRPr="008A4F63">
        <w:rPr>
          <w:rFonts w:cs="Times New Roman"/>
          <w:b/>
          <w:sz w:val="22"/>
        </w:rPr>
        <w:t>WTO related tariff</w:t>
      </w:r>
      <w:r w:rsidR="008A4F63">
        <w:rPr>
          <w:rFonts w:cs="Times New Roman"/>
          <w:b/>
          <w:sz w:val="22"/>
        </w:rPr>
        <w:t xml:space="preserve"> liberalization,</w:t>
      </w:r>
      <w:r w:rsidRPr="008A4F63">
        <w:rPr>
          <w:rFonts w:cs="Times New Roman"/>
          <w:b/>
          <w:sz w:val="22"/>
        </w:rPr>
        <w:t xml:space="preserve"> </w:t>
      </w:r>
      <w:r w:rsidR="00621DA3" w:rsidRPr="008A4F63">
        <w:rPr>
          <w:rFonts w:cs="Times New Roman"/>
          <w:b/>
          <w:sz w:val="22"/>
        </w:rPr>
        <w:t xml:space="preserve">the authorities will need to </w:t>
      </w:r>
      <w:r w:rsidR="008A4F63" w:rsidRPr="008A4F63">
        <w:rPr>
          <w:rFonts w:cs="Times New Roman"/>
          <w:b/>
          <w:sz w:val="22"/>
        </w:rPr>
        <w:t xml:space="preserve">address the significant NTMs </w:t>
      </w:r>
      <w:r w:rsidR="008A4F63">
        <w:rPr>
          <w:rFonts w:cs="Times New Roman"/>
          <w:b/>
          <w:sz w:val="22"/>
        </w:rPr>
        <w:t>adopted as</w:t>
      </w:r>
      <w:r w:rsidRPr="008A4F63">
        <w:rPr>
          <w:rFonts w:cs="Times New Roman"/>
          <w:b/>
          <w:sz w:val="22"/>
        </w:rPr>
        <w:t xml:space="preserve"> a result of </w:t>
      </w:r>
      <w:r w:rsidR="00C148BD" w:rsidRPr="008A4F63">
        <w:rPr>
          <w:rFonts w:cs="Times New Roman"/>
          <w:b/>
          <w:sz w:val="22"/>
        </w:rPr>
        <w:t xml:space="preserve">joining the </w:t>
      </w:r>
      <w:r w:rsidRPr="008A4F63">
        <w:rPr>
          <w:rFonts w:cs="Times New Roman"/>
          <w:b/>
          <w:sz w:val="22"/>
        </w:rPr>
        <w:t>CU</w:t>
      </w:r>
      <w:r w:rsidR="008A4F63" w:rsidRPr="008A4F63">
        <w:rPr>
          <w:rFonts w:cs="Times New Roman"/>
          <w:b/>
          <w:sz w:val="22"/>
        </w:rPr>
        <w:t>.</w:t>
      </w:r>
      <w:r w:rsidR="00786508">
        <w:rPr>
          <w:rFonts w:cs="Times New Roman"/>
          <w:b/>
          <w:sz w:val="22"/>
        </w:rPr>
        <w:t xml:space="preserve"> </w:t>
      </w:r>
      <w:r w:rsidR="008A4F63" w:rsidRPr="008A4F63">
        <w:rPr>
          <w:rFonts w:cs="Times New Roman"/>
          <w:b/>
          <w:sz w:val="22"/>
        </w:rPr>
        <w:t>These NTMs</w:t>
      </w:r>
      <w:r w:rsidRPr="008A4F63">
        <w:rPr>
          <w:rFonts w:cs="Times New Roman"/>
          <w:b/>
          <w:sz w:val="22"/>
        </w:rPr>
        <w:t xml:space="preserve"> are likely to lead to some </w:t>
      </w:r>
      <w:r w:rsidR="00C148BD" w:rsidRPr="008A4F63">
        <w:rPr>
          <w:rFonts w:cs="Times New Roman"/>
          <w:b/>
          <w:sz w:val="22"/>
        </w:rPr>
        <w:t xml:space="preserve">trade </w:t>
      </w:r>
      <w:r w:rsidRPr="008A4F63">
        <w:rPr>
          <w:rFonts w:cs="Times New Roman"/>
          <w:b/>
          <w:sz w:val="22"/>
        </w:rPr>
        <w:t>diversion</w:t>
      </w:r>
      <w:r w:rsidR="00C148BD" w:rsidRPr="008A4F63">
        <w:rPr>
          <w:rFonts w:cs="Times New Roman"/>
          <w:b/>
          <w:sz w:val="22"/>
        </w:rPr>
        <w:t xml:space="preserve"> towards its members</w:t>
      </w:r>
      <w:r w:rsidRPr="008A4F63">
        <w:rPr>
          <w:rFonts w:cs="Times New Roman"/>
          <w:b/>
          <w:sz w:val="22"/>
        </w:rPr>
        <w:t>.</w:t>
      </w:r>
      <w:r w:rsidR="00786508">
        <w:rPr>
          <w:rFonts w:cs="Times New Roman"/>
          <w:sz w:val="22"/>
        </w:rPr>
        <w:t xml:space="preserve"> </w:t>
      </w:r>
      <w:r w:rsidR="007F49DF" w:rsidRPr="008A4F63">
        <w:rPr>
          <w:rFonts w:cs="Times New Roman"/>
          <w:sz w:val="22"/>
        </w:rPr>
        <w:t>Among the most challenging CU regulatory changes are: (i) issuance of more stringent regulations; (ii) excessive mandatory certifications; (iii) new state product registration requirements; (iv) new requirement of registering third country suppliers; and (v) prevalence of quantitative controls.</w:t>
      </w:r>
      <w:r w:rsidR="00786508">
        <w:rPr>
          <w:rFonts w:cs="Times New Roman"/>
          <w:sz w:val="22"/>
        </w:rPr>
        <w:t xml:space="preserve"> </w:t>
      </w:r>
      <w:r w:rsidR="007F49DF" w:rsidRPr="008A4F63">
        <w:rPr>
          <w:rFonts w:cs="Times New Roman"/>
          <w:sz w:val="22"/>
        </w:rPr>
        <w:t>Compliance with these requirements may be very costly for both companies seeking to export and those that source their inputs abroad, especially in emerging and developing countries.</w:t>
      </w:r>
      <w:r w:rsidR="00786508">
        <w:rPr>
          <w:rFonts w:cs="Times New Roman"/>
          <w:sz w:val="22"/>
        </w:rPr>
        <w:t xml:space="preserve"> </w:t>
      </w:r>
      <w:r w:rsidR="007F49DF" w:rsidRPr="008A4F63">
        <w:rPr>
          <w:rFonts w:cs="Times New Roman"/>
          <w:sz w:val="22"/>
        </w:rPr>
        <w:t>Countries imposing them may end up hurting their own competitiveness by making it difficult for domestic producers and exporters to access critical inputs in a timely fashion.</w:t>
      </w:r>
      <w:r w:rsidR="00786508">
        <w:rPr>
          <w:rFonts w:cs="Times New Roman"/>
          <w:sz w:val="22"/>
        </w:rPr>
        <w:t xml:space="preserve"> </w:t>
      </w:r>
      <w:r w:rsidR="00954CE9">
        <w:rPr>
          <w:rFonts w:cs="Times New Roman"/>
          <w:sz w:val="22"/>
        </w:rPr>
        <w:t>The WTO acknowledges the need for countries to ensure safety and health of their citizens.</w:t>
      </w:r>
      <w:r w:rsidR="00786508">
        <w:rPr>
          <w:rFonts w:cs="Times New Roman"/>
          <w:sz w:val="22"/>
        </w:rPr>
        <w:t xml:space="preserve"> </w:t>
      </w:r>
      <w:r w:rsidR="00954CE9">
        <w:rPr>
          <w:rFonts w:cs="Times New Roman"/>
          <w:sz w:val="22"/>
        </w:rPr>
        <w:t>At the same time WTO discipline encourage adoption of NTMs that would be the least restrictive to trade.</w:t>
      </w:r>
      <w:r w:rsidR="00786508">
        <w:rPr>
          <w:rFonts w:cs="Times New Roman"/>
          <w:sz w:val="22"/>
        </w:rPr>
        <w:t xml:space="preserve"> </w:t>
      </w:r>
      <w:r w:rsidR="00954CE9" w:rsidRPr="008A4F63">
        <w:rPr>
          <w:rFonts w:cs="Times New Roman"/>
          <w:sz w:val="22"/>
        </w:rPr>
        <w:t xml:space="preserve">This report includes an analysis of </w:t>
      </w:r>
      <w:r w:rsidR="00954CE9">
        <w:rPr>
          <w:rFonts w:cs="Times New Roman"/>
          <w:sz w:val="22"/>
        </w:rPr>
        <w:t xml:space="preserve">NTM </w:t>
      </w:r>
      <w:r w:rsidR="00954CE9" w:rsidRPr="008A4F63">
        <w:rPr>
          <w:rFonts w:cs="Times New Roman"/>
          <w:sz w:val="22"/>
        </w:rPr>
        <w:t xml:space="preserve">issues and provides various suggestions to </w:t>
      </w:r>
      <w:r w:rsidR="00954CE9">
        <w:rPr>
          <w:rFonts w:cs="Times New Roman"/>
          <w:sz w:val="22"/>
        </w:rPr>
        <w:t>alleviate their impact</w:t>
      </w:r>
      <w:r w:rsidR="00954CE9" w:rsidRPr="008A4F63">
        <w:rPr>
          <w:rFonts w:cs="Times New Roman"/>
          <w:sz w:val="22"/>
        </w:rPr>
        <w:t xml:space="preserve">. </w:t>
      </w:r>
    </w:p>
    <w:p w:rsidR="00645746" w:rsidRPr="00216A85" w:rsidRDefault="008B5E51" w:rsidP="000002D1">
      <w:pPr>
        <w:pStyle w:val="Heading2"/>
      </w:pPr>
      <w:bookmarkStart w:id="35" w:name="_Toc371607426"/>
      <w:bookmarkStart w:id="36" w:name="_Toc378151202"/>
      <w:r>
        <w:lastRenderedPageBreak/>
        <w:t xml:space="preserve">Kazakhstan </w:t>
      </w:r>
      <w:r w:rsidR="00925A5D">
        <w:t xml:space="preserve">Should Assess Carefully Before </w:t>
      </w:r>
      <w:r w:rsidR="005F2099">
        <w:t xml:space="preserve">Pursuing New </w:t>
      </w:r>
      <w:bookmarkEnd w:id="35"/>
      <w:r w:rsidR="00925A5D">
        <w:t>FTAs</w:t>
      </w:r>
      <w:bookmarkEnd w:id="36"/>
    </w:p>
    <w:p w:rsidR="003D3AD2" w:rsidRPr="00B451C4" w:rsidRDefault="00645746" w:rsidP="000002D1">
      <w:pPr>
        <w:pStyle w:val="ListParagraph"/>
        <w:numPr>
          <w:ilvl w:val="0"/>
          <w:numId w:val="1"/>
        </w:numPr>
        <w:tabs>
          <w:tab w:val="left" w:pos="720"/>
        </w:tabs>
        <w:spacing w:after="240" w:line="240" w:lineRule="auto"/>
        <w:ind w:left="0" w:firstLine="0"/>
        <w:contextualSpacing w:val="0"/>
        <w:rPr>
          <w:rFonts w:cs="Times New Roman"/>
          <w:sz w:val="22"/>
        </w:rPr>
      </w:pPr>
      <w:r w:rsidRPr="00645746">
        <w:rPr>
          <w:rFonts w:cs="Times New Roman"/>
          <w:b/>
          <w:sz w:val="22"/>
        </w:rPr>
        <w:t xml:space="preserve">Since 2000, the lack of progress with multilateral liberalization has been accompanied </w:t>
      </w:r>
      <w:r w:rsidR="00B90E74" w:rsidRPr="00645746">
        <w:rPr>
          <w:rFonts w:cs="Times New Roman"/>
          <w:b/>
          <w:sz w:val="22"/>
        </w:rPr>
        <w:t>by the</w:t>
      </w:r>
      <w:r w:rsidRPr="00645746">
        <w:rPr>
          <w:rFonts w:cs="Times New Roman"/>
          <w:b/>
          <w:sz w:val="22"/>
        </w:rPr>
        <w:t xml:space="preserve"> proliferation of various forms of </w:t>
      </w:r>
      <w:r w:rsidR="00D81B4A">
        <w:rPr>
          <w:rFonts w:cs="Times New Roman"/>
          <w:b/>
          <w:sz w:val="22"/>
        </w:rPr>
        <w:t>preferential trade agreements (PTAs)</w:t>
      </w:r>
      <w:r w:rsidRPr="00645746">
        <w:rPr>
          <w:rFonts w:cs="Times New Roman"/>
          <w:sz w:val="22"/>
        </w:rPr>
        <w:t>. For instance</w:t>
      </w:r>
      <w:r w:rsidR="00B90E74" w:rsidRPr="00645746">
        <w:rPr>
          <w:rFonts w:cs="Times New Roman"/>
          <w:sz w:val="22"/>
        </w:rPr>
        <w:t>, as</w:t>
      </w:r>
      <w:r w:rsidRPr="00645746">
        <w:rPr>
          <w:rFonts w:cs="Times New Roman"/>
          <w:sz w:val="22"/>
        </w:rPr>
        <w:t xml:space="preserve"> of January 2010</w:t>
      </w:r>
      <w:r w:rsidR="00B90E74" w:rsidRPr="00645746">
        <w:rPr>
          <w:rFonts w:cs="Times New Roman"/>
          <w:sz w:val="22"/>
        </w:rPr>
        <w:t>, ASEAN</w:t>
      </w:r>
      <w:r w:rsidRPr="00645746">
        <w:rPr>
          <w:rFonts w:cs="Times New Roman"/>
          <w:sz w:val="22"/>
        </w:rPr>
        <w:t xml:space="preserve"> member countries had signed or were</w:t>
      </w:r>
      <w:r w:rsidRPr="00D81B4A">
        <w:rPr>
          <w:rFonts w:cs="Times New Roman"/>
          <w:sz w:val="22"/>
        </w:rPr>
        <w:t xml:space="preserve"> </w:t>
      </w:r>
      <w:r w:rsidR="00B90E74" w:rsidRPr="00CC0F75">
        <w:rPr>
          <w:rFonts w:cs="Times New Roman"/>
          <w:sz w:val="22"/>
        </w:rPr>
        <w:t>implementing</w:t>
      </w:r>
      <w:r w:rsidR="00B90E74" w:rsidRPr="00645746">
        <w:rPr>
          <w:rFonts w:cs="Times New Roman"/>
          <w:sz w:val="22"/>
        </w:rPr>
        <w:t xml:space="preserve"> 91</w:t>
      </w:r>
      <w:r w:rsidRPr="00645746">
        <w:rPr>
          <w:rFonts w:cs="Times New Roman"/>
          <w:sz w:val="22"/>
        </w:rPr>
        <w:t xml:space="preserve"> </w:t>
      </w:r>
      <w:r w:rsidR="00D81B4A">
        <w:rPr>
          <w:rFonts w:cs="Times New Roman"/>
          <w:sz w:val="22"/>
        </w:rPr>
        <w:t>P</w:t>
      </w:r>
      <w:r w:rsidR="00D81B4A" w:rsidRPr="00645746">
        <w:rPr>
          <w:rFonts w:cs="Times New Roman"/>
          <w:sz w:val="22"/>
        </w:rPr>
        <w:t>TAs</w:t>
      </w:r>
      <w:r w:rsidRPr="00645746">
        <w:rPr>
          <w:rFonts w:cs="Times New Roman"/>
          <w:sz w:val="22"/>
        </w:rPr>
        <w:t xml:space="preserve">, 32 </w:t>
      </w:r>
      <w:r w:rsidR="001B0944">
        <w:rPr>
          <w:rFonts w:cs="Times New Roman"/>
          <w:sz w:val="22"/>
        </w:rPr>
        <w:t>were</w:t>
      </w:r>
      <w:r w:rsidR="001B0944" w:rsidRPr="00645746">
        <w:rPr>
          <w:rFonts w:cs="Times New Roman"/>
          <w:sz w:val="22"/>
        </w:rPr>
        <w:t xml:space="preserve"> </w:t>
      </w:r>
      <w:r w:rsidRPr="00645746">
        <w:rPr>
          <w:rFonts w:cs="Times New Roman"/>
          <w:sz w:val="22"/>
        </w:rPr>
        <w:t xml:space="preserve">under negotiation, and 36 </w:t>
      </w:r>
      <w:r w:rsidR="001B0944">
        <w:rPr>
          <w:rFonts w:cs="Times New Roman"/>
          <w:sz w:val="22"/>
        </w:rPr>
        <w:t xml:space="preserve">were </w:t>
      </w:r>
      <w:r w:rsidRPr="00645746">
        <w:rPr>
          <w:rFonts w:cs="Times New Roman"/>
          <w:sz w:val="22"/>
        </w:rPr>
        <w:t>proposed. These numbers include a variety of agreements, ranging from the comprehensive to the so-called “trade-lite”, and thus they are not strictly comparable.</w:t>
      </w:r>
      <w:r w:rsidR="00786508">
        <w:rPr>
          <w:rFonts w:cs="Times New Roman"/>
          <w:sz w:val="22"/>
        </w:rPr>
        <w:t xml:space="preserve"> </w:t>
      </w:r>
      <w:r w:rsidRPr="00645746">
        <w:rPr>
          <w:rFonts w:cs="Times New Roman"/>
          <w:sz w:val="22"/>
        </w:rPr>
        <w:t>As of mid-2013</w:t>
      </w:r>
      <w:r w:rsidR="00B90E74" w:rsidRPr="00645746">
        <w:rPr>
          <w:rFonts w:cs="Times New Roman"/>
          <w:sz w:val="22"/>
        </w:rPr>
        <w:t>, Central</w:t>
      </w:r>
      <w:r w:rsidRPr="00645746">
        <w:rPr>
          <w:rFonts w:cs="Times New Roman"/>
          <w:sz w:val="22"/>
        </w:rPr>
        <w:t xml:space="preserve"> Asia has a comparably low number of </w:t>
      </w:r>
      <w:r w:rsidR="00E82C0B">
        <w:rPr>
          <w:rFonts w:cs="Times New Roman"/>
          <w:sz w:val="22"/>
        </w:rPr>
        <w:t>FTA</w:t>
      </w:r>
      <w:r w:rsidR="00D81B4A" w:rsidRPr="00645746">
        <w:rPr>
          <w:rFonts w:cs="Times New Roman"/>
          <w:sz w:val="22"/>
        </w:rPr>
        <w:t xml:space="preserve"> </w:t>
      </w:r>
      <w:r w:rsidRPr="00645746">
        <w:rPr>
          <w:rFonts w:cs="Times New Roman"/>
          <w:sz w:val="22"/>
        </w:rPr>
        <w:t>engagements (</w:t>
      </w:r>
      <w:r w:rsidR="00D27956">
        <w:rPr>
          <w:rFonts w:cs="Times New Roman"/>
          <w:sz w:val="22"/>
        </w:rPr>
        <w:t>Table A6</w:t>
      </w:r>
      <w:r w:rsidRPr="00645746">
        <w:rPr>
          <w:rFonts w:cs="Times New Roman"/>
          <w:sz w:val="22"/>
        </w:rPr>
        <w:t xml:space="preserve">). </w:t>
      </w:r>
    </w:p>
    <w:p w:rsidR="00D81B4A" w:rsidRPr="000A4EB9" w:rsidRDefault="00645746" w:rsidP="00CC0F75">
      <w:pPr>
        <w:pStyle w:val="ListParagraph"/>
        <w:numPr>
          <w:ilvl w:val="0"/>
          <w:numId w:val="1"/>
        </w:numPr>
        <w:tabs>
          <w:tab w:val="left" w:pos="720"/>
        </w:tabs>
        <w:spacing w:after="240" w:line="240" w:lineRule="auto"/>
        <w:ind w:left="0" w:firstLine="0"/>
        <w:contextualSpacing w:val="0"/>
        <w:rPr>
          <w:sz w:val="22"/>
        </w:rPr>
      </w:pPr>
      <w:r w:rsidRPr="00DA5ABD">
        <w:rPr>
          <w:rFonts w:cs="Times New Roman"/>
          <w:b/>
          <w:sz w:val="22"/>
        </w:rPr>
        <w:t xml:space="preserve">Kazakhstan is interested in </w:t>
      </w:r>
      <w:r w:rsidR="000A4EB9">
        <w:rPr>
          <w:rFonts w:cs="Times New Roman"/>
          <w:b/>
          <w:sz w:val="22"/>
        </w:rPr>
        <w:t xml:space="preserve">joining new </w:t>
      </w:r>
      <w:r w:rsidRPr="00DA5ABD">
        <w:rPr>
          <w:rFonts w:cs="Times New Roman"/>
          <w:b/>
          <w:sz w:val="22"/>
        </w:rPr>
        <w:t>FTAs</w:t>
      </w:r>
      <w:r w:rsidR="000A4EB9">
        <w:rPr>
          <w:rFonts w:cs="Times New Roman"/>
          <w:b/>
          <w:sz w:val="22"/>
        </w:rPr>
        <w:t xml:space="preserve"> and PTAs</w:t>
      </w:r>
      <w:r w:rsidR="00DA5ABD">
        <w:rPr>
          <w:rFonts w:cs="Times New Roman"/>
          <w:sz w:val="22"/>
        </w:rPr>
        <w:t>.</w:t>
      </w:r>
      <w:r w:rsidRPr="00645746">
        <w:rPr>
          <w:rFonts w:cs="Times New Roman"/>
          <w:sz w:val="22"/>
        </w:rPr>
        <w:t xml:space="preserve"> </w:t>
      </w:r>
      <w:r w:rsidR="00D81B4A">
        <w:rPr>
          <w:rFonts w:cs="Times New Roman"/>
          <w:sz w:val="22"/>
        </w:rPr>
        <w:t xml:space="preserve">While it </w:t>
      </w:r>
      <w:r w:rsidR="000A4EB9">
        <w:rPr>
          <w:rFonts w:cs="Times New Roman"/>
          <w:sz w:val="22"/>
        </w:rPr>
        <w:t xml:space="preserve">joined </w:t>
      </w:r>
      <w:r w:rsidRPr="00645746">
        <w:rPr>
          <w:rFonts w:cs="Times New Roman"/>
          <w:sz w:val="22"/>
        </w:rPr>
        <w:t>a number of regional and bilateral FTA</w:t>
      </w:r>
      <w:r w:rsidR="000A4EB9">
        <w:rPr>
          <w:rFonts w:cs="Times New Roman"/>
          <w:sz w:val="22"/>
        </w:rPr>
        <w:t xml:space="preserve">s, </w:t>
      </w:r>
      <w:r w:rsidR="00D81B4A">
        <w:rPr>
          <w:rFonts w:cs="Times New Roman"/>
          <w:sz w:val="22"/>
        </w:rPr>
        <w:t>the current custom union is the only one with substantial</w:t>
      </w:r>
      <w:r w:rsidRPr="00645746">
        <w:rPr>
          <w:rFonts w:cs="Times New Roman"/>
          <w:sz w:val="22"/>
        </w:rPr>
        <w:t xml:space="preserve"> effect</w:t>
      </w:r>
      <w:r w:rsidR="00D81B4A">
        <w:rPr>
          <w:rFonts w:cs="Times New Roman"/>
          <w:sz w:val="22"/>
        </w:rPr>
        <w:t>s</w:t>
      </w:r>
      <w:r w:rsidR="006D4F13">
        <w:rPr>
          <w:rFonts w:cs="Times New Roman"/>
          <w:sz w:val="22"/>
        </w:rPr>
        <w:t xml:space="preserve"> </w:t>
      </w:r>
      <w:r w:rsidR="000A4EB9">
        <w:rPr>
          <w:rFonts w:cs="Times New Roman"/>
          <w:sz w:val="22"/>
        </w:rPr>
        <w:t xml:space="preserve">on its economy </w:t>
      </w:r>
      <w:r w:rsidR="006D4F13">
        <w:rPr>
          <w:rFonts w:cs="Times New Roman"/>
          <w:sz w:val="22"/>
        </w:rPr>
        <w:t>(Table A5)</w:t>
      </w:r>
      <w:r w:rsidRPr="00645746">
        <w:rPr>
          <w:rFonts w:cs="Times New Roman"/>
          <w:sz w:val="22"/>
        </w:rPr>
        <w:t xml:space="preserve">. Nonetheless, </w:t>
      </w:r>
      <w:r w:rsidRPr="00645746">
        <w:rPr>
          <w:rFonts w:cs="Times New Roman"/>
          <w:color w:val="000000"/>
          <w:sz w:val="22"/>
        </w:rPr>
        <w:t>one of the Kazakhstan’s trade policy objectives is “</w:t>
      </w:r>
      <w:r w:rsidRPr="00645746">
        <w:rPr>
          <w:rFonts w:cs="Times New Roman"/>
          <w:sz w:val="22"/>
        </w:rPr>
        <w:t xml:space="preserve">the initiation of negotiations of free trade agreements with </w:t>
      </w:r>
      <w:r w:rsidRPr="00CC0F75">
        <w:rPr>
          <w:rFonts w:cs="Times New Roman"/>
          <w:sz w:val="22"/>
        </w:rPr>
        <w:t>Turkmenistan</w:t>
      </w:r>
      <w:r w:rsidRPr="00DF62AB">
        <w:rPr>
          <w:rFonts w:cs="Times New Roman"/>
          <w:sz w:val="22"/>
        </w:rPr>
        <w:t>,</w:t>
      </w:r>
      <w:r w:rsidRPr="00645746">
        <w:rPr>
          <w:rFonts w:cs="Times New Roman"/>
          <w:sz w:val="22"/>
        </w:rPr>
        <w:t xml:space="preserve"> EFTA, and Serbia, and preferential trade agreements with </w:t>
      </w:r>
      <w:r w:rsidRPr="000A4EB9">
        <w:rPr>
          <w:rFonts w:cs="Times New Roman"/>
          <w:sz w:val="22"/>
        </w:rPr>
        <w:t xml:space="preserve">Egypt, Jordan, Israel, Afghanistan, and the Gulf countries”. </w:t>
      </w:r>
    </w:p>
    <w:p w:rsidR="001272EF" w:rsidRDefault="001272EF" w:rsidP="001272EF">
      <w:pPr>
        <w:pStyle w:val="ListParagraph"/>
        <w:numPr>
          <w:ilvl w:val="0"/>
          <w:numId w:val="1"/>
        </w:numPr>
        <w:tabs>
          <w:tab w:val="left" w:pos="720"/>
        </w:tabs>
        <w:spacing w:after="240" w:line="240" w:lineRule="auto"/>
        <w:ind w:left="0" w:firstLine="0"/>
        <w:contextualSpacing w:val="0"/>
        <w:rPr>
          <w:rFonts w:cs="Times New Roman"/>
          <w:sz w:val="22"/>
        </w:rPr>
      </w:pPr>
      <w:r w:rsidRPr="00CC0F75">
        <w:rPr>
          <w:rFonts w:cs="Times New Roman"/>
          <w:b/>
          <w:sz w:val="22"/>
        </w:rPr>
        <w:t xml:space="preserve">Economic theory and practical considerations suggest that for Kazakhstan launching new FTA negotiations </w:t>
      </w:r>
      <w:r>
        <w:rPr>
          <w:rFonts w:cs="Times New Roman"/>
          <w:b/>
          <w:sz w:val="22"/>
        </w:rPr>
        <w:t xml:space="preserve">in the near future </w:t>
      </w:r>
      <w:r w:rsidRPr="00CC0F75">
        <w:rPr>
          <w:rFonts w:cs="Times New Roman"/>
          <w:b/>
          <w:sz w:val="22"/>
        </w:rPr>
        <w:t>may be premature.</w:t>
      </w:r>
      <w:r>
        <w:rPr>
          <w:rFonts w:cs="Times New Roman"/>
          <w:sz w:val="22"/>
        </w:rPr>
        <w:t xml:space="preserve"> </w:t>
      </w:r>
      <w:r w:rsidRPr="00CC0F75">
        <w:rPr>
          <w:rFonts w:cs="Times New Roman"/>
          <w:sz w:val="22"/>
        </w:rPr>
        <w:t>First, numerous economic analyses suggest that joining WTO first and then a free trade agreements is more welfare enhancing for a country.</w:t>
      </w:r>
      <w:r>
        <w:rPr>
          <w:rFonts w:cs="Times New Roman"/>
          <w:sz w:val="22"/>
        </w:rPr>
        <w:t xml:space="preserve"> </w:t>
      </w:r>
      <w:r w:rsidRPr="00CC0F75">
        <w:rPr>
          <w:rFonts w:cs="Times New Roman"/>
          <w:sz w:val="22"/>
        </w:rPr>
        <w:t>In the case of Kazakhstan, recent World Bank analyses find results that are aligned with this conclusion.</w:t>
      </w:r>
      <w:r>
        <w:rPr>
          <w:rFonts w:cs="Times New Roman"/>
          <w:sz w:val="22"/>
        </w:rPr>
        <w:t xml:space="preserve"> </w:t>
      </w:r>
      <w:r w:rsidRPr="00CC0F75">
        <w:rPr>
          <w:rFonts w:cs="Times New Roman"/>
          <w:sz w:val="22"/>
        </w:rPr>
        <w:t>Also, the implementation of the WTO commitments and the upcoming transformation of the custom union into a common economic space will take time and human and financial resources.</w:t>
      </w:r>
      <w:r>
        <w:rPr>
          <w:rFonts w:cs="Times New Roman"/>
          <w:sz w:val="22"/>
        </w:rPr>
        <w:t xml:space="preserve"> </w:t>
      </w:r>
      <w:r w:rsidRPr="00CC0F75">
        <w:rPr>
          <w:rFonts w:cs="Times New Roman"/>
          <w:sz w:val="22"/>
        </w:rPr>
        <w:t>In fact, substantial analytical work, policy and legal reforms and capacity building will be needed to translate CU and WTO commitments into nati</w:t>
      </w:r>
      <w:r>
        <w:rPr>
          <w:rFonts w:cs="Times New Roman"/>
          <w:sz w:val="22"/>
        </w:rPr>
        <w:t xml:space="preserve">onal policies and regulations. </w:t>
      </w:r>
      <w:r w:rsidRPr="00CC0F75">
        <w:rPr>
          <w:rFonts w:cs="Times New Roman"/>
          <w:sz w:val="22"/>
        </w:rPr>
        <w:t xml:space="preserve">Given this already challenging agenda, launching new FTA negotiations and agreeing to further commitments in the near future may not be an optimal policy. </w:t>
      </w:r>
    </w:p>
    <w:p w:rsidR="00903927" w:rsidRPr="00B451C4" w:rsidRDefault="00D81B4A" w:rsidP="00B451C4">
      <w:pPr>
        <w:pStyle w:val="ListParagraph"/>
        <w:numPr>
          <w:ilvl w:val="0"/>
          <w:numId w:val="1"/>
        </w:numPr>
        <w:tabs>
          <w:tab w:val="left" w:pos="720"/>
        </w:tabs>
        <w:spacing w:after="240" w:line="240" w:lineRule="auto"/>
        <w:ind w:left="0" w:firstLine="0"/>
        <w:contextualSpacing w:val="0"/>
        <w:rPr>
          <w:sz w:val="22"/>
        </w:rPr>
      </w:pPr>
      <w:r w:rsidRPr="00B451C4">
        <w:rPr>
          <w:rFonts w:cs="Times New Roman"/>
          <w:b/>
          <w:sz w:val="22"/>
        </w:rPr>
        <w:t xml:space="preserve">International experience suggests that FTA can </w:t>
      </w:r>
      <w:r w:rsidR="001B0944" w:rsidRPr="00B451C4">
        <w:rPr>
          <w:rFonts w:cs="Times New Roman"/>
          <w:b/>
          <w:sz w:val="22"/>
        </w:rPr>
        <w:t>lead to potential gains</w:t>
      </w:r>
      <w:r w:rsidR="00E82C0B" w:rsidRPr="00B451C4">
        <w:rPr>
          <w:rFonts w:cs="Times New Roman"/>
          <w:b/>
          <w:sz w:val="22"/>
        </w:rPr>
        <w:t xml:space="preserve">. </w:t>
      </w:r>
      <w:r w:rsidR="00F0278D" w:rsidRPr="00DE6CA7">
        <w:rPr>
          <w:sz w:val="22"/>
        </w:rPr>
        <w:t xml:space="preserve">The FTAs that are most likely to increase national welfare over time are those designed with (i) low external MFN tariffs; (ii) few sectoral and product exemptions; (iii) nonrestrictive rules of origin; and (iv) measures to facilitate trade. </w:t>
      </w:r>
      <w:r w:rsidR="00903927" w:rsidRPr="00B451C4">
        <w:rPr>
          <w:rFonts w:cs="Times New Roman"/>
          <w:sz w:val="22"/>
        </w:rPr>
        <w:t>Static</w:t>
      </w:r>
      <w:r w:rsidR="00B369BB" w:rsidRPr="00B451C4">
        <w:rPr>
          <w:rFonts w:cs="Times New Roman"/>
          <w:sz w:val="22"/>
        </w:rPr>
        <w:t xml:space="preserve"> gains </w:t>
      </w:r>
      <w:r w:rsidR="00903927" w:rsidRPr="00B451C4">
        <w:rPr>
          <w:rFonts w:cs="Times New Roman"/>
          <w:sz w:val="22"/>
        </w:rPr>
        <w:t xml:space="preserve">can accrue </w:t>
      </w:r>
      <w:r w:rsidR="00B369BB" w:rsidRPr="00B451C4">
        <w:rPr>
          <w:rFonts w:cs="Times New Roman"/>
          <w:sz w:val="22"/>
        </w:rPr>
        <w:t>from</w:t>
      </w:r>
      <w:r w:rsidR="00C2265A" w:rsidRPr="00B451C4">
        <w:rPr>
          <w:rFonts w:cs="Times New Roman"/>
          <w:sz w:val="22"/>
        </w:rPr>
        <w:t xml:space="preserve"> goods</w:t>
      </w:r>
      <w:r w:rsidR="00B369BB" w:rsidRPr="00B451C4">
        <w:rPr>
          <w:rFonts w:cs="Times New Roman"/>
          <w:sz w:val="22"/>
        </w:rPr>
        <w:t xml:space="preserve"> trade </w:t>
      </w:r>
      <w:r w:rsidR="00E82C0B" w:rsidRPr="00B451C4">
        <w:rPr>
          <w:rFonts w:cs="Times New Roman"/>
          <w:sz w:val="22"/>
        </w:rPr>
        <w:t>liberalization</w:t>
      </w:r>
      <w:r w:rsidR="00B369BB" w:rsidRPr="00B451C4">
        <w:rPr>
          <w:rFonts w:cs="Times New Roman"/>
          <w:sz w:val="22"/>
        </w:rPr>
        <w:t xml:space="preserve"> among new members that affect the </w:t>
      </w:r>
      <w:r w:rsidR="00C2265A" w:rsidRPr="00B451C4">
        <w:rPr>
          <w:rFonts w:cs="Times New Roman"/>
          <w:sz w:val="22"/>
        </w:rPr>
        <w:t xml:space="preserve">allocative </w:t>
      </w:r>
      <w:r w:rsidR="00B369BB" w:rsidRPr="00B451C4">
        <w:rPr>
          <w:rFonts w:cs="Times New Roman"/>
          <w:sz w:val="22"/>
        </w:rPr>
        <w:t>effi</w:t>
      </w:r>
      <w:r w:rsidR="00C2265A" w:rsidRPr="00B451C4">
        <w:rPr>
          <w:rFonts w:cs="Times New Roman"/>
          <w:sz w:val="22"/>
        </w:rPr>
        <w:t>ci</w:t>
      </w:r>
      <w:r w:rsidR="00B369BB" w:rsidRPr="00B451C4">
        <w:rPr>
          <w:rFonts w:cs="Times New Roman"/>
          <w:sz w:val="22"/>
        </w:rPr>
        <w:t>ency of countries</w:t>
      </w:r>
      <w:r w:rsidR="00C2265A" w:rsidRPr="00B451C4">
        <w:rPr>
          <w:rFonts w:cs="Times New Roman"/>
          <w:sz w:val="22"/>
        </w:rPr>
        <w:t xml:space="preserve">; </w:t>
      </w:r>
      <w:r w:rsidR="00B369BB" w:rsidRPr="00B451C4">
        <w:rPr>
          <w:rFonts w:cs="Times New Roman"/>
          <w:sz w:val="22"/>
        </w:rPr>
        <w:t>terms of trade change</w:t>
      </w:r>
      <w:r w:rsidR="00C2265A" w:rsidRPr="00B451C4">
        <w:rPr>
          <w:rFonts w:cs="Times New Roman"/>
          <w:sz w:val="22"/>
        </w:rPr>
        <w:t xml:space="preserve">s from changes in trade taxes; and </w:t>
      </w:r>
      <w:r w:rsidR="00B369BB" w:rsidRPr="00B451C4">
        <w:rPr>
          <w:rFonts w:cs="Times New Roman"/>
          <w:sz w:val="22"/>
        </w:rPr>
        <w:t>capital accumulation. Dynamic gains can accrue from productivity gains related to competition</w:t>
      </w:r>
      <w:r w:rsidR="00C23FD8" w:rsidRPr="00B451C4">
        <w:rPr>
          <w:rFonts w:cs="Times New Roman"/>
          <w:sz w:val="22"/>
        </w:rPr>
        <w:t xml:space="preserve">, </w:t>
      </w:r>
      <w:r w:rsidR="00B369BB" w:rsidRPr="00B451C4">
        <w:rPr>
          <w:rFonts w:cs="Times New Roman"/>
          <w:sz w:val="22"/>
        </w:rPr>
        <w:t>technological know</w:t>
      </w:r>
      <w:r w:rsidR="00C2265A" w:rsidRPr="00B451C4">
        <w:rPr>
          <w:rFonts w:cs="Times New Roman"/>
          <w:sz w:val="22"/>
        </w:rPr>
        <w:t>-how</w:t>
      </w:r>
      <w:r w:rsidR="00C23FD8" w:rsidRPr="00B451C4">
        <w:rPr>
          <w:rFonts w:cs="Times New Roman"/>
          <w:sz w:val="22"/>
        </w:rPr>
        <w:t xml:space="preserve"> and</w:t>
      </w:r>
      <w:r w:rsidR="00903927" w:rsidRPr="00B451C4">
        <w:rPr>
          <w:rFonts w:cs="Times New Roman"/>
          <w:sz w:val="22"/>
        </w:rPr>
        <w:t xml:space="preserve"> </w:t>
      </w:r>
      <w:r w:rsidR="00C23FD8" w:rsidRPr="00B451C4">
        <w:rPr>
          <w:rFonts w:cs="Times New Roman"/>
          <w:sz w:val="22"/>
        </w:rPr>
        <w:t>FDI</w:t>
      </w:r>
      <w:r w:rsidR="00C2265A" w:rsidRPr="00B451C4">
        <w:rPr>
          <w:rFonts w:cs="Times New Roman"/>
          <w:sz w:val="22"/>
        </w:rPr>
        <w:t xml:space="preserve"> and services trade liberalization. </w:t>
      </w:r>
      <w:r w:rsidR="0001680B" w:rsidRPr="00B451C4">
        <w:rPr>
          <w:rFonts w:cs="Times New Roman"/>
          <w:sz w:val="22"/>
        </w:rPr>
        <w:t xml:space="preserve">General equilibrium models </w:t>
      </w:r>
      <w:r w:rsidR="00903927" w:rsidRPr="00B451C4">
        <w:rPr>
          <w:rFonts w:cs="Times New Roman"/>
          <w:sz w:val="22"/>
        </w:rPr>
        <w:t>are often used</w:t>
      </w:r>
      <w:r w:rsidR="0001680B" w:rsidRPr="00B451C4">
        <w:rPr>
          <w:rFonts w:cs="Times New Roman"/>
          <w:sz w:val="22"/>
        </w:rPr>
        <w:t xml:space="preserve"> to capture the potential global impact of FTAs.</w:t>
      </w:r>
      <w:r w:rsidR="00786508" w:rsidRPr="00B451C4">
        <w:rPr>
          <w:rFonts w:cs="Times New Roman"/>
          <w:sz w:val="22"/>
        </w:rPr>
        <w:t xml:space="preserve"> </w:t>
      </w:r>
      <w:r w:rsidR="00064CCF" w:rsidRPr="0081681C">
        <w:rPr>
          <w:rFonts w:cs="Times New Roman"/>
          <w:sz w:val="22"/>
        </w:rPr>
        <w:t xml:space="preserve">For instance, a CGE model simulated that the </w:t>
      </w:r>
      <w:r w:rsidR="006D4F13" w:rsidRPr="0081681C">
        <w:rPr>
          <w:rFonts w:cs="Times New Roman"/>
          <w:sz w:val="22"/>
          <w:lang w:val="en"/>
        </w:rPr>
        <w:t xml:space="preserve">ASEAN Free Trade Area - </w:t>
      </w:r>
      <w:r w:rsidR="00903927" w:rsidRPr="00A868E5">
        <w:rPr>
          <w:rFonts w:cs="Times New Roman"/>
          <w:sz w:val="22"/>
          <w:lang w:val="en"/>
        </w:rPr>
        <w:t>Closer Economic Relations with Australia and New Zealand (</w:t>
      </w:r>
      <w:r w:rsidR="00903927" w:rsidRPr="00A868E5">
        <w:rPr>
          <w:rFonts w:cs="Times New Roman"/>
          <w:sz w:val="22"/>
        </w:rPr>
        <w:t>AFTA-</w:t>
      </w:r>
      <w:r w:rsidR="006D4F13" w:rsidRPr="00BD7EB6">
        <w:rPr>
          <w:rFonts w:cs="Times New Roman"/>
          <w:sz w:val="22"/>
        </w:rPr>
        <w:t xml:space="preserve"> </w:t>
      </w:r>
      <w:r w:rsidR="00903927" w:rsidRPr="00BD7EB6">
        <w:rPr>
          <w:rFonts w:cs="Times New Roman"/>
          <w:sz w:val="22"/>
        </w:rPr>
        <w:t xml:space="preserve">CER) </w:t>
      </w:r>
      <w:r w:rsidR="00064CCF" w:rsidRPr="00BD7EB6">
        <w:rPr>
          <w:rFonts w:cs="Times New Roman"/>
          <w:sz w:val="22"/>
        </w:rPr>
        <w:t xml:space="preserve">would lead to gains of US$48.1 billion of GDP (in net present value terms over the period 2000 to 2020). The gains are </w:t>
      </w:r>
      <w:r w:rsidR="00903927" w:rsidRPr="00665055">
        <w:rPr>
          <w:rFonts w:cs="Times New Roman"/>
          <w:sz w:val="22"/>
        </w:rPr>
        <w:t xml:space="preserve">US$25.6 billion for AFTA, </w:t>
      </w:r>
      <w:r w:rsidR="00064CCF" w:rsidRPr="00665055">
        <w:rPr>
          <w:rFonts w:cs="Times New Roman"/>
          <w:sz w:val="22"/>
        </w:rPr>
        <w:t>and US$22.5 billion for CER, of which New Zealand gains US$3.4 billion</w:t>
      </w:r>
      <w:r w:rsidR="006D4F13" w:rsidRPr="00B451C4">
        <w:rPr>
          <w:rFonts w:cs="Times New Roman"/>
          <w:sz w:val="22"/>
        </w:rPr>
        <w:t>.</w:t>
      </w:r>
      <w:r w:rsidR="00064CCF" w:rsidRPr="00B451C4">
        <w:rPr>
          <w:rStyle w:val="FootnoteReference"/>
          <w:sz w:val="22"/>
        </w:rPr>
        <w:footnoteReference w:id="12"/>
      </w:r>
      <w:r w:rsidR="00786508" w:rsidRPr="00B451C4">
        <w:rPr>
          <w:rFonts w:cs="Times New Roman"/>
          <w:sz w:val="22"/>
        </w:rPr>
        <w:t xml:space="preserve"> </w:t>
      </w:r>
      <w:r w:rsidR="00AA5AA5" w:rsidRPr="00B451C4">
        <w:rPr>
          <w:rFonts w:cs="Times New Roman"/>
          <w:sz w:val="22"/>
        </w:rPr>
        <w:t>These models</w:t>
      </w:r>
      <w:r w:rsidR="00064CCF" w:rsidRPr="00B451C4">
        <w:rPr>
          <w:rFonts w:cs="Times New Roman"/>
          <w:sz w:val="22"/>
        </w:rPr>
        <w:t xml:space="preserve"> can also provide simulations on sectoral impacts, as well as trade, investment, labor production, and welfare.</w:t>
      </w:r>
      <w:r w:rsidR="00786508" w:rsidRPr="0081681C">
        <w:rPr>
          <w:rFonts w:cs="Times New Roman"/>
          <w:sz w:val="22"/>
        </w:rPr>
        <w:t xml:space="preserve"> </w:t>
      </w:r>
      <w:r w:rsidR="00C2265A" w:rsidRPr="0081681C">
        <w:rPr>
          <w:rFonts w:cs="Times New Roman"/>
          <w:sz w:val="22"/>
        </w:rPr>
        <w:t>Partial equilibrium models are used to capture specific effects of FTAs</w:t>
      </w:r>
      <w:r w:rsidR="00C23FD8" w:rsidRPr="00A868E5">
        <w:rPr>
          <w:rFonts w:cs="Times New Roman"/>
          <w:sz w:val="22"/>
        </w:rPr>
        <w:t>, such as increases in share of trade with FTA partners.</w:t>
      </w:r>
      <w:r w:rsidR="00C2265A" w:rsidRPr="00A868E5">
        <w:rPr>
          <w:rFonts w:cs="Times New Roman"/>
          <w:sz w:val="22"/>
        </w:rPr>
        <w:t xml:space="preserve"> </w:t>
      </w:r>
      <w:r w:rsidR="00C23FD8" w:rsidRPr="00A868E5">
        <w:rPr>
          <w:rFonts w:cs="Times New Roman"/>
          <w:sz w:val="22"/>
        </w:rPr>
        <w:t>For instance, gravity models can be used to assess the impact of FTAs on trade flows.</w:t>
      </w:r>
      <w:r w:rsidR="00064CCF" w:rsidRPr="00B451C4">
        <w:rPr>
          <w:rStyle w:val="FootnoteReference"/>
          <w:sz w:val="22"/>
        </w:rPr>
        <w:footnoteReference w:id="13"/>
      </w:r>
    </w:p>
    <w:p w:rsidR="00543A12" w:rsidRPr="00B451C4" w:rsidRDefault="00543A12" w:rsidP="00543A12">
      <w:pPr>
        <w:pStyle w:val="ListParagraph"/>
        <w:numPr>
          <w:ilvl w:val="0"/>
          <w:numId w:val="1"/>
        </w:numPr>
        <w:tabs>
          <w:tab w:val="left" w:pos="720"/>
        </w:tabs>
        <w:spacing w:after="240" w:line="240" w:lineRule="auto"/>
        <w:ind w:left="0" w:firstLine="0"/>
        <w:contextualSpacing w:val="0"/>
        <w:rPr>
          <w:sz w:val="22"/>
        </w:rPr>
      </w:pPr>
      <w:r w:rsidRPr="000002D1">
        <w:rPr>
          <w:b/>
          <w:sz w:val="22"/>
        </w:rPr>
        <w:t xml:space="preserve">However, while FTAs have the objective of opening markets and fostering regional integration, they may </w:t>
      </w:r>
      <w:r w:rsidR="00665055" w:rsidRPr="000002D1">
        <w:rPr>
          <w:b/>
          <w:sz w:val="22"/>
        </w:rPr>
        <w:t>have negative impacts</w:t>
      </w:r>
      <w:r w:rsidR="00665055">
        <w:rPr>
          <w:sz w:val="22"/>
        </w:rPr>
        <w:t xml:space="preserve">.  They can lead to </w:t>
      </w:r>
      <w:r w:rsidRPr="000002D1">
        <w:rPr>
          <w:sz w:val="22"/>
        </w:rPr>
        <w:t>discriminat</w:t>
      </w:r>
      <w:r w:rsidR="00665055">
        <w:rPr>
          <w:sz w:val="22"/>
        </w:rPr>
        <w:t>ion</w:t>
      </w:r>
      <w:r w:rsidRPr="000002D1">
        <w:rPr>
          <w:sz w:val="22"/>
        </w:rPr>
        <w:t xml:space="preserve"> against third parties and have adverse effects on its members (e.g, trade diversion effects)</w:t>
      </w:r>
      <w:r w:rsidR="00665055">
        <w:rPr>
          <w:sz w:val="22"/>
        </w:rPr>
        <w:t xml:space="preserve">. They can </w:t>
      </w:r>
      <w:r w:rsidRPr="000002D1">
        <w:rPr>
          <w:sz w:val="22"/>
        </w:rPr>
        <w:t>introduce a plethora of administrative and bureaucratic hurdles that impede trade, especially when countries become members of overlapping FTAs with different tariff schedules, sectoral and/or product coverage, implementation timeframes, rules of origin, and customs procedures</w:t>
      </w:r>
      <w:r w:rsidR="00665055">
        <w:rPr>
          <w:sz w:val="22"/>
        </w:rPr>
        <w:t>. Finally, they can</w:t>
      </w:r>
      <w:r w:rsidR="00665055" w:rsidRPr="00665055">
        <w:rPr>
          <w:sz w:val="22"/>
        </w:rPr>
        <w:t xml:space="preserve"> </w:t>
      </w:r>
      <w:r w:rsidRPr="000002D1">
        <w:rPr>
          <w:sz w:val="22"/>
        </w:rPr>
        <w:t xml:space="preserve">introduce a level of discretion and uncertainty in the trade regime when they are not implemented according to timetable or remain ‘paper agreements’. </w:t>
      </w:r>
    </w:p>
    <w:p w:rsidR="00D81B4A" w:rsidRDefault="00543A12" w:rsidP="00CC0F75">
      <w:pPr>
        <w:pStyle w:val="ListParagraph"/>
        <w:numPr>
          <w:ilvl w:val="0"/>
          <w:numId w:val="1"/>
        </w:numPr>
        <w:tabs>
          <w:tab w:val="left" w:pos="720"/>
        </w:tabs>
        <w:spacing w:after="240" w:line="240" w:lineRule="auto"/>
        <w:ind w:left="0" w:firstLine="0"/>
        <w:contextualSpacing w:val="0"/>
        <w:rPr>
          <w:rFonts w:cs="Times New Roman"/>
          <w:sz w:val="22"/>
        </w:rPr>
      </w:pPr>
      <w:r>
        <w:rPr>
          <w:rFonts w:cs="Times New Roman"/>
          <w:b/>
          <w:sz w:val="22"/>
        </w:rPr>
        <w:lastRenderedPageBreak/>
        <w:t>Furthermore,</w:t>
      </w:r>
      <w:r w:rsidR="00D81B4A" w:rsidRPr="00CC0F75">
        <w:rPr>
          <w:rFonts w:cs="Times New Roman"/>
          <w:b/>
          <w:sz w:val="22"/>
        </w:rPr>
        <w:t xml:space="preserve"> international experience also suggests that </w:t>
      </w:r>
      <w:r w:rsidR="00E82C0B" w:rsidRPr="00CC0F75">
        <w:rPr>
          <w:rFonts w:cs="Times New Roman"/>
          <w:b/>
          <w:sz w:val="22"/>
        </w:rPr>
        <w:t xml:space="preserve">FTA </w:t>
      </w:r>
      <w:r w:rsidR="00903927" w:rsidRPr="00CC0F75">
        <w:rPr>
          <w:rFonts w:cs="Times New Roman"/>
          <w:b/>
          <w:sz w:val="22"/>
        </w:rPr>
        <w:t>agreements</w:t>
      </w:r>
      <w:r w:rsidR="00D81B4A" w:rsidRPr="00CC0F75">
        <w:rPr>
          <w:rFonts w:cs="Times New Roman"/>
          <w:b/>
          <w:sz w:val="22"/>
        </w:rPr>
        <w:t xml:space="preserve"> </w:t>
      </w:r>
      <w:r w:rsidR="00903927" w:rsidRPr="00CC0F75">
        <w:rPr>
          <w:rFonts w:cs="Times New Roman"/>
          <w:b/>
          <w:sz w:val="22"/>
        </w:rPr>
        <w:t>are</w:t>
      </w:r>
      <w:r w:rsidR="00D81B4A" w:rsidRPr="00CC0F75">
        <w:rPr>
          <w:rFonts w:cs="Times New Roman"/>
          <w:b/>
          <w:sz w:val="22"/>
        </w:rPr>
        <w:t xml:space="preserve"> complex and prone to set backs and even failures.</w:t>
      </w:r>
      <w:r w:rsidR="00F501E5">
        <w:rPr>
          <w:rStyle w:val="FootnoteReference"/>
          <w:sz w:val="22"/>
        </w:rPr>
        <w:footnoteReference w:id="14"/>
      </w:r>
      <w:r w:rsidR="00786508">
        <w:rPr>
          <w:rFonts w:cs="Times New Roman"/>
          <w:b/>
          <w:sz w:val="22"/>
        </w:rPr>
        <w:t xml:space="preserve"> </w:t>
      </w:r>
      <w:r w:rsidR="00D81B4A" w:rsidRPr="00CC0F75">
        <w:rPr>
          <w:rFonts w:cs="Times New Roman"/>
          <w:sz w:val="22"/>
        </w:rPr>
        <w:t xml:space="preserve">The </w:t>
      </w:r>
      <w:r w:rsidR="00D81B4A" w:rsidRPr="00CC0F75">
        <w:rPr>
          <w:rStyle w:val="st"/>
          <w:rFonts w:cs="Times New Roman"/>
          <w:color w:val="222222"/>
          <w:sz w:val="22"/>
        </w:rPr>
        <w:t xml:space="preserve">Mercado Común del Sur (also known as </w:t>
      </w:r>
      <w:r w:rsidR="00D81B4A" w:rsidRPr="00CC0F75">
        <w:rPr>
          <w:rFonts w:cs="Times New Roman"/>
          <w:sz w:val="22"/>
        </w:rPr>
        <w:t>MERCOSUR) and South Asia FTA (SAFTA) are two examples of FTAs that have not flourished. Even though regional integration in the EU has spanned 50 years</w:t>
      </w:r>
      <w:r>
        <w:rPr>
          <w:rFonts w:cs="Times New Roman"/>
          <w:sz w:val="22"/>
        </w:rPr>
        <w:t xml:space="preserve"> and is considered a success in many aspects</w:t>
      </w:r>
      <w:r w:rsidR="00D81B4A" w:rsidRPr="00CC0F75">
        <w:rPr>
          <w:rFonts w:cs="Times New Roman"/>
          <w:sz w:val="22"/>
        </w:rPr>
        <w:t xml:space="preserve">, it still faces difficulties and setbacks, as witnessed by the current multi-year financial crisis. ASEAN has decided to not try the full integration scheme of the EU and is moving at an even slower, more differentiated pace it calls “The ASEAN Way”. </w:t>
      </w:r>
    </w:p>
    <w:p w:rsidR="00A868E5" w:rsidRDefault="00B451C4" w:rsidP="00A868E5">
      <w:pPr>
        <w:pStyle w:val="ListParagraph"/>
        <w:numPr>
          <w:ilvl w:val="0"/>
          <w:numId w:val="1"/>
        </w:numPr>
        <w:tabs>
          <w:tab w:val="left" w:pos="720"/>
        </w:tabs>
        <w:spacing w:after="240" w:line="240" w:lineRule="auto"/>
        <w:ind w:left="0" w:firstLine="0"/>
        <w:contextualSpacing w:val="0"/>
        <w:rPr>
          <w:rFonts w:cs="Times New Roman"/>
          <w:sz w:val="22"/>
        </w:rPr>
      </w:pPr>
      <w:r w:rsidRPr="00A868E5">
        <w:rPr>
          <w:rFonts w:cs="Times New Roman"/>
          <w:b/>
          <w:sz w:val="22"/>
        </w:rPr>
        <w:t xml:space="preserve">If the authorities decide to pursue an FTA, it is useful to first assess comprehensively the </w:t>
      </w:r>
      <w:r w:rsidRPr="00665055">
        <w:rPr>
          <w:rFonts w:cs="Times New Roman"/>
          <w:b/>
          <w:sz w:val="22"/>
        </w:rPr>
        <w:t>potential economic impacts of such an agreement</w:t>
      </w:r>
      <w:r w:rsidRPr="00F81215">
        <w:rPr>
          <w:rFonts w:cs="Times New Roman"/>
          <w:b/>
          <w:sz w:val="22"/>
        </w:rPr>
        <w:t xml:space="preserve">. </w:t>
      </w:r>
      <w:r w:rsidRPr="00F81215">
        <w:rPr>
          <w:rFonts w:cs="Times New Roman"/>
          <w:sz w:val="22"/>
        </w:rPr>
        <w:t xml:space="preserve">The trade strategy </w:t>
      </w:r>
      <w:r w:rsidRPr="00FC5856">
        <w:rPr>
          <w:rFonts w:cs="Times New Roman"/>
          <w:sz w:val="22"/>
        </w:rPr>
        <w:t xml:space="preserve">includes </w:t>
      </w:r>
      <w:r w:rsidRPr="00A868E5">
        <w:rPr>
          <w:rFonts w:cs="Times New Roman"/>
          <w:sz w:val="22"/>
        </w:rPr>
        <w:t xml:space="preserve">launching FTA and PTA negotiations with a number of countries. An assessment will help prioritize which negotiations to undertake and whether they should be preferential trade agreements or free trade agreements. </w:t>
      </w:r>
      <w:r w:rsidR="001C66F0">
        <w:rPr>
          <w:rFonts w:cs="Times New Roman"/>
          <w:sz w:val="22"/>
        </w:rPr>
        <w:t>The</w:t>
      </w:r>
      <w:r w:rsidR="00A868E5" w:rsidRPr="000002D1">
        <w:rPr>
          <w:rFonts w:cs="Times New Roman"/>
          <w:sz w:val="22"/>
        </w:rPr>
        <w:t xml:space="preserve"> </w:t>
      </w:r>
      <w:r w:rsidR="00A03E71">
        <w:rPr>
          <w:rFonts w:cs="Times New Roman"/>
          <w:sz w:val="22"/>
        </w:rPr>
        <w:t>analysis</w:t>
      </w:r>
      <w:r w:rsidR="001C66F0">
        <w:rPr>
          <w:rFonts w:cs="Times New Roman"/>
          <w:sz w:val="22"/>
        </w:rPr>
        <w:t xml:space="preserve"> should determine</w:t>
      </w:r>
      <w:r w:rsidR="00A868E5">
        <w:rPr>
          <w:rFonts w:cs="Times New Roman"/>
          <w:sz w:val="22"/>
        </w:rPr>
        <w:t xml:space="preserve"> </w:t>
      </w:r>
      <w:r w:rsidR="00A868E5" w:rsidRPr="000002D1">
        <w:rPr>
          <w:rFonts w:cs="Times New Roman"/>
          <w:sz w:val="22"/>
        </w:rPr>
        <w:t>the effects of the proposed FTAs before engaging in the negotiations in order to identify winners and losers, design support mechanisms for the transition periods that facilitate and promote adjustments as well as complementary policies to reap the potential benefits</w:t>
      </w:r>
      <w:r w:rsidR="001C66F0">
        <w:rPr>
          <w:rFonts w:cs="Times New Roman"/>
          <w:sz w:val="22"/>
        </w:rPr>
        <w:t xml:space="preserve">, </w:t>
      </w:r>
      <w:r w:rsidR="00A868E5" w:rsidRPr="000002D1">
        <w:rPr>
          <w:rFonts w:cs="Times New Roman"/>
          <w:sz w:val="22"/>
        </w:rPr>
        <w:t xml:space="preserve">such as attraction of investment. The assessment should include an analysis of how the proposed FTA will deal with issues that directly affect the access of Kazakhs products in the prospective trading partner’s market. This </w:t>
      </w:r>
      <w:r w:rsidR="001C66F0">
        <w:rPr>
          <w:rFonts w:cs="Times New Roman"/>
          <w:sz w:val="22"/>
        </w:rPr>
        <w:t>should</w:t>
      </w:r>
      <w:r w:rsidR="00A868E5" w:rsidRPr="000002D1">
        <w:rPr>
          <w:rFonts w:cs="Times New Roman"/>
          <w:sz w:val="22"/>
        </w:rPr>
        <w:t xml:space="preserve"> include tariffs</w:t>
      </w:r>
      <w:r w:rsidR="001C66F0">
        <w:rPr>
          <w:rFonts w:cs="Times New Roman"/>
          <w:sz w:val="22"/>
        </w:rPr>
        <w:t xml:space="preserve"> and </w:t>
      </w:r>
      <w:r w:rsidR="00A868E5" w:rsidRPr="000002D1">
        <w:rPr>
          <w:rFonts w:cs="Times New Roman"/>
          <w:sz w:val="22"/>
        </w:rPr>
        <w:t xml:space="preserve">non-tariff barriers that affect Kazakhs producers, </w:t>
      </w:r>
      <w:r w:rsidR="001C66F0">
        <w:rPr>
          <w:rFonts w:cs="Times New Roman"/>
          <w:sz w:val="22"/>
        </w:rPr>
        <w:t xml:space="preserve">and </w:t>
      </w:r>
      <w:r w:rsidR="00A868E5" w:rsidRPr="000002D1">
        <w:rPr>
          <w:rFonts w:cs="Times New Roman"/>
          <w:sz w:val="22"/>
        </w:rPr>
        <w:t>barriers to trade in services and investments.</w:t>
      </w:r>
      <w:r w:rsidR="00165223">
        <w:rPr>
          <w:rFonts w:cs="Times New Roman"/>
          <w:sz w:val="22"/>
        </w:rPr>
        <w:t xml:space="preserve">  </w:t>
      </w:r>
      <w:r w:rsidR="001C66F0">
        <w:rPr>
          <w:rFonts w:cs="Times New Roman"/>
          <w:sz w:val="22"/>
        </w:rPr>
        <w:t xml:space="preserve">Studies should also be conducted at the </w:t>
      </w:r>
      <w:r w:rsidR="00A868E5" w:rsidRPr="000002D1">
        <w:rPr>
          <w:rFonts w:cs="Times New Roman"/>
          <w:sz w:val="22"/>
        </w:rPr>
        <w:t xml:space="preserve">CU level, to analyze how the FTAs </w:t>
      </w:r>
      <w:r w:rsidR="00165223">
        <w:rPr>
          <w:rFonts w:cs="Times New Roman"/>
          <w:sz w:val="22"/>
        </w:rPr>
        <w:t xml:space="preserve">will affect </w:t>
      </w:r>
      <w:r w:rsidR="00A868E5" w:rsidRPr="000002D1">
        <w:rPr>
          <w:rFonts w:cs="Times New Roman"/>
          <w:sz w:val="22"/>
        </w:rPr>
        <w:t xml:space="preserve">the CU </w:t>
      </w:r>
      <w:r w:rsidR="001C66F0">
        <w:rPr>
          <w:rFonts w:cs="Times New Roman"/>
          <w:sz w:val="22"/>
        </w:rPr>
        <w:t xml:space="preserve">overall </w:t>
      </w:r>
      <w:r w:rsidR="00A868E5" w:rsidRPr="000002D1">
        <w:rPr>
          <w:rFonts w:cs="Times New Roman"/>
          <w:sz w:val="22"/>
        </w:rPr>
        <w:t xml:space="preserve">and </w:t>
      </w:r>
      <w:r w:rsidR="001C66F0">
        <w:rPr>
          <w:rFonts w:cs="Times New Roman"/>
          <w:sz w:val="22"/>
        </w:rPr>
        <w:t>each member.  T</w:t>
      </w:r>
      <w:r w:rsidR="00165223">
        <w:rPr>
          <w:rFonts w:cs="Times New Roman"/>
          <w:sz w:val="22"/>
        </w:rPr>
        <w:t>his will provide a concrete baseline to discuss</w:t>
      </w:r>
      <w:r w:rsidR="001C66F0">
        <w:rPr>
          <w:rFonts w:cs="Times New Roman"/>
          <w:sz w:val="22"/>
        </w:rPr>
        <w:t xml:space="preserve"> </w:t>
      </w:r>
      <w:r w:rsidR="00A868E5" w:rsidRPr="000002D1">
        <w:rPr>
          <w:rFonts w:cs="Times New Roman"/>
          <w:sz w:val="22"/>
        </w:rPr>
        <w:t xml:space="preserve">potential compensating mechanisms </w:t>
      </w:r>
      <w:r w:rsidR="001C66F0">
        <w:rPr>
          <w:rFonts w:cs="Times New Roman"/>
          <w:sz w:val="22"/>
        </w:rPr>
        <w:t xml:space="preserve">among members </w:t>
      </w:r>
      <w:r w:rsidR="00A868E5" w:rsidRPr="000002D1">
        <w:rPr>
          <w:rFonts w:cs="Times New Roman"/>
          <w:sz w:val="22"/>
        </w:rPr>
        <w:t>at the CU level.</w:t>
      </w:r>
      <w:r w:rsidR="00A868E5">
        <w:rPr>
          <w:rFonts w:cs="Times New Roman"/>
          <w:sz w:val="22"/>
        </w:rPr>
        <w:t xml:space="preserve">  </w:t>
      </w:r>
    </w:p>
    <w:p w:rsidR="00B451C4" w:rsidRDefault="00B451C4" w:rsidP="00B451C4">
      <w:pPr>
        <w:pStyle w:val="ListParagraph"/>
        <w:numPr>
          <w:ilvl w:val="0"/>
          <w:numId w:val="1"/>
        </w:numPr>
        <w:tabs>
          <w:tab w:val="left" w:pos="720"/>
        </w:tabs>
        <w:spacing w:after="240" w:line="240" w:lineRule="auto"/>
        <w:ind w:left="0" w:firstLine="0"/>
        <w:contextualSpacing w:val="0"/>
        <w:rPr>
          <w:rFonts w:cs="Times New Roman"/>
          <w:sz w:val="22"/>
        </w:rPr>
      </w:pPr>
      <w:r w:rsidRPr="000002D1">
        <w:rPr>
          <w:rFonts w:cs="Times New Roman"/>
          <w:b/>
          <w:sz w:val="22"/>
        </w:rPr>
        <w:t>Best practice suggests this assessment should include a thorough social, environmental and economic analysis to identify the potential positive and negative impacts of such agreements</w:t>
      </w:r>
      <w:r w:rsidRPr="00CC0F75">
        <w:rPr>
          <w:rFonts w:cs="Times New Roman"/>
          <w:sz w:val="22"/>
        </w:rPr>
        <w:t>. Such an analysis should include qualitative and quantitative analytical methods, economy wide as well as sector</w:t>
      </w:r>
      <w:r>
        <w:rPr>
          <w:rFonts w:cs="Times New Roman"/>
          <w:sz w:val="22"/>
        </w:rPr>
        <w:t>al</w:t>
      </w:r>
      <w:r w:rsidRPr="00CC0F75">
        <w:rPr>
          <w:rFonts w:cs="Times New Roman"/>
          <w:sz w:val="22"/>
        </w:rPr>
        <w:t xml:space="preserve"> computable general equilibrium models, </w:t>
      </w:r>
      <w:r>
        <w:rPr>
          <w:rFonts w:cs="Times New Roman"/>
          <w:sz w:val="22"/>
        </w:rPr>
        <w:t xml:space="preserve">sector specific analysis, </w:t>
      </w:r>
      <w:r w:rsidRPr="00CC0F75">
        <w:rPr>
          <w:rFonts w:cs="Times New Roman"/>
          <w:sz w:val="22"/>
        </w:rPr>
        <w:t>use of partial equilibrium analysis such as gravity models to predict trade patterns</w:t>
      </w:r>
      <w:r>
        <w:rPr>
          <w:rFonts w:cs="Times New Roman"/>
          <w:sz w:val="22"/>
        </w:rPr>
        <w:t xml:space="preserve"> and </w:t>
      </w:r>
      <w:r w:rsidRPr="00CC0F75">
        <w:rPr>
          <w:rFonts w:cs="Times New Roman"/>
          <w:sz w:val="22"/>
        </w:rPr>
        <w:t>poverty and environment assessments.</w:t>
      </w:r>
      <w:r w:rsidR="00665055" w:rsidRPr="00665055">
        <w:rPr>
          <w:rStyle w:val="FootnoteReference"/>
          <w:sz w:val="22"/>
        </w:rPr>
        <w:t xml:space="preserve"> </w:t>
      </w:r>
      <w:r w:rsidR="00665055">
        <w:rPr>
          <w:rStyle w:val="FootnoteReference"/>
          <w:sz w:val="22"/>
        </w:rPr>
        <w:footnoteReference w:id="15"/>
      </w:r>
      <w:r>
        <w:rPr>
          <w:rFonts w:cs="Times New Roman"/>
          <w:sz w:val="22"/>
        </w:rPr>
        <w:t xml:space="preserve"> </w:t>
      </w:r>
      <w:r w:rsidRPr="00CC0F75">
        <w:rPr>
          <w:rFonts w:cs="Times New Roman"/>
          <w:sz w:val="22"/>
        </w:rPr>
        <w:t>Systematic public consultation is a key element of such an assessment. This methodological approach is time consuming and expensive, but ultimately worthwhile as it provides quantitative and qualitative assessments of the costs and benefits of joining an FTA.</w:t>
      </w:r>
      <w:r>
        <w:rPr>
          <w:rFonts w:cs="Times New Roman"/>
          <w:sz w:val="22"/>
        </w:rPr>
        <w:t xml:space="preserve"> </w:t>
      </w:r>
      <w:r w:rsidRPr="00CC0F75">
        <w:rPr>
          <w:rFonts w:cs="Times New Roman"/>
          <w:sz w:val="22"/>
        </w:rPr>
        <w:t>EU has undertaken a number of such comprehensive analyses, including the 2009 EU-India FTA and the 2012 EU-Georgia FTA analyses</w:t>
      </w:r>
      <w:r w:rsidR="00D27956">
        <w:rPr>
          <w:rFonts w:cs="Times New Roman"/>
          <w:sz w:val="22"/>
        </w:rPr>
        <w:t xml:space="preserve"> (Annex IV</w:t>
      </w:r>
      <w:r w:rsidRPr="00F501E5">
        <w:rPr>
          <w:rFonts w:cs="Times New Roman"/>
          <w:sz w:val="22"/>
        </w:rPr>
        <w:t>)</w:t>
      </w:r>
      <w:r w:rsidRPr="00CC0F75">
        <w:rPr>
          <w:rFonts w:cs="Times New Roman"/>
          <w:sz w:val="22"/>
        </w:rPr>
        <w:t>.</w:t>
      </w:r>
      <w:r w:rsidRPr="00EC6A62">
        <w:rPr>
          <w:rStyle w:val="FootnoteReference"/>
          <w:sz w:val="22"/>
        </w:rPr>
        <w:footnoteReference w:id="16"/>
      </w:r>
      <w:r w:rsidRPr="00F501E5">
        <w:rPr>
          <w:rFonts w:cs="Times New Roman"/>
          <w:sz w:val="22"/>
          <w:vertAlign w:val="superscript"/>
        </w:rPr>
        <w:t>,</w:t>
      </w:r>
      <w:r w:rsidRPr="00EC6A62">
        <w:rPr>
          <w:rStyle w:val="FootnoteReference"/>
          <w:sz w:val="22"/>
        </w:rPr>
        <w:footnoteReference w:id="17"/>
      </w:r>
      <w:r>
        <w:rPr>
          <w:rFonts w:cs="Times New Roman"/>
          <w:sz w:val="22"/>
        </w:rPr>
        <w:t xml:space="preserve"> </w:t>
      </w:r>
      <w:r w:rsidRPr="00CC0F75">
        <w:rPr>
          <w:rFonts w:cs="Times New Roman"/>
          <w:sz w:val="22"/>
        </w:rPr>
        <w:t xml:space="preserve"> </w:t>
      </w:r>
    </w:p>
    <w:p w:rsidR="00EE6DD0" w:rsidRDefault="00EE6DD0">
      <w:pPr>
        <w:spacing w:line="276" w:lineRule="auto"/>
        <w:jc w:val="left"/>
        <w:rPr>
          <w:rFonts w:cs="Times New Roman"/>
          <w:sz w:val="22"/>
        </w:rPr>
      </w:pPr>
      <w:r>
        <w:rPr>
          <w:rFonts w:cs="Times New Roman"/>
          <w:sz w:val="22"/>
        </w:rPr>
        <w:br w:type="page"/>
      </w:r>
    </w:p>
    <w:tbl>
      <w:tblPr>
        <w:tblStyle w:val="TableGrid"/>
        <w:tblW w:w="0" w:type="auto"/>
        <w:tblLook w:val="04A0" w:firstRow="1" w:lastRow="0" w:firstColumn="1" w:lastColumn="0" w:noHBand="0" w:noVBand="1"/>
      </w:tblPr>
      <w:tblGrid>
        <w:gridCol w:w="9846"/>
      </w:tblGrid>
      <w:tr w:rsidR="00BD7EB6" w:rsidTr="00BD7EB6">
        <w:tc>
          <w:tcPr>
            <w:tcW w:w="9846" w:type="dxa"/>
          </w:tcPr>
          <w:p w:rsidR="00BD7EB6" w:rsidRPr="001A5187" w:rsidRDefault="00EE6DD0" w:rsidP="00EE6DD0">
            <w:pPr>
              <w:pStyle w:val="Caption"/>
              <w:spacing w:after="240"/>
              <w:rPr>
                <w:szCs w:val="20"/>
              </w:rPr>
            </w:pPr>
            <w:bookmarkStart w:id="37" w:name="_Toc378151238"/>
            <w:r w:rsidRPr="001A5187">
              <w:rPr>
                <w:szCs w:val="20"/>
              </w:rPr>
              <w:lastRenderedPageBreak/>
              <w:t xml:space="preserve">Box </w:t>
            </w:r>
            <w:r w:rsidR="001A5187" w:rsidRPr="001A5187">
              <w:rPr>
                <w:szCs w:val="20"/>
              </w:rPr>
              <w:fldChar w:fldCharType="begin"/>
            </w:r>
            <w:r w:rsidR="001A5187" w:rsidRPr="001A5187">
              <w:rPr>
                <w:szCs w:val="20"/>
              </w:rPr>
              <w:instrText xml:space="preserve"> SEQ Box \* ARABIC </w:instrText>
            </w:r>
            <w:r w:rsidR="001A5187" w:rsidRPr="001A5187">
              <w:rPr>
                <w:szCs w:val="20"/>
              </w:rPr>
              <w:fldChar w:fldCharType="separate"/>
            </w:r>
            <w:r w:rsidR="0056192E" w:rsidRPr="001A5187">
              <w:rPr>
                <w:noProof/>
                <w:szCs w:val="20"/>
              </w:rPr>
              <w:t>3</w:t>
            </w:r>
            <w:r w:rsidR="001A5187" w:rsidRPr="001A5187">
              <w:rPr>
                <w:noProof/>
                <w:szCs w:val="20"/>
              </w:rPr>
              <w:fldChar w:fldCharType="end"/>
            </w:r>
            <w:r w:rsidRPr="001A5187">
              <w:rPr>
                <w:szCs w:val="20"/>
              </w:rPr>
              <w:t>:</w:t>
            </w:r>
            <w:r w:rsidR="00BD7EB6" w:rsidRPr="001A5187">
              <w:rPr>
                <w:szCs w:val="20"/>
              </w:rPr>
              <w:t xml:space="preserve"> Kazakhstan and Free Trade Agreements: </w:t>
            </w:r>
            <w:r w:rsidR="00665055" w:rsidRPr="001A5187">
              <w:rPr>
                <w:szCs w:val="20"/>
              </w:rPr>
              <w:t xml:space="preserve"> A Working </w:t>
            </w:r>
            <w:r w:rsidR="006A2D0B" w:rsidRPr="001A5187">
              <w:rPr>
                <w:szCs w:val="20"/>
              </w:rPr>
              <w:t>A</w:t>
            </w:r>
            <w:r w:rsidR="00BD7EB6" w:rsidRPr="001A5187">
              <w:rPr>
                <w:szCs w:val="20"/>
              </w:rPr>
              <w:t>genda</w:t>
            </w:r>
            <w:bookmarkEnd w:id="37"/>
          </w:p>
          <w:p w:rsidR="00BD7EB6" w:rsidRPr="001A5187" w:rsidRDefault="00BD7EB6" w:rsidP="00EE6DD0">
            <w:pPr>
              <w:tabs>
                <w:tab w:val="left" w:pos="720"/>
              </w:tabs>
              <w:spacing w:after="120" w:line="240" w:lineRule="auto"/>
              <w:rPr>
                <w:rFonts w:cs="Times New Roman"/>
                <w:sz w:val="20"/>
                <w:szCs w:val="20"/>
              </w:rPr>
            </w:pPr>
            <w:r w:rsidRPr="001A5187">
              <w:rPr>
                <w:rFonts w:cs="Times New Roman"/>
                <w:sz w:val="20"/>
                <w:szCs w:val="20"/>
              </w:rPr>
              <w:t xml:space="preserve">Kazakhstan </w:t>
            </w:r>
            <w:r w:rsidR="00F95A65" w:rsidRPr="001A5187">
              <w:rPr>
                <w:rFonts w:cs="Times New Roman"/>
                <w:sz w:val="20"/>
                <w:szCs w:val="20"/>
              </w:rPr>
              <w:t>is interested</w:t>
            </w:r>
            <w:r w:rsidRPr="001A5187">
              <w:rPr>
                <w:rFonts w:cs="Times New Roman"/>
                <w:sz w:val="20"/>
                <w:szCs w:val="20"/>
              </w:rPr>
              <w:t xml:space="preserve"> in pursuing negotiations of several FTAs/PTAs.  To help this agenda succeed, the authorities should consider the following:</w:t>
            </w:r>
          </w:p>
          <w:p w:rsidR="00BD7EB6" w:rsidRPr="001A5187" w:rsidRDefault="00BD7EB6" w:rsidP="00EE6DD0">
            <w:pPr>
              <w:tabs>
                <w:tab w:val="left" w:pos="720"/>
              </w:tabs>
              <w:spacing w:after="120" w:line="240" w:lineRule="auto"/>
              <w:rPr>
                <w:rFonts w:cs="Times New Roman"/>
                <w:sz w:val="20"/>
                <w:szCs w:val="20"/>
              </w:rPr>
            </w:pPr>
            <w:r w:rsidRPr="001A5187">
              <w:rPr>
                <w:rFonts w:cs="Times New Roman"/>
                <w:sz w:val="20"/>
                <w:szCs w:val="20"/>
              </w:rPr>
              <w:t xml:space="preserve">The conclusion of WTO accession should continue to be a priority. The WTO agreements are the umbrella under which member countries’ trade policies are conducted. Kazakhstan’s trading partners are bound by the WTO rules regarding economic integration. The advantages that WTO members can offer to Kazakhstan, in particular, on goods trade, are limited by these rules. WTO membership will, on the other hand, help Kazakhstan’s negotiating team address the country’s commercial interests. However, engaging in bilateral trade negotiations may also affect Kazakhstan’s WTO accession process. In effect, concessions exchanged in FTAs negotiations may be requested by WTO members to ensure a level playing field for their products. </w:t>
            </w:r>
          </w:p>
          <w:p w:rsidR="00BD7EB6" w:rsidRPr="001A5187" w:rsidRDefault="00BD7EB6" w:rsidP="00EE6DD0">
            <w:pPr>
              <w:spacing w:after="120" w:line="240" w:lineRule="auto"/>
              <w:rPr>
                <w:rFonts w:cs="Times New Roman"/>
                <w:sz w:val="20"/>
                <w:szCs w:val="20"/>
              </w:rPr>
            </w:pPr>
            <w:r w:rsidRPr="001A5187">
              <w:rPr>
                <w:rFonts w:cs="Times New Roman"/>
                <w:sz w:val="20"/>
                <w:szCs w:val="20"/>
              </w:rPr>
              <w:t>Kazakhstan FTA/PTA policy agenda should be closely coordinated with CU partners and consistent with CU rules.  If the FTAs agenda will largely be defined at the CU level authorities should negotiate with its partners to ensure that the CU strategies respond to the country’s commercial interests – in particular the impact on Kazakhstani domestic industries, SMEs and exporters - and medium-long term development goals.    This may require a reassessment of the country’s existing initiatives to integrate them as necessary into the CU’s strategy with third countries. Finally, Kazakhstan should assess to what extent the strategy to join TFAs supports the broader policy objectives expressed in its national different strategic plans described above, including policies promoting export growth, upgrading and diversification.</w:t>
            </w:r>
          </w:p>
          <w:p w:rsidR="00BD7EB6" w:rsidRPr="001A5187" w:rsidRDefault="00F95A65" w:rsidP="00EE6DD0">
            <w:pPr>
              <w:spacing w:after="120" w:line="240" w:lineRule="auto"/>
              <w:rPr>
                <w:rFonts w:cs="Times New Roman"/>
                <w:sz w:val="20"/>
                <w:szCs w:val="20"/>
              </w:rPr>
            </w:pPr>
            <w:r w:rsidRPr="001A5187">
              <w:rPr>
                <w:rFonts w:cs="Times New Roman"/>
                <w:sz w:val="20"/>
                <w:szCs w:val="20"/>
              </w:rPr>
              <w:t xml:space="preserve">Undertake analysis </w:t>
            </w:r>
            <w:r w:rsidR="00EE6DD0" w:rsidRPr="001A5187">
              <w:rPr>
                <w:rFonts w:cs="Times New Roman"/>
                <w:sz w:val="20"/>
                <w:szCs w:val="20"/>
              </w:rPr>
              <w:t>of potential</w:t>
            </w:r>
            <w:r w:rsidRPr="001A5187">
              <w:rPr>
                <w:rFonts w:cs="Times New Roman"/>
                <w:sz w:val="20"/>
                <w:szCs w:val="20"/>
              </w:rPr>
              <w:t xml:space="preserve"> effects of joining an FTA</w:t>
            </w:r>
            <w:r w:rsidR="00BD7EB6" w:rsidRPr="001A5187">
              <w:rPr>
                <w:rFonts w:cs="Times New Roman"/>
                <w:sz w:val="20"/>
                <w:szCs w:val="20"/>
              </w:rPr>
              <w:t xml:space="preserve">effects before </w:t>
            </w:r>
            <w:r w:rsidRPr="001A5187">
              <w:rPr>
                <w:rFonts w:cs="Times New Roman"/>
                <w:sz w:val="20"/>
                <w:szCs w:val="20"/>
              </w:rPr>
              <w:t xml:space="preserve">the </w:t>
            </w:r>
            <w:r w:rsidR="00BD7EB6" w:rsidRPr="001A5187">
              <w:rPr>
                <w:rFonts w:cs="Times New Roman"/>
                <w:sz w:val="20"/>
                <w:szCs w:val="20"/>
              </w:rPr>
              <w:t>start of negotiations.   Potential topics and meth</w:t>
            </w:r>
            <w:r w:rsidRPr="001A5187">
              <w:rPr>
                <w:rFonts w:cs="Times New Roman"/>
                <w:sz w:val="20"/>
                <w:szCs w:val="20"/>
              </w:rPr>
              <w:t xml:space="preserve">odologies are discussed in the </w:t>
            </w:r>
            <w:r w:rsidR="00BD7EB6" w:rsidRPr="001A5187">
              <w:rPr>
                <w:rFonts w:cs="Times New Roman"/>
                <w:sz w:val="20"/>
                <w:szCs w:val="20"/>
              </w:rPr>
              <w:t>text of this note.</w:t>
            </w:r>
            <w:r w:rsidRPr="001A5187">
              <w:rPr>
                <w:rFonts w:cs="Times New Roman"/>
                <w:sz w:val="20"/>
                <w:szCs w:val="20"/>
              </w:rPr>
              <w:t xml:space="preserve"> </w:t>
            </w:r>
            <w:r w:rsidR="00BD7EB6" w:rsidRPr="001A5187">
              <w:rPr>
                <w:rFonts w:cs="Times New Roman"/>
                <w:sz w:val="20"/>
                <w:szCs w:val="20"/>
              </w:rPr>
              <w:t xml:space="preserve">   </w:t>
            </w:r>
          </w:p>
          <w:p w:rsidR="00BD7EB6" w:rsidRPr="001A5187" w:rsidRDefault="00BD7EB6" w:rsidP="00EE6DD0">
            <w:pPr>
              <w:spacing w:after="120" w:line="240" w:lineRule="auto"/>
              <w:rPr>
                <w:rFonts w:cs="Times New Roman"/>
                <w:sz w:val="20"/>
                <w:szCs w:val="20"/>
              </w:rPr>
            </w:pPr>
            <w:r w:rsidRPr="001A5187">
              <w:rPr>
                <w:rFonts w:cs="Times New Roman"/>
                <w:sz w:val="20"/>
                <w:szCs w:val="20"/>
              </w:rPr>
              <w:t>Set clear negotiating goals, align them with the country’s strategies, and prioritize market strategies. Prioritiz</w:t>
            </w:r>
            <w:r w:rsidR="00F95A65" w:rsidRPr="001A5187">
              <w:rPr>
                <w:rFonts w:cs="Times New Roman"/>
                <w:sz w:val="20"/>
                <w:szCs w:val="20"/>
              </w:rPr>
              <w:t xml:space="preserve">ing </w:t>
            </w:r>
            <w:r w:rsidRPr="001A5187">
              <w:rPr>
                <w:rFonts w:cs="Times New Roman"/>
                <w:sz w:val="20"/>
                <w:szCs w:val="20"/>
              </w:rPr>
              <w:t>objectives with the support of research and solid coordination mechanisms for negotiation will facilitate the allocation of scarce resources according to a hierarchy of objectives</w:t>
            </w:r>
            <w:r w:rsidR="00F95A65" w:rsidRPr="001A5187">
              <w:rPr>
                <w:rFonts w:cs="Times New Roman"/>
                <w:sz w:val="20"/>
                <w:szCs w:val="20"/>
              </w:rPr>
              <w:t xml:space="preserve">.  Sectoral </w:t>
            </w:r>
            <w:r w:rsidRPr="001A5187">
              <w:rPr>
                <w:rFonts w:cs="Times New Roman"/>
                <w:sz w:val="20"/>
                <w:szCs w:val="20"/>
              </w:rPr>
              <w:t xml:space="preserve">objectives </w:t>
            </w:r>
            <w:r w:rsidR="00F95A65" w:rsidRPr="001A5187">
              <w:rPr>
                <w:rFonts w:cs="Times New Roman"/>
                <w:sz w:val="20"/>
                <w:szCs w:val="20"/>
              </w:rPr>
              <w:t xml:space="preserve">should be </w:t>
            </w:r>
            <w:r w:rsidRPr="001A5187">
              <w:rPr>
                <w:rFonts w:cs="Times New Roman"/>
                <w:sz w:val="20"/>
                <w:szCs w:val="20"/>
              </w:rPr>
              <w:t>in the lead</w:t>
            </w:r>
            <w:r w:rsidR="00F95A65" w:rsidRPr="001A5187">
              <w:rPr>
                <w:rFonts w:cs="Times New Roman"/>
                <w:sz w:val="20"/>
                <w:szCs w:val="20"/>
              </w:rPr>
              <w:t>, especially if trade policy and negotiation objectives have been properly aligned with Kazakhstan’s export and enterprise development objectives</w:t>
            </w:r>
            <w:r w:rsidRPr="001A5187">
              <w:rPr>
                <w:rFonts w:cs="Times New Roman"/>
                <w:sz w:val="20"/>
                <w:szCs w:val="20"/>
              </w:rPr>
              <w:t xml:space="preserve">. </w:t>
            </w:r>
            <w:r w:rsidR="00F95A65" w:rsidRPr="001A5187">
              <w:rPr>
                <w:rFonts w:cs="Times New Roman"/>
                <w:sz w:val="20"/>
                <w:szCs w:val="20"/>
              </w:rPr>
              <w:t>Allocating</w:t>
            </w:r>
            <w:r w:rsidRPr="001A5187">
              <w:rPr>
                <w:rFonts w:cs="Times New Roman"/>
                <w:sz w:val="20"/>
                <w:szCs w:val="20"/>
              </w:rPr>
              <w:t xml:space="preserve"> </w:t>
            </w:r>
            <w:r w:rsidR="00F95A65" w:rsidRPr="001A5187">
              <w:rPr>
                <w:rFonts w:cs="Times New Roman"/>
                <w:sz w:val="20"/>
                <w:szCs w:val="20"/>
              </w:rPr>
              <w:t>additional human resources will</w:t>
            </w:r>
            <w:r w:rsidRPr="001A5187">
              <w:rPr>
                <w:rFonts w:cs="Times New Roman"/>
                <w:sz w:val="20"/>
                <w:szCs w:val="20"/>
              </w:rPr>
              <w:t xml:space="preserve"> facilitate participation in simultaneous negotiations. Countries of a similar size as Kazakhstan, such as Chile, have been able to conduct several negotiations at the same time. Chile, for example, had to negotiate in parallel with the US and the EU. </w:t>
            </w:r>
          </w:p>
          <w:p w:rsidR="00BD7EB6" w:rsidRPr="001A5187" w:rsidRDefault="00BD7EB6" w:rsidP="00EE6DD0">
            <w:pPr>
              <w:spacing w:after="120" w:line="240" w:lineRule="auto"/>
              <w:rPr>
                <w:rFonts w:cs="Times New Roman"/>
                <w:sz w:val="20"/>
                <w:szCs w:val="20"/>
              </w:rPr>
            </w:pPr>
            <w:r w:rsidRPr="001A5187">
              <w:rPr>
                <w:rFonts w:cs="Times New Roman"/>
                <w:sz w:val="20"/>
                <w:szCs w:val="20"/>
              </w:rPr>
              <w:t xml:space="preserve">In order to implement </w:t>
            </w:r>
            <w:r w:rsidR="00CA4713" w:rsidRPr="001A5187">
              <w:rPr>
                <w:rFonts w:cs="Times New Roman"/>
                <w:sz w:val="20"/>
                <w:szCs w:val="20"/>
              </w:rPr>
              <w:t>the national`</w:t>
            </w:r>
            <w:r w:rsidRPr="001A5187">
              <w:rPr>
                <w:rFonts w:cs="Times New Roman"/>
                <w:sz w:val="20"/>
                <w:szCs w:val="20"/>
              </w:rPr>
              <w:t xml:space="preserve"> FTA agenda,  the authorities </w:t>
            </w:r>
            <w:r w:rsidR="00CA4713" w:rsidRPr="001A5187">
              <w:rPr>
                <w:rFonts w:cs="Times New Roman"/>
                <w:sz w:val="20"/>
                <w:szCs w:val="20"/>
              </w:rPr>
              <w:t xml:space="preserve">should </w:t>
            </w:r>
            <w:r w:rsidRPr="001A5187">
              <w:rPr>
                <w:rFonts w:cs="Times New Roman"/>
                <w:sz w:val="20"/>
                <w:szCs w:val="20"/>
              </w:rPr>
              <w:t xml:space="preserve">strengthen the teams working on WTO, CU and FTA affairs as follows:  </w:t>
            </w:r>
          </w:p>
          <w:p w:rsidR="00BD7EB6" w:rsidRPr="001A5187" w:rsidRDefault="00BD7EB6" w:rsidP="00EE6DD0">
            <w:pPr>
              <w:pStyle w:val="ListParagraph"/>
              <w:numPr>
                <w:ilvl w:val="0"/>
                <w:numId w:val="31"/>
              </w:numPr>
              <w:spacing w:after="60" w:line="240" w:lineRule="auto"/>
              <w:contextualSpacing w:val="0"/>
              <w:rPr>
                <w:rFonts w:cs="Times New Roman"/>
                <w:sz w:val="20"/>
                <w:szCs w:val="20"/>
              </w:rPr>
            </w:pPr>
            <w:r w:rsidRPr="001A5187">
              <w:rPr>
                <w:rFonts w:cs="Times New Roman"/>
                <w:sz w:val="20"/>
                <w:szCs w:val="20"/>
              </w:rPr>
              <w:t>Strengthen the Geneva mission responsible for WTO negotiations can help facilitate the finalization and later implementation of WTO commitments and will help the country to deal with the on-going multilateral agenda. The team can be composed of 5 to 6 officials, including an Ambassador,</w:t>
            </w:r>
          </w:p>
          <w:p w:rsidR="00BD7EB6" w:rsidRPr="001A5187" w:rsidRDefault="00BD7EB6" w:rsidP="00EE6DD0">
            <w:pPr>
              <w:pStyle w:val="ListParagraph"/>
              <w:numPr>
                <w:ilvl w:val="0"/>
                <w:numId w:val="31"/>
              </w:numPr>
              <w:spacing w:after="60" w:line="240" w:lineRule="auto"/>
              <w:contextualSpacing w:val="0"/>
              <w:rPr>
                <w:rFonts w:cs="Times New Roman"/>
                <w:sz w:val="20"/>
                <w:szCs w:val="20"/>
              </w:rPr>
            </w:pPr>
            <w:r w:rsidRPr="001A5187">
              <w:rPr>
                <w:rFonts w:cs="Times New Roman"/>
                <w:sz w:val="20"/>
                <w:szCs w:val="20"/>
              </w:rPr>
              <w:t xml:space="preserve">Establish a dedicated office in Moscow that would address the negotiating agenda of the CES. </w:t>
            </w:r>
          </w:p>
          <w:p w:rsidR="00BD7EB6" w:rsidRPr="001A5187" w:rsidRDefault="00BD7EB6" w:rsidP="00EE6DD0">
            <w:pPr>
              <w:pStyle w:val="ListParagraph"/>
              <w:numPr>
                <w:ilvl w:val="0"/>
                <w:numId w:val="31"/>
              </w:numPr>
              <w:spacing w:after="60" w:line="240" w:lineRule="auto"/>
              <w:contextualSpacing w:val="0"/>
              <w:rPr>
                <w:rFonts w:cs="Times New Roman"/>
                <w:sz w:val="20"/>
                <w:szCs w:val="20"/>
              </w:rPr>
            </w:pPr>
            <w:r w:rsidRPr="001A5187">
              <w:rPr>
                <w:rFonts w:cs="Times New Roman"/>
                <w:sz w:val="20"/>
                <w:szCs w:val="20"/>
              </w:rPr>
              <w:t xml:space="preserve">To deal with the FTAs negotiations, the team should be composed of </w:t>
            </w:r>
            <w:r w:rsidR="00F95A65" w:rsidRPr="001A5187">
              <w:rPr>
                <w:rFonts w:cs="Times New Roman"/>
                <w:sz w:val="20"/>
                <w:szCs w:val="20"/>
              </w:rPr>
              <w:t>a</w:t>
            </w:r>
            <w:r w:rsidRPr="001A5187">
              <w:rPr>
                <w:rFonts w:cs="Times New Roman"/>
                <w:sz w:val="20"/>
                <w:szCs w:val="20"/>
              </w:rPr>
              <w:t xml:space="preserve"> core team of officials from the different ministries fully dedicated to these activities.  </w:t>
            </w:r>
          </w:p>
          <w:p w:rsidR="00BD7EB6" w:rsidRPr="000002D1" w:rsidRDefault="00BD7EB6" w:rsidP="00EE6DD0">
            <w:pPr>
              <w:pStyle w:val="ListParagraph"/>
              <w:tabs>
                <w:tab w:val="left" w:pos="720"/>
              </w:tabs>
              <w:spacing w:before="120" w:line="240" w:lineRule="auto"/>
              <w:ind w:left="0"/>
              <w:contextualSpacing w:val="0"/>
              <w:rPr>
                <w:rFonts w:cs="Times New Roman"/>
                <w:sz w:val="22"/>
              </w:rPr>
            </w:pPr>
            <w:r w:rsidRPr="001A5187">
              <w:rPr>
                <w:rFonts w:cs="Times New Roman"/>
                <w:i/>
                <w:sz w:val="20"/>
                <w:szCs w:val="20"/>
              </w:rPr>
              <w:t>Source:  World Bank Staff</w:t>
            </w:r>
          </w:p>
        </w:tc>
      </w:tr>
    </w:tbl>
    <w:p w:rsidR="00BD7EB6" w:rsidRPr="00EE6DD0" w:rsidRDefault="00BD7EB6" w:rsidP="00EE6DD0">
      <w:pPr>
        <w:pStyle w:val="ListParagraph"/>
        <w:tabs>
          <w:tab w:val="left" w:pos="720"/>
        </w:tabs>
        <w:spacing w:after="0" w:line="240" w:lineRule="auto"/>
        <w:ind w:left="0"/>
        <w:contextualSpacing w:val="0"/>
        <w:rPr>
          <w:rFonts w:cs="Times New Roman"/>
          <w:szCs w:val="24"/>
        </w:rPr>
      </w:pPr>
    </w:p>
    <w:p w:rsidR="00CC0F75" w:rsidRPr="00A03E71" w:rsidRDefault="00B451C4" w:rsidP="001A5187">
      <w:pPr>
        <w:pStyle w:val="ListParagraph"/>
        <w:numPr>
          <w:ilvl w:val="0"/>
          <w:numId w:val="1"/>
        </w:numPr>
        <w:tabs>
          <w:tab w:val="left" w:pos="720"/>
        </w:tabs>
        <w:spacing w:after="240" w:line="240" w:lineRule="auto"/>
        <w:ind w:left="0" w:firstLine="0"/>
        <w:contextualSpacing w:val="0"/>
        <w:rPr>
          <w:rFonts w:eastAsia="Times New Roman" w:cs="Times New Roman"/>
          <w:b/>
          <w:bCs/>
          <w:szCs w:val="24"/>
        </w:rPr>
      </w:pPr>
      <w:r w:rsidRPr="00CC0F75">
        <w:rPr>
          <w:rFonts w:cs="Times New Roman"/>
          <w:b/>
          <w:sz w:val="22"/>
        </w:rPr>
        <w:t>Generally, Kazakhstan should seek trade with countries with which it has a high complementarity of products</w:t>
      </w:r>
      <w:r w:rsidRPr="00CC0F75">
        <w:rPr>
          <w:rFonts w:cs="Times New Roman"/>
          <w:sz w:val="22"/>
        </w:rPr>
        <w:t>.</w:t>
      </w:r>
      <w:r>
        <w:rPr>
          <w:rStyle w:val="FootnoteReference"/>
          <w:sz w:val="22"/>
        </w:rPr>
        <w:footnoteReference w:id="18"/>
      </w:r>
      <w:r>
        <w:rPr>
          <w:rFonts w:cs="Times New Roman"/>
          <w:b/>
          <w:sz w:val="22"/>
        </w:rPr>
        <w:t xml:space="preserve"> </w:t>
      </w:r>
      <w:r w:rsidRPr="00CC0F75">
        <w:rPr>
          <w:rFonts w:cs="Times New Roman"/>
          <w:sz w:val="22"/>
        </w:rPr>
        <w:t xml:space="preserve">While FTAs can span a large number of topics and sectors, one simple method to assess the gains from potential goods trade is to look at the product complementarity index of countries </w:t>
      </w:r>
      <w:r>
        <w:rPr>
          <w:rFonts w:cs="Times New Roman"/>
          <w:sz w:val="22"/>
        </w:rPr>
        <w:t xml:space="preserve">trading </w:t>
      </w:r>
      <w:r w:rsidRPr="00CC0F75">
        <w:rPr>
          <w:rFonts w:cs="Times New Roman"/>
          <w:sz w:val="22"/>
        </w:rPr>
        <w:t>with Kazakhstan. Analysis shows that regional integration agreements where members had higher complementarity of products appear to be more successful.</w:t>
      </w:r>
      <w:r>
        <w:rPr>
          <w:rFonts w:cs="Times New Roman"/>
          <w:sz w:val="22"/>
        </w:rPr>
        <w:t xml:space="preserve"> </w:t>
      </w:r>
      <w:r w:rsidRPr="00CC0F75">
        <w:rPr>
          <w:rFonts w:cs="Times New Roman"/>
          <w:sz w:val="22"/>
        </w:rPr>
        <w:t xml:space="preserve">Countries with complementary trade structure are likely to trade more, whereas economies with similar trade structure often struggle to improve </w:t>
      </w:r>
      <w:r w:rsidRPr="00CC0F75">
        <w:rPr>
          <w:rFonts w:cs="Times New Roman"/>
          <w:sz w:val="22"/>
        </w:rPr>
        <w:lastRenderedPageBreak/>
        <w:t>trade share unless there is substantial intra-industry trad</w:t>
      </w:r>
      <w:r>
        <w:rPr>
          <w:rFonts w:cs="Times New Roman"/>
          <w:sz w:val="22"/>
        </w:rPr>
        <w:t>e. For instance, within ASEAN product</w:t>
      </w:r>
      <w:r w:rsidRPr="00CC0F75">
        <w:rPr>
          <w:rFonts w:cs="Times New Roman"/>
          <w:sz w:val="22"/>
        </w:rPr>
        <w:t xml:space="preserve"> complementarity for Indonesia is 48, Malaysia 63, Philippines 60, and Singa</w:t>
      </w:r>
      <w:r>
        <w:rPr>
          <w:rFonts w:cs="Times New Roman"/>
          <w:sz w:val="22"/>
        </w:rPr>
        <w:t>pore 63</w:t>
      </w:r>
      <w:r w:rsidRPr="00CC0F75">
        <w:rPr>
          <w:rFonts w:cs="Times New Roman"/>
          <w:sz w:val="22"/>
        </w:rPr>
        <w:t>.</w:t>
      </w:r>
      <w:r>
        <w:rPr>
          <w:rFonts w:cs="Times New Roman"/>
          <w:sz w:val="22"/>
        </w:rPr>
        <w:t xml:space="preserve"> </w:t>
      </w:r>
      <w:r w:rsidRPr="00CC0F75">
        <w:rPr>
          <w:rFonts w:cs="Times New Roman"/>
          <w:sz w:val="22"/>
        </w:rPr>
        <w:t>For Kazakhstan, analysis shows that product complementarity is below 20 with the Central Asian economies, Russia</w:t>
      </w:r>
      <w:r>
        <w:rPr>
          <w:rFonts w:cs="Times New Roman"/>
          <w:sz w:val="22"/>
        </w:rPr>
        <w:t xml:space="preserve"> </w:t>
      </w:r>
      <w:r w:rsidRPr="00CC0F75">
        <w:rPr>
          <w:rFonts w:cs="Times New Roman"/>
          <w:sz w:val="22"/>
        </w:rPr>
        <w:t>and Mongolia.</w:t>
      </w:r>
      <w:r>
        <w:rPr>
          <w:rFonts w:cs="Times New Roman"/>
          <w:sz w:val="22"/>
        </w:rPr>
        <w:t xml:space="preserve"> </w:t>
      </w:r>
      <w:r w:rsidRPr="00CC0F75">
        <w:rPr>
          <w:rFonts w:cs="Times New Roman"/>
          <w:sz w:val="22"/>
        </w:rPr>
        <w:t xml:space="preserve">China </w:t>
      </w:r>
      <w:r>
        <w:rPr>
          <w:rFonts w:cs="Times New Roman"/>
          <w:sz w:val="22"/>
        </w:rPr>
        <w:t xml:space="preserve">and Belarus are </w:t>
      </w:r>
      <w:r w:rsidRPr="00CC0F75">
        <w:rPr>
          <w:rFonts w:cs="Times New Roman"/>
          <w:sz w:val="22"/>
        </w:rPr>
        <w:t>the only countr</w:t>
      </w:r>
      <w:r>
        <w:rPr>
          <w:rFonts w:cs="Times New Roman"/>
          <w:sz w:val="22"/>
        </w:rPr>
        <w:t xml:space="preserve">ies </w:t>
      </w:r>
      <w:r w:rsidRPr="00CC0F75">
        <w:rPr>
          <w:rFonts w:cs="Times New Roman"/>
          <w:sz w:val="22"/>
        </w:rPr>
        <w:t>with which Kazakhstan has a complementarity score</w:t>
      </w:r>
      <w:r>
        <w:rPr>
          <w:rFonts w:cs="Times New Roman"/>
          <w:sz w:val="22"/>
        </w:rPr>
        <w:t xml:space="preserve"> above than 30</w:t>
      </w:r>
      <w:r w:rsidRPr="00CC0F75">
        <w:rPr>
          <w:rFonts w:cs="Times New Roman"/>
          <w:sz w:val="22"/>
        </w:rPr>
        <w:t xml:space="preserve">, </w:t>
      </w:r>
      <w:r>
        <w:rPr>
          <w:rFonts w:cs="Times New Roman"/>
          <w:sz w:val="22"/>
        </w:rPr>
        <w:t xml:space="preserve">which is a low score </w:t>
      </w:r>
      <w:r w:rsidRPr="001B1BC0">
        <w:rPr>
          <w:rFonts w:cs="Times New Roman"/>
          <w:sz w:val="22"/>
        </w:rPr>
        <w:t>(Table 11)</w:t>
      </w:r>
      <w:r w:rsidRPr="00CC0F75">
        <w:rPr>
          <w:rFonts w:cs="Times New Roman"/>
          <w:sz w:val="22"/>
        </w:rPr>
        <w:t>.</w:t>
      </w:r>
      <w:r>
        <w:rPr>
          <w:rFonts w:cs="Times New Roman"/>
          <w:sz w:val="22"/>
        </w:rPr>
        <w:t xml:space="preserve"> </w:t>
      </w:r>
      <w:r w:rsidRPr="00CC0F75">
        <w:rPr>
          <w:rFonts w:cs="Times New Roman"/>
          <w:sz w:val="22"/>
        </w:rPr>
        <w:t xml:space="preserve">So if there is interest in new FTAs, it behooves the authorities to investigate options beyond this group of countries, for instance, with East Asia or Middle </w:t>
      </w:r>
      <w:r w:rsidRPr="001B1BC0">
        <w:rPr>
          <w:rFonts w:cs="Times New Roman"/>
          <w:sz w:val="22"/>
        </w:rPr>
        <w:t>East</w:t>
      </w:r>
      <w:r w:rsidR="00A03E71">
        <w:rPr>
          <w:rFonts w:eastAsia="Times New Roman" w:cs="Times New Roman"/>
          <w:b/>
          <w:bCs/>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74"/>
        <w:gridCol w:w="774"/>
        <w:gridCol w:w="774"/>
        <w:gridCol w:w="774"/>
        <w:gridCol w:w="774"/>
        <w:gridCol w:w="774"/>
        <w:gridCol w:w="774"/>
        <w:gridCol w:w="774"/>
        <w:gridCol w:w="774"/>
        <w:gridCol w:w="774"/>
      </w:tblGrid>
      <w:tr w:rsidR="00FC4060" w:rsidRPr="00476396" w:rsidTr="009E7F84">
        <w:trPr>
          <w:jc w:val="center"/>
        </w:trPr>
        <w:tc>
          <w:tcPr>
            <w:tcW w:w="9378" w:type="dxa"/>
            <w:gridSpan w:val="11"/>
            <w:tcBorders>
              <w:bottom w:val="single" w:sz="4" w:space="0" w:color="auto"/>
            </w:tcBorders>
          </w:tcPr>
          <w:p w:rsidR="00FC4060" w:rsidRDefault="0056192E" w:rsidP="00F22C6E">
            <w:pPr>
              <w:pStyle w:val="Caption"/>
            </w:pPr>
            <w:bookmarkStart w:id="38" w:name="_Toc378151221"/>
            <w:r>
              <w:t xml:space="preserve">Table </w:t>
            </w:r>
            <w:fldSimple w:instr=" SEQ Table \* ARABIC ">
              <w:r>
                <w:rPr>
                  <w:noProof/>
                </w:rPr>
                <w:t>13</w:t>
              </w:r>
            </w:fldSimple>
            <w:r w:rsidR="006A6079">
              <w:t>:</w:t>
            </w:r>
            <w:r w:rsidR="00FC4060" w:rsidRPr="007C5678">
              <w:t xml:space="preserve"> Bi-lateral </w:t>
            </w:r>
            <w:r w:rsidR="009644A9" w:rsidRPr="007C5678">
              <w:t>Trade Complementarity Indices</w:t>
            </w:r>
            <w:bookmarkEnd w:id="38"/>
          </w:p>
          <w:p w:rsidR="003F4476" w:rsidRPr="003F4476" w:rsidRDefault="003F4476" w:rsidP="000D1653">
            <w:pPr>
              <w:spacing w:before="60" w:after="60" w:line="240" w:lineRule="auto"/>
              <w:jc w:val="center"/>
              <w:rPr>
                <w:sz w:val="20"/>
                <w:szCs w:val="20"/>
              </w:rPr>
            </w:pPr>
            <w:r w:rsidRPr="003F4476">
              <w:rPr>
                <w:sz w:val="20"/>
                <w:szCs w:val="20"/>
              </w:rPr>
              <w:t>(</w:t>
            </w:r>
            <w:r w:rsidR="00786508" w:rsidRPr="003F4476">
              <w:rPr>
                <w:sz w:val="20"/>
                <w:szCs w:val="20"/>
              </w:rPr>
              <w:t xml:space="preserve">Index </w:t>
            </w:r>
            <w:r w:rsidRPr="003F4476">
              <w:rPr>
                <w:sz w:val="20"/>
                <w:szCs w:val="20"/>
              </w:rPr>
              <w:t>range: 0-100)</w:t>
            </w:r>
          </w:p>
        </w:tc>
      </w:tr>
      <w:tr w:rsidR="00FC4060" w:rsidRPr="00476396" w:rsidTr="009E7F84">
        <w:trPr>
          <w:jc w:val="center"/>
        </w:trPr>
        <w:tc>
          <w:tcPr>
            <w:tcW w:w="1638" w:type="dxa"/>
            <w:tcBorders>
              <w:top w:val="single" w:sz="4" w:space="0" w:color="auto"/>
              <w:bottom w:val="single" w:sz="4" w:space="0" w:color="auto"/>
              <w:right w:val="single" w:sz="4" w:space="0" w:color="auto"/>
            </w:tcBorders>
            <w:vAlign w:val="center"/>
          </w:tcPr>
          <w:p w:rsidR="00FC4060" w:rsidRPr="00633B9B" w:rsidRDefault="003F4476" w:rsidP="003F4476">
            <w:pPr>
              <w:jc w:val="left"/>
              <w:rPr>
                <w:sz w:val="20"/>
                <w:szCs w:val="20"/>
              </w:rPr>
            </w:pPr>
            <w:r>
              <w:rPr>
                <w:sz w:val="20"/>
                <w:szCs w:val="20"/>
              </w:rPr>
              <w:t xml:space="preserve">From: </w:t>
            </w:r>
          </w:p>
        </w:tc>
        <w:tc>
          <w:tcPr>
            <w:tcW w:w="774" w:type="dxa"/>
            <w:tcBorders>
              <w:top w:val="single" w:sz="4" w:space="0" w:color="auto"/>
              <w:left w:val="single" w:sz="4" w:space="0" w:color="auto"/>
              <w:bottom w:val="single" w:sz="4" w:space="0" w:color="auto"/>
            </w:tcBorders>
            <w:vAlign w:val="center"/>
          </w:tcPr>
          <w:p w:rsidR="00FC4060" w:rsidRPr="00633B9B" w:rsidRDefault="00FC4060" w:rsidP="009E7F84">
            <w:pPr>
              <w:spacing w:before="60" w:after="60" w:line="240" w:lineRule="auto"/>
              <w:jc w:val="center"/>
              <w:rPr>
                <w:sz w:val="20"/>
                <w:szCs w:val="20"/>
              </w:rPr>
            </w:pPr>
            <w:r w:rsidRPr="00633B9B">
              <w:rPr>
                <w:sz w:val="20"/>
                <w:szCs w:val="20"/>
              </w:rPr>
              <w:t>AZE</w:t>
            </w:r>
          </w:p>
        </w:tc>
        <w:tc>
          <w:tcPr>
            <w:tcW w:w="774" w:type="dxa"/>
            <w:tcBorders>
              <w:top w:val="single" w:sz="4" w:space="0" w:color="auto"/>
              <w:bottom w:val="single" w:sz="4" w:space="0" w:color="auto"/>
            </w:tcBorders>
            <w:vAlign w:val="center"/>
          </w:tcPr>
          <w:p w:rsidR="00FC4060" w:rsidRPr="00633B9B" w:rsidRDefault="00FC4060" w:rsidP="009E7F84">
            <w:pPr>
              <w:spacing w:before="60" w:after="60" w:line="240" w:lineRule="auto"/>
              <w:jc w:val="center"/>
              <w:rPr>
                <w:sz w:val="20"/>
                <w:szCs w:val="20"/>
              </w:rPr>
            </w:pPr>
            <w:r w:rsidRPr="00633B9B">
              <w:rPr>
                <w:sz w:val="20"/>
                <w:szCs w:val="20"/>
              </w:rPr>
              <w:t>BLR</w:t>
            </w:r>
          </w:p>
        </w:tc>
        <w:tc>
          <w:tcPr>
            <w:tcW w:w="774" w:type="dxa"/>
            <w:tcBorders>
              <w:top w:val="single" w:sz="4" w:space="0" w:color="auto"/>
              <w:bottom w:val="single" w:sz="4" w:space="0" w:color="auto"/>
            </w:tcBorders>
            <w:vAlign w:val="center"/>
          </w:tcPr>
          <w:p w:rsidR="00FC4060" w:rsidRPr="00633B9B" w:rsidRDefault="00FC4060" w:rsidP="009E7F84">
            <w:pPr>
              <w:spacing w:before="60" w:after="60" w:line="240" w:lineRule="auto"/>
              <w:jc w:val="center"/>
              <w:rPr>
                <w:sz w:val="20"/>
                <w:szCs w:val="20"/>
              </w:rPr>
            </w:pPr>
            <w:r w:rsidRPr="00633B9B">
              <w:rPr>
                <w:sz w:val="20"/>
                <w:szCs w:val="20"/>
              </w:rPr>
              <w:t>CHN</w:t>
            </w:r>
          </w:p>
        </w:tc>
        <w:tc>
          <w:tcPr>
            <w:tcW w:w="774" w:type="dxa"/>
            <w:tcBorders>
              <w:top w:val="single" w:sz="4" w:space="0" w:color="auto"/>
              <w:bottom w:val="single" w:sz="4" w:space="0" w:color="auto"/>
            </w:tcBorders>
            <w:vAlign w:val="center"/>
          </w:tcPr>
          <w:p w:rsidR="00FC4060" w:rsidRPr="006C1601" w:rsidRDefault="00FC4060" w:rsidP="009E7F84">
            <w:pPr>
              <w:spacing w:before="60" w:after="60" w:line="240" w:lineRule="auto"/>
              <w:jc w:val="center"/>
              <w:rPr>
                <w:sz w:val="20"/>
                <w:szCs w:val="20"/>
              </w:rPr>
            </w:pPr>
            <w:r w:rsidRPr="006C1601">
              <w:rPr>
                <w:sz w:val="20"/>
                <w:szCs w:val="20"/>
              </w:rPr>
              <w:t>KAZ</w:t>
            </w:r>
          </w:p>
        </w:tc>
        <w:tc>
          <w:tcPr>
            <w:tcW w:w="774" w:type="dxa"/>
            <w:tcBorders>
              <w:top w:val="single" w:sz="4" w:space="0" w:color="auto"/>
              <w:bottom w:val="single" w:sz="4" w:space="0" w:color="auto"/>
            </w:tcBorders>
            <w:vAlign w:val="center"/>
          </w:tcPr>
          <w:p w:rsidR="00FC4060" w:rsidRPr="00633B9B" w:rsidRDefault="00FC4060" w:rsidP="009E7F84">
            <w:pPr>
              <w:spacing w:before="60" w:after="60" w:line="240" w:lineRule="auto"/>
              <w:jc w:val="center"/>
              <w:rPr>
                <w:sz w:val="20"/>
                <w:szCs w:val="20"/>
              </w:rPr>
            </w:pPr>
            <w:r w:rsidRPr="00633B9B">
              <w:rPr>
                <w:sz w:val="20"/>
                <w:szCs w:val="20"/>
              </w:rPr>
              <w:t>KRG</w:t>
            </w:r>
          </w:p>
        </w:tc>
        <w:tc>
          <w:tcPr>
            <w:tcW w:w="774" w:type="dxa"/>
            <w:tcBorders>
              <w:top w:val="single" w:sz="4" w:space="0" w:color="auto"/>
              <w:bottom w:val="single" w:sz="4" w:space="0" w:color="auto"/>
            </w:tcBorders>
            <w:vAlign w:val="center"/>
          </w:tcPr>
          <w:p w:rsidR="00FC4060" w:rsidRPr="00633B9B" w:rsidRDefault="00FC4060" w:rsidP="009E7F84">
            <w:pPr>
              <w:spacing w:before="60" w:after="60" w:line="240" w:lineRule="auto"/>
              <w:jc w:val="center"/>
              <w:rPr>
                <w:sz w:val="20"/>
                <w:szCs w:val="20"/>
              </w:rPr>
            </w:pPr>
            <w:r w:rsidRPr="00633B9B">
              <w:rPr>
                <w:sz w:val="20"/>
                <w:szCs w:val="20"/>
              </w:rPr>
              <w:t>MNG</w:t>
            </w:r>
          </w:p>
        </w:tc>
        <w:tc>
          <w:tcPr>
            <w:tcW w:w="774" w:type="dxa"/>
            <w:tcBorders>
              <w:top w:val="single" w:sz="4" w:space="0" w:color="auto"/>
              <w:bottom w:val="single" w:sz="4" w:space="0" w:color="auto"/>
            </w:tcBorders>
            <w:vAlign w:val="center"/>
          </w:tcPr>
          <w:p w:rsidR="00FC4060" w:rsidRPr="00633B9B" w:rsidRDefault="00FC4060" w:rsidP="009E7F84">
            <w:pPr>
              <w:spacing w:before="60" w:after="60" w:line="240" w:lineRule="auto"/>
              <w:jc w:val="center"/>
              <w:rPr>
                <w:sz w:val="20"/>
                <w:szCs w:val="20"/>
              </w:rPr>
            </w:pPr>
            <w:r w:rsidRPr="00633B9B">
              <w:rPr>
                <w:sz w:val="20"/>
                <w:szCs w:val="20"/>
              </w:rPr>
              <w:t>RUS</w:t>
            </w:r>
          </w:p>
        </w:tc>
        <w:tc>
          <w:tcPr>
            <w:tcW w:w="774" w:type="dxa"/>
            <w:tcBorders>
              <w:top w:val="single" w:sz="4" w:space="0" w:color="auto"/>
              <w:bottom w:val="single" w:sz="4" w:space="0" w:color="auto"/>
            </w:tcBorders>
            <w:vAlign w:val="center"/>
          </w:tcPr>
          <w:p w:rsidR="00FC4060" w:rsidRPr="00633B9B" w:rsidRDefault="00FC4060" w:rsidP="009E7F84">
            <w:pPr>
              <w:spacing w:before="60" w:after="60" w:line="240" w:lineRule="auto"/>
              <w:jc w:val="center"/>
              <w:rPr>
                <w:sz w:val="20"/>
                <w:szCs w:val="20"/>
              </w:rPr>
            </w:pPr>
            <w:r w:rsidRPr="00633B9B">
              <w:rPr>
                <w:sz w:val="20"/>
                <w:szCs w:val="20"/>
              </w:rPr>
              <w:t>TJK</w:t>
            </w:r>
          </w:p>
        </w:tc>
        <w:tc>
          <w:tcPr>
            <w:tcW w:w="774" w:type="dxa"/>
            <w:tcBorders>
              <w:top w:val="single" w:sz="4" w:space="0" w:color="auto"/>
              <w:bottom w:val="single" w:sz="4" w:space="0" w:color="auto"/>
            </w:tcBorders>
            <w:vAlign w:val="center"/>
          </w:tcPr>
          <w:p w:rsidR="00FC4060" w:rsidRPr="00633B9B" w:rsidRDefault="00FC4060" w:rsidP="009E7F84">
            <w:pPr>
              <w:spacing w:before="60" w:after="60" w:line="240" w:lineRule="auto"/>
              <w:jc w:val="center"/>
              <w:rPr>
                <w:sz w:val="20"/>
                <w:szCs w:val="20"/>
              </w:rPr>
            </w:pPr>
            <w:r w:rsidRPr="00633B9B">
              <w:rPr>
                <w:sz w:val="20"/>
                <w:szCs w:val="20"/>
              </w:rPr>
              <w:t>TKM</w:t>
            </w:r>
          </w:p>
        </w:tc>
        <w:tc>
          <w:tcPr>
            <w:tcW w:w="774" w:type="dxa"/>
            <w:tcBorders>
              <w:top w:val="single" w:sz="4" w:space="0" w:color="auto"/>
              <w:bottom w:val="single" w:sz="4" w:space="0" w:color="auto"/>
            </w:tcBorders>
            <w:vAlign w:val="center"/>
          </w:tcPr>
          <w:p w:rsidR="00FC4060" w:rsidRPr="00633B9B" w:rsidRDefault="00FC4060" w:rsidP="009E7F84">
            <w:pPr>
              <w:spacing w:before="60" w:after="60" w:line="240" w:lineRule="auto"/>
              <w:jc w:val="center"/>
              <w:rPr>
                <w:sz w:val="20"/>
                <w:szCs w:val="20"/>
              </w:rPr>
            </w:pPr>
            <w:r w:rsidRPr="00633B9B">
              <w:rPr>
                <w:sz w:val="20"/>
                <w:szCs w:val="20"/>
              </w:rPr>
              <w:t>UZB</w:t>
            </w:r>
          </w:p>
        </w:tc>
      </w:tr>
      <w:tr w:rsidR="00FC4060" w:rsidRPr="00476396" w:rsidTr="009E7F84">
        <w:trPr>
          <w:trHeight w:val="216"/>
          <w:jc w:val="center"/>
        </w:trPr>
        <w:tc>
          <w:tcPr>
            <w:tcW w:w="1638" w:type="dxa"/>
            <w:tcBorders>
              <w:top w:val="single" w:sz="4" w:space="0" w:color="auto"/>
              <w:right w:val="single" w:sz="4" w:space="0" w:color="auto"/>
            </w:tcBorders>
          </w:tcPr>
          <w:p w:rsidR="00FC4060" w:rsidRPr="00633B9B" w:rsidRDefault="00FC4060" w:rsidP="009E7F84">
            <w:pPr>
              <w:spacing w:line="240" w:lineRule="auto"/>
              <w:rPr>
                <w:sz w:val="20"/>
                <w:szCs w:val="20"/>
              </w:rPr>
            </w:pPr>
            <w:r w:rsidRPr="00633B9B">
              <w:rPr>
                <w:sz w:val="20"/>
                <w:szCs w:val="20"/>
              </w:rPr>
              <w:t>Azerbaijan</w:t>
            </w:r>
          </w:p>
        </w:tc>
        <w:tc>
          <w:tcPr>
            <w:tcW w:w="774" w:type="dxa"/>
            <w:tcBorders>
              <w:top w:val="single" w:sz="4" w:space="0" w:color="auto"/>
              <w:left w:val="single" w:sz="4" w:space="0" w:color="auto"/>
            </w:tcBorders>
            <w:shd w:val="clear" w:color="auto" w:fill="A6A6A6" w:themeFill="background1" w:themeFillShade="A6"/>
          </w:tcPr>
          <w:p w:rsidR="00FC4060" w:rsidRPr="00633B9B" w:rsidRDefault="00FC4060" w:rsidP="009E7F84">
            <w:pPr>
              <w:spacing w:line="240" w:lineRule="auto"/>
              <w:rPr>
                <w:sz w:val="20"/>
                <w:szCs w:val="20"/>
              </w:rPr>
            </w:pPr>
          </w:p>
        </w:tc>
        <w:tc>
          <w:tcPr>
            <w:tcW w:w="774" w:type="dxa"/>
            <w:tcBorders>
              <w:top w:val="single" w:sz="4" w:space="0" w:color="auto"/>
            </w:tcBorders>
            <w:vAlign w:val="center"/>
          </w:tcPr>
          <w:p w:rsidR="00FC4060" w:rsidRPr="00633B9B" w:rsidRDefault="00FC4060" w:rsidP="009E7F84">
            <w:pPr>
              <w:spacing w:line="240" w:lineRule="auto"/>
              <w:ind w:right="144"/>
              <w:jc w:val="right"/>
              <w:rPr>
                <w:sz w:val="20"/>
                <w:szCs w:val="20"/>
              </w:rPr>
            </w:pPr>
            <w:r w:rsidRPr="00633B9B">
              <w:rPr>
                <w:sz w:val="20"/>
                <w:szCs w:val="20"/>
              </w:rPr>
              <w:t>30.2</w:t>
            </w:r>
          </w:p>
        </w:tc>
        <w:tc>
          <w:tcPr>
            <w:tcW w:w="774" w:type="dxa"/>
            <w:tcBorders>
              <w:top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16.2</w:t>
            </w:r>
          </w:p>
        </w:tc>
        <w:tc>
          <w:tcPr>
            <w:tcW w:w="774" w:type="dxa"/>
            <w:tcBorders>
              <w:top w:val="single" w:sz="4" w:space="0" w:color="auto"/>
            </w:tcBorders>
          </w:tcPr>
          <w:p w:rsidR="00FC4060" w:rsidRPr="006C1601" w:rsidRDefault="00FC4060" w:rsidP="009E7F84">
            <w:pPr>
              <w:spacing w:line="240" w:lineRule="auto"/>
              <w:ind w:right="144"/>
              <w:jc w:val="right"/>
              <w:rPr>
                <w:sz w:val="20"/>
                <w:szCs w:val="20"/>
              </w:rPr>
            </w:pPr>
            <w:r w:rsidRPr="006C1601">
              <w:rPr>
                <w:sz w:val="20"/>
                <w:szCs w:val="20"/>
              </w:rPr>
              <w:t>11.2</w:t>
            </w:r>
          </w:p>
        </w:tc>
        <w:tc>
          <w:tcPr>
            <w:tcW w:w="774" w:type="dxa"/>
            <w:tcBorders>
              <w:top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5.6</w:t>
            </w:r>
          </w:p>
        </w:tc>
        <w:tc>
          <w:tcPr>
            <w:tcW w:w="774" w:type="dxa"/>
            <w:tcBorders>
              <w:top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5.8</w:t>
            </w:r>
          </w:p>
        </w:tc>
        <w:tc>
          <w:tcPr>
            <w:tcW w:w="774" w:type="dxa"/>
            <w:tcBorders>
              <w:top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3.9</w:t>
            </w:r>
          </w:p>
        </w:tc>
        <w:tc>
          <w:tcPr>
            <w:tcW w:w="774" w:type="dxa"/>
            <w:tcBorders>
              <w:top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8.9</w:t>
            </w:r>
          </w:p>
        </w:tc>
        <w:tc>
          <w:tcPr>
            <w:tcW w:w="774" w:type="dxa"/>
            <w:tcBorders>
              <w:top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3.1</w:t>
            </w:r>
          </w:p>
        </w:tc>
        <w:tc>
          <w:tcPr>
            <w:tcW w:w="774" w:type="dxa"/>
            <w:tcBorders>
              <w:top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8.3</w:t>
            </w:r>
          </w:p>
        </w:tc>
      </w:tr>
      <w:tr w:rsidR="00FC4060" w:rsidRPr="00476396" w:rsidTr="009E7F84">
        <w:trPr>
          <w:trHeight w:val="216"/>
          <w:jc w:val="center"/>
        </w:trPr>
        <w:tc>
          <w:tcPr>
            <w:tcW w:w="1638" w:type="dxa"/>
            <w:tcBorders>
              <w:right w:val="single" w:sz="4" w:space="0" w:color="auto"/>
            </w:tcBorders>
          </w:tcPr>
          <w:p w:rsidR="00FC4060" w:rsidRPr="00633B9B" w:rsidRDefault="00FC4060" w:rsidP="009E7F84">
            <w:pPr>
              <w:spacing w:line="240" w:lineRule="auto"/>
              <w:rPr>
                <w:sz w:val="20"/>
                <w:szCs w:val="20"/>
              </w:rPr>
            </w:pPr>
            <w:r w:rsidRPr="00633B9B">
              <w:rPr>
                <w:sz w:val="20"/>
                <w:szCs w:val="20"/>
              </w:rPr>
              <w:t>Belarus</w:t>
            </w:r>
          </w:p>
        </w:tc>
        <w:tc>
          <w:tcPr>
            <w:tcW w:w="774" w:type="dxa"/>
            <w:tcBorders>
              <w:left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16.9</w:t>
            </w:r>
          </w:p>
        </w:tc>
        <w:tc>
          <w:tcPr>
            <w:tcW w:w="774" w:type="dxa"/>
            <w:shd w:val="clear" w:color="auto" w:fill="A6A6A6" w:themeFill="background1" w:themeFillShade="A6"/>
          </w:tcPr>
          <w:p w:rsidR="00FC4060" w:rsidRPr="00633B9B" w:rsidRDefault="00FC4060" w:rsidP="009E7F84">
            <w:pPr>
              <w:spacing w:line="240" w:lineRule="auto"/>
              <w:ind w:right="144"/>
              <w:jc w:val="right"/>
              <w:rPr>
                <w:sz w:val="20"/>
                <w:szCs w:val="20"/>
              </w:rPr>
            </w:pPr>
          </w:p>
        </w:tc>
        <w:tc>
          <w:tcPr>
            <w:tcW w:w="774" w:type="dxa"/>
          </w:tcPr>
          <w:p w:rsidR="00FC4060" w:rsidRPr="00633B9B" w:rsidRDefault="00FC4060" w:rsidP="009E7F84">
            <w:pPr>
              <w:spacing w:line="240" w:lineRule="auto"/>
              <w:ind w:right="144"/>
              <w:jc w:val="right"/>
              <w:rPr>
                <w:sz w:val="20"/>
                <w:szCs w:val="20"/>
              </w:rPr>
            </w:pPr>
            <w:r w:rsidRPr="00633B9B">
              <w:rPr>
                <w:sz w:val="20"/>
                <w:szCs w:val="20"/>
              </w:rPr>
              <w:t>12.3</w:t>
            </w:r>
          </w:p>
        </w:tc>
        <w:tc>
          <w:tcPr>
            <w:tcW w:w="774" w:type="dxa"/>
          </w:tcPr>
          <w:p w:rsidR="00FC4060" w:rsidRPr="006C1601" w:rsidRDefault="00FC4060" w:rsidP="009E7F84">
            <w:pPr>
              <w:spacing w:line="240" w:lineRule="auto"/>
              <w:ind w:right="144"/>
              <w:jc w:val="right"/>
              <w:rPr>
                <w:sz w:val="20"/>
                <w:szCs w:val="20"/>
              </w:rPr>
            </w:pPr>
            <w:r w:rsidRPr="006C1601">
              <w:rPr>
                <w:sz w:val="20"/>
                <w:szCs w:val="20"/>
              </w:rPr>
              <w:t>18.3</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16.6</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32.2</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12.6</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21.7</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15.7</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16.5</w:t>
            </w:r>
          </w:p>
        </w:tc>
      </w:tr>
      <w:tr w:rsidR="00FC4060" w:rsidRPr="00476396" w:rsidTr="009E7F84">
        <w:trPr>
          <w:trHeight w:val="216"/>
          <w:jc w:val="center"/>
        </w:trPr>
        <w:tc>
          <w:tcPr>
            <w:tcW w:w="1638" w:type="dxa"/>
            <w:tcBorders>
              <w:right w:val="single" w:sz="4" w:space="0" w:color="auto"/>
            </w:tcBorders>
          </w:tcPr>
          <w:p w:rsidR="00FC4060" w:rsidRPr="00633B9B" w:rsidRDefault="00FC4060" w:rsidP="009E7F84">
            <w:pPr>
              <w:spacing w:line="240" w:lineRule="auto"/>
              <w:rPr>
                <w:sz w:val="20"/>
                <w:szCs w:val="20"/>
              </w:rPr>
            </w:pPr>
            <w:r w:rsidRPr="00633B9B">
              <w:rPr>
                <w:sz w:val="20"/>
                <w:szCs w:val="20"/>
              </w:rPr>
              <w:t>China</w:t>
            </w:r>
          </w:p>
        </w:tc>
        <w:tc>
          <w:tcPr>
            <w:tcW w:w="774" w:type="dxa"/>
            <w:tcBorders>
              <w:left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29.3</w:t>
            </w:r>
          </w:p>
        </w:tc>
        <w:tc>
          <w:tcPr>
            <w:tcW w:w="774" w:type="dxa"/>
            <w:vAlign w:val="center"/>
          </w:tcPr>
          <w:p w:rsidR="00FC4060" w:rsidRPr="00633B9B" w:rsidRDefault="00FC4060" w:rsidP="009E7F84">
            <w:pPr>
              <w:spacing w:line="240" w:lineRule="auto"/>
              <w:ind w:right="144"/>
              <w:jc w:val="right"/>
              <w:rPr>
                <w:sz w:val="20"/>
                <w:szCs w:val="20"/>
              </w:rPr>
            </w:pPr>
            <w:r w:rsidRPr="00633B9B">
              <w:rPr>
                <w:sz w:val="20"/>
                <w:szCs w:val="20"/>
              </w:rPr>
              <w:t>24.5</w:t>
            </w:r>
          </w:p>
        </w:tc>
        <w:tc>
          <w:tcPr>
            <w:tcW w:w="774" w:type="dxa"/>
            <w:shd w:val="clear" w:color="auto" w:fill="A6A6A6" w:themeFill="background1" w:themeFillShade="A6"/>
          </w:tcPr>
          <w:p w:rsidR="00FC4060" w:rsidRPr="00633B9B" w:rsidRDefault="00FC4060" w:rsidP="009E7F84">
            <w:pPr>
              <w:spacing w:line="240" w:lineRule="auto"/>
              <w:rPr>
                <w:sz w:val="20"/>
                <w:szCs w:val="20"/>
              </w:rPr>
            </w:pPr>
          </w:p>
        </w:tc>
        <w:tc>
          <w:tcPr>
            <w:tcW w:w="774" w:type="dxa"/>
          </w:tcPr>
          <w:p w:rsidR="00FC4060" w:rsidRPr="006C1601" w:rsidRDefault="00FC4060" w:rsidP="009E7F84">
            <w:pPr>
              <w:spacing w:line="240" w:lineRule="auto"/>
              <w:ind w:right="144"/>
              <w:jc w:val="right"/>
              <w:rPr>
                <w:sz w:val="20"/>
                <w:szCs w:val="20"/>
              </w:rPr>
            </w:pPr>
            <w:r w:rsidRPr="006C1601">
              <w:rPr>
                <w:sz w:val="20"/>
                <w:szCs w:val="20"/>
              </w:rPr>
              <w:t>31.5</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18.4</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22.4</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39.1</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20.2</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24.3</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23.3</w:t>
            </w:r>
          </w:p>
        </w:tc>
      </w:tr>
      <w:tr w:rsidR="00FC4060" w:rsidRPr="00476396" w:rsidTr="009E7F84">
        <w:trPr>
          <w:trHeight w:val="216"/>
          <w:jc w:val="center"/>
        </w:trPr>
        <w:tc>
          <w:tcPr>
            <w:tcW w:w="1638" w:type="dxa"/>
            <w:tcBorders>
              <w:right w:val="single" w:sz="4" w:space="0" w:color="auto"/>
            </w:tcBorders>
          </w:tcPr>
          <w:p w:rsidR="00FC4060" w:rsidRPr="00633B9B" w:rsidRDefault="00FC4060" w:rsidP="009E7F84">
            <w:pPr>
              <w:spacing w:line="240" w:lineRule="auto"/>
              <w:rPr>
                <w:sz w:val="20"/>
                <w:szCs w:val="20"/>
              </w:rPr>
            </w:pPr>
            <w:r w:rsidRPr="00633B9B">
              <w:rPr>
                <w:b/>
                <w:sz w:val="20"/>
                <w:szCs w:val="20"/>
              </w:rPr>
              <w:t>Kazakhsta</w:t>
            </w:r>
            <w:r w:rsidRPr="00633B9B">
              <w:rPr>
                <w:sz w:val="20"/>
                <w:szCs w:val="20"/>
              </w:rPr>
              <w:t>n</w:t>
            </w:r>
          </w:p>
        </w:tc>
        <w:tc>
          <w:tcPr>
            <w:tcW w:w="774" w:type="dxa"/>
            <w:tcBorders>
              <w:left w:val="single" w:sz="4" w:space="0" w:color="auto"/>
            </w:tcBorders>
          </w:tcPr>
          <w:p w:rsidR="00FC4060" w:rsidRPr="006C1601" w:rsidRDefault="00FC4060" w:rsidP="009E7F84">
            <w:pPr>
              <w:spacing w:line="240" w:lineRule="auto"/>
              <w:ind w:right="144"/>
              <w:jc w:val="right"/>
              <w:rPr>
                <w:sz w:val="20"/>
                <w:szCs w:val="20"/>
              </w:rPr>
            </w:pPr>
            <w:r w:rsidRPr="006C1601">
              <w:rPr>
                <w:sz w:val="20"/>
                <w:szCs w:val="20"/>
              </w:rPr>
              <w:t>5.7</w:t>
            </w:r>
          </w:p>
        </w:tc>
        <w:tc>
          <w:tcPr>
            <w:tcW w:w="774" w:type="dxa"/>
            <w:vAlign w:val="center"/>
          </w:tcPr>
          <w:p w:rsidR="00FC4060" w:rsidRPr="006C1601" w:rsidRDefault="00FC4060" w:rsidP="009E7F84">
            <w:pPr>
              <w:spacing w:line="240" w:lineRule="auto"/>
              <w:ind w:right="144"/>
              <w:jc w:val="right"/>
              <w:rPr>
                <w:sz w:val="20"/>
                <w:szCs w:val="20"/>
              </w:rPr>
            </w:pPr>
            <w:r w:rsidRPr="006C1601">
              <w:rPr>
                <w:sz w:val="20"/>
                <w:szCs w:val="20"/>
              </w:rPr>
              <w:t>35.2</w:t>
            </w:r>
          </w:p>
        </w:tc>
        <w:tc>
          <w:tcPr>
            <w:tcW w:w="774" w:type="dxa"/>
          </w:tcPr>
          <w:p w:rsidR="00FC4060" w:rsidRPr="006C1601" w:rsidRDefault="00FC4060" w:rsidP="009E7F84">
            <w:pPr>
              <w:spacing w:line="240" w:lineRule="auto"/>
              <w:ind w:right="144"/>
              <w:jc w:val="right"/>
              <w:rPr>
                <w:sz w:val="20"/>
                <w:szCs w:val="20"/>
              </w:rPr>
            </w:pPr>
            <w:r w:rsidRPr="006C1601">
              <w:rPr>
                <w:sz w:val="20"/>
                <w:szCs w:val="20"/>
              </w:rPr>
              <w:t>23.9</w:t>
            </w:r>
          </w:p>
        </w:tc>
        <w:tc>
          <w:tcPr>
            <w:tcW w:w="774" w:type="dxa"/>
            <w:shd w:val="clear" w:color="auto" w:fill="A6A6A6" w:themeFill="background1" w:themeFillShade="A6"/>
          </w:tcPr>
          <w:p w:rsidR="00FC4060" w:rsidRPr="006C1601" w:rsidRDefault="00FC4060" w:rsidP="009E7F84">
            <w:pPr>
              <w:spacing w:line="240" w:lineRule="auto"/>
              <w:rPr>
                <w:sz w:val="20"/>
                <w:szCs w:val="20"/>
              </w:rPr>
            </w:pPr>
          </w:p>
        </w:tc>
        <w:tc>
          <w:tcPr>
            <w:tcW w:w="774" w:type="dxa"/>
          </w:tcPr>
          <w:p w:rsidR="00FC4060" w:rsidRPr="006C1601" w:rsidRDefault="00FC4060" w:rsidP="009E7F84">
            <w:pPr>
              <w:spacing w:line="240" w:lineRule="auto"/>
              <w:ind w:right="144"/>
              <w:jc w:val="right"/>
              <w:rPr>
                <w:sz w:val="20"/>
                <w:szCs w:val="20"/>
              </w:rPr>
            </w:pPr>
            <w:r w:rsidRPr="006C1601">
              <w:rPr>
                <w:sz w:val="20"/>
                <w:szCs w:val="20"/>
              </w:rPr>
              <w:t>8.1</w:t>
            </w:r>
          </w:p>
        </w:tc>
        <w:tc>
          <w:tcPr>
            <w:tcW w:w="774" w:type="dxa"/>
          </w:tcPr>
          <w:p w:rsidR="00FC4060" w:rsidRPr="006C1601" w:rsidRDefault="00FC4060" w:rsidP="009E7F84">
            <w:pPr>
              <w:spacing w:line="240" w:lineRule="auto"/>
              <w:ind w:right="144"/>
              <w:jc w:val="right"/>
              <w:rPr>
                <w:sz w:val="20"/>
                <w:szCs w:val="20"/>
              </w:rPr>
            </w:pPr>
            <w:r w:rsidRPr="006C1601">
              <w:rPr>
                <w:sz w:val="20"/>
                <w:szCs w:val="20"/>
              </w:rPr>
              <w:t>7.5</w:t>
            </w:r>
          </w:p>
        </w:tc>
        <w:tc>
          <w:tcPr>
            <w:tcW w:w="774" w:type="dxa"/>
          </w:tcPr>
          <w:p w:rsidR="00FC4060" w:rsidRPr="006C1601" w:rsidRDefault="00FC4060" w:rsidP="009E7F84">
            <w:pPr>
              <w:spacing w:line="240" w:lineRule="auto"/>
              <w:ind w:right="144"/>
              <w:jc w:val="right"/>
              <w:rPr>
                <w:sz w:val="20"/>
                <w:szCs w:val="20"/>
              </w:rPr>
            </w:pPr>
            <w:r w:rsidRPr="006C1601">
              <w:rPr>
                <w:sz w:val="20"/>
                <w:szCs w:val="20"/>
              </w:rPr>
              <w:t>6.0</w:t>
            </w:r>
          </w:p>
        </w:tc>
        <w:tc>
          <w:tcPr>
            <w:tcW w:w="774" w:type="dxa"/>
          </w:tcPr>
          <w:p w:rsidR="00FC4060" w:rsidRPr="006C1601" w:rsidRDefault="00FC4060" w:rsidP="009E7F84">
            <w:pPr>
              <w:spacing w:line="240" w:lineRule="auto"/>
              <w:ind w:right="144"/>
              <w:jc w:val="right"/>
              <w:rPr>
                <w:sz w:val="20"/>
                <w:szCs w:val="20"/>
              </w:rPr>
            </w:pPr>
            <w:r w:rsidRPr="006C1601">
              <w:rPr>
                <w:sz w:val="20"/>
                <w:szCs w:val="20"/>
              </w:rPr>
              <w:t>12.2</w:t>
            </w:r>
          </w:p>
        </w:tc>
        <w:tc>
          <w:tcPr>
            <w:tcW w:w="774" w:type="dxa"/>
          </w:tcPr>
          <w:p w:rsidR="00FC4060" w:rsidRPr="006C1601" w:rsidRDefault="00FC4060" w:rsidP="009E7F84">
            <w:pPr>
              <w:spacing w:line="240" w:lineRule="auto"/>
              <w:ind w:right="144"/>
              <w:jc w:val="right"/>
              <w:rPr>
                <w:sz w:val="20"/>
                <w:szCs w:val="20"/>
              </w:rPr>
            </w:pPr>
            <w:r w:rsidRPr="006C1601">
              <w:rPr>
                <w:sz w:val="20"/>
                <w:szCs w:val="20"/>
              </w:rPr>
              <w:t>3.7</w:t>
            </w:r>
          </w:p>
        </w:tc>
        <w:tc>
          <w:tcPr>
            <w:tcW w:w="774" w:type="dxa"/>
          </w:tcPr>
          <w:p w:rsidR="00FC4060" w:rsidRPr="006C1601" w:rsidRDefault="00FC4060" w:rsidP="009E7F84">
            <w:pPr>
              <w:spacing w:line="240" w:lineRule="auto"/>
              <w:ind w:right="144"/>
              <w:jc w:val="right"/>
              <w:rPr>
                <w:sz w:val="20"/>
                <w:szCs w:val="20"/>
              </w:rPr>
            </w:pPr>
            <w:r w:rsidRPr="006C1601">
              <w:rPr>
                <w:sz w:val="20"/>
                <w:szCs w:val="20"/>
              </w:rPr>
              <w:t>11.3</w:t>
            </w:r>
          </w:p>
        </w:tc>
      </w:tr>
      <w:tr w:rsidR="00FC4060" w:rsidRPr="00476396" w:rsidTr="009E7F84">
        <w:trPr>
          <w:trHeight w:val="216"/>
          <w:jc w:val="center"/>
        </w:trPr>
        <w:tc>
          <w:tcPr>
            <w:tcW w:w="1638" w:type="dxa"/>
            <w:tcBorders>
              <w:right w:val="single" w:sz="4" w:space="0" w:color="auto"/>
            </w:tcBorders>
          </w:tcPr>
          <w:p w:rsidR="00FC4060" w:rsidRPr="00633B9B" w:rsidRDefault="00FC4060" w:rsidP="009E7F84">
            <w:pPr>
              <w:spacing w:line="240" w:lineRule="auto"/>
              <w:rPr>
                <w:sz w:val="20"/>
                <w:szCs w:val="20"/>
              </w:rPr>
            </w:pPr>
            <w:r w:rsidRPr="00633B9B">
              <w:rPr>
                <w:sz w:val="20"/>
                <w:szCs w:val="20"/>
              </w:rPr>
              <w:t>Kyrgyz Rep</w:t>
            </w:r>
            <w:r w:rsidR="00ED6340">
              <w:rPr>
                <w:sz w:val="20"/>
                <w:szCs w:val="20"/>
              </w:rPr>
              <w:t>ublic</w:t>
            </w:r>
          </w:p>
        </w:tc>
        <w:tc>
          <w:tcPr>
            <w:tcW w:w="774" w:type="dxa"/>
            <w:tcBorders>
              <w:left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11.4</w:t>
            </w:r>
          </w:p>
        </w:tc>
        <w:tc>
          <w:tcPr>
            <w:tcW w:w="774" w:type="dxa"/>
            <w:vAlign w:val="center"/>
          </w:tcPr>
          <w:p w:rsidR="00FC4060" w:rsidRPr="00633B9B" w:rsidRDefault="00FC4060" w:rsidP="009E7F84">
            <w:pPr>
              <w:spacing w:line="240" w:lineRule="auto"/>
              <w:ind w:right="144"/>
              <w:jc w:val="right"/>
              <w:rPr>
                <w:sz w:val="20"/>
                <w:szCs w:val="20"/>
              </w:rPr>
            </w:pPr>
            <w:r w:rsidRPr="00633B9B">
              <w:rPr>
                <w:sz w:val="20"/>
                <w:szCs w:val="20"/>
              </w:rPr>
              <w:t>9.2</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7.9</w:t>
            </w:r>
          </w:p>
        </w:tc>
        <w:tc>
          <w:tcPr>
            <w:tcW w:w="774" w:type="dxa"/>
          </w:tcPr>
          <w:p w:rsidR="00FC4060" w:rsidRPr="006C1601" w:rsidRDefault="00FC4060" w:rsidP="009E7F84">
            <w:pPr>
              <w:spacing w:line="240" w:lineRule="auto"/>
              <w:ind w:right="144"/>
              <w:jc w:val="right"/>
              <w:rPr>
                <w:sz w:val="20"/>
                <w:szCs w:val="20"/>
              </w:rPr>
            </w:pPr>
            <w:r w:rsidRPr="006C1601">
              <w:rPr>
                <w:sz w:val="20"/>
                <w:szCs w:val="20"/>
              </w:rPr>
              <w:t>11.8</w:t>
            </w:r>
          </w:p>
        </w:tc>
        <w:tc>
          <w:tcPr>
            <w:tcW w:w="774" w:type="dxa"/>
            <w:shd w:val="clear" w:color="auto" w:fill="A6A6A6" w:themeFill="background1" w:themeFillShade="A6"/>
          </w:tcPr>
          <w:p w:rsidR="00FC4060" w:rsidRPr="00633B9B" w:rsidRDefault="00FC4060" w:rsidP="009E7F84">
            <w:pPr>
              <w:spacing w:line="240" w:lineRule="auto"/>
              <w:rPr>
                <w:sz w:val="20"/>
                <w:szCs w:val="20"/>
              </w:rPr>
            </w:pPr>
          </w:p>
        </w:tc>
        <w:tc>
          <w:tcPr>
            <w:tcW w:w="774" w:type="dxa"/>
          </w:tcPr>
          <w:p w:rsidR="00FC4060" w:rsidRPr="00633B9B" w:rsidRDefault="00FC4060" w:rsidP="009E7F84">
            <w:pPr>
              <w:spacing w:line="240" w:lineRule="auto"/>
              <w:ind w:right="144"/>
              <w:jc w:val="right"/>
              <w:rPr>
                <w:sz w:val="20"/>
                <w:szCs w:val="20"/>
              </w:rPr>
            </w:pPr>
            <w:r w:rsidRPr="00633B9B">
              <w:rPr>
                <w:sz w:val="20"/>
                <w:szCs w:val="20"/>
              </w:rPr>
              <w:t>9.0</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 xml:space="preserve">11.7 </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9.34</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7.7</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7.6</w:t>
            </w:r>
          </w:p>
        </w:tc>
      </w:tr>
      <w:tr w:rsidR="00FC4060" w:rsidRPr="00476396" w:rsidTr="009E7F84">
        <w:trPr>
          <w:trHeight w:val="216"/>
          <w:jc w:val="center"/>
        </w:trPr>
        <w:tc>
          <w:tcPr>
            <w:tcW w:w="1638" w:type="dxa"/>
            <w:tcBorders>
              <w:right w:val="single" w:sz="4" w:space="0" w:color="auto"/>
            </w:tcBorders>
          </w:tcPr>
          <w:p w:rsidR="00FC4060" w:rsidRPr="00633B9B" w:rsidRDefault="00FC4060" w:rsidP="009E7F84">
            <w:pPr>
              <w:spacing w:line="240" w:lineRule="auto"/>
              <w:rPr>
                <w:sz w:val="20"/>
                <w:szCs w:val="20"/>
              </w:rPr>
            </w:pPr>
            <w:r w:rsidRPr="00633B9B">
              <w:rPr>
                <w:sz w:val="20"/>
                <w:szCs w:val="20"/>
              </w:rPr>
              <w:t>Mongolia</w:t>
            </w:r>
          </w:p>
        </w:tc>
        <w:tc>
          <w:tcPr>
            <w:tcW w:w="774" w:type="dxa"/>
            <w:tcBorders>
              <w:left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1.6</w:t>
            </w:r>
          </w:p>
        </w:tc>
        <w:tc>
          <w:tcPr>
            <w:tcW w:w="774" w:type="dxa"/>
            <w:vAlign w:val="center"/>
          </w:tcPr>
          <w:p w:rsidR="00FC4060" w:rsidRPr="00633B9B" w:rsidRDefault="00FC4060" w:rsidP="009E7F84">
            <w:pPr>
              <w:spacing w:line="240" w:lineRule="auto"/>
              <w:ind w:right="144"/>
              <w:jc w:val="right"/>
              <w:rPr>
                <w:sz w:val="20"/>
                <w:szCs w:val="20"/>
              </w:rPr>
            </w:pPr>
            <w:r w:rsidRPr="00633B9B">
              <w:rPr>
                <w:sz w:val="20"/>
                <w:szCs w:val="20"/>
              </w:rPr>
              <w:t>6.9</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16.5</w:t>
            </w:r>
          </w:p>
        </w:tc>
        <w:tc>
          <w:tcPr>
            <w:tcW w:w="774" w:type="dxa"/>
          </w:tcPr>
          <w:p w:rsidR="00FC4060" w:rsidRPr="006C1601" w:rsidRDefault="00FC4060" w:rsidP="009E7F84">
            <w:pPr>
              <w:spacing w:line="240" w:lineRule="auto"/>
              <w:ind w:right="144"/>
              <w:jc w:val="right"/>
              <w:rPr>
                <w:sz w:val="20"/>
                <w:szCs w:val="20"/>
              </w:rPr>
            </w:pPr>
            <w:r w:rsidRPr="006C1601">
              <w:rPr>
                <w:sz w:val="20"/>
                <w:szCs w:val="20"/>
              </w:rPr>
              <w:t>8.1</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2.2</w:t>
            </w:r>
          </w:p>
        </w:tc>
        <w:tc>
          <w:tcPr>
            <w:tcW w:w="774" w:type="dxa"/>
            <w:shd w:val="clear" w:color="auto" w:fill="A6A6A6" w:themeFill="background1" w:themeFillShade="A6"/>
          </w:tcPr>
          <w:p w:rsidR="00FC4060" w:rsidRPr="00633B9B" w:rsidRDefault="00FC4060" w:rsidP="009E7F84">
            <w:pPr>
              <w:spacing w:line="240" w:lineRule="auto"/>
              <w:ind w:right="144"/>
              <w:jc w:val="right"/>
              <w:rPr>
                <w:sz w:val="20"/>
                <w:szCs w:val="20"/>
              </w:rPr>
            </w:pPr>
          </w:p>
        </w:tc>
        <w:tc>
          <w:tcPr>
            <w:tcW w:w="774" w:type="dxa"/>
          </w:tcPr>
          <w:p w:rsidR="00FC4060" w:rsidRPr="00633B9B" w:rsidRDefault="00FC4060" w:rsidP="009E7F84">
            <w:pPr>
              <w:spacing w:line="240" w:lineRule="auto"/>
              <w:ind w:right="144"/>
              <w:jc w:val="right"/>
              <w:rPr>
                <w:sz w:val="20"/>
                <w:szCs w:val="20"/>
              </w:rPr>
            </w:pPr>
            <w:r w:rsidRPr="00633B9B">
              <w:rPr>
                <w:sz w:val="20"/>
                <w:szCs w:val="20"/>
              </w:rPr>
              <w:t>2.7</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4.6</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1.2</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6.1</w:t>
            </w:r>
          </w:p>
        </w:tc>
      </w:tr>
      <w:tr w:rsidR="00FC4060" w:rsidRPr="00476396" w:rsidTr="009E7F84">
        <w:trPr>
          <w:trHeight w:val="216"/>
          <w:jc w:val="center"/>
        </w:trPr>
        <w:tc>
          <w:tcPr>
            <w:tcW w:w="1638" w:type="dxa"/>
            <w:tcBorders>
              <w:right w:val="single" w:sz="4" w:space="0" w:color="auto"/>
            </w:tcBorders>
          </w:tcPr>
          <w:p w:rsidR="00FC4060" w:rsidRPr="00633B9B" w:rsidRDefault="00FC4060" w:rsidP="009E7F84">
            <w:pPr>
              <w:spacing w:line="240" w:lineRule="auto"/>
              <w:rPr>
                <w:sz w:val="20"/>
                <w:szCs w:val="20"/>
              </w:rPr>
            </w:pPr>
            <w:r w:rsidRPr="00633B9B">
              <w:rPr>
                <w:sz w:val="20"/>
                <w:szCs w:val="20"/>
              </w:rPr>
              <w:t>Russia</w:t>
            </w:r>
          </w:p>
        </w:tc>
        <w:tc>
          <w:tcPr>
            <w:tcW w:w="774" w:type="dxa"/>
            <w:tcBorders>
              <w:left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10.7</w:t>
            </w:r>
          </w:p>
        </w:tc>
        <w:tc>
          <w:tcPr>
            <w:tcW w:w="774" w:type="dxa"/>
            <w:vAlign w:val="center"/>
          </w:tcPr>
          <w:p w:rsidR="00FC4060" w:rsidRPr="00633B9B" w:rsidRDefault="00FC4060" w:rsidP="009E7F84">
            <w:pPr>
              <w:spacing w:line="240" w:lineRule="auto"/>
              <w:ind w:right="144"/>
              <w:jc w:val="right"/>
              <w:rPr>
                <w:sz w:val="20"/>
                <w:szCs w:val="20"/>
              </w:rPr>
            </w:pPr>
            <w:r w:rsidRPr="00633B9B">
              <w:rPr>
                <w:sz w:val="20"/>
                <w:szCs w:val="20"/>
              </w:rPr>
              <w:t>48.0</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27.4</w:t>
            </w:r>
          </w:p>
        </w:tc>
        <w:tc>
          <w:tcPr>
            <w:tcW w:w="774" w:type="dxa"/>
          </w:tcPr>
          <w:p w:rsidR="00FC4060" w:rsidRPr="006C1601" w:rsidRDefault="00FC4060" w:rsidP="009E7F84">
            <w:pPr>
              <w:spacing w:line="240" w:lineRule="auto"/>
              <w:ind w:right="144"/>
              <w:jc w:val="right"/>
              <w:rPr>
                <w:sz w:val="20"/>
                <w:szCs w:val="20"/>
              </w:rPr>
            </w:pPr>
            <w:r w:rsidRPr="006C1601">
              <w:rPr>
                <w:sz w:val="20"/>
                <w:szCs w:val="20"/>
              </w:rPr>
              <w:t>17.8</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15.1</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23.9</w:t>
            </w:r>
          </w:p>
        </w:tc>
        <w:tc>
          <w:tcPr>
            <w:tcW w:w="774" w:type="dxa"/>
            <w:shd w:val="clear" w:color="auto" w:fill="A6A6A6" w:themeFill="background1" w:themeFillShade="A6"/>
          </w:tcPr>
          <w:p w:rsidR="00FC4060" w:rsidRPr="00633B9B" w:rsidRDefault="00FC4060" w:rsidP="009E7F84">
            <w:pPr>
              <w:spacing w:line="240" w:lineRule="auto"/>
              <w:ind w:right="144"/>
              <w:jc w:val="right"/>
              <w:rPr>
                <w:sz w:val="20"/>
                <w:szCs w:val="20"/>
              </w:rPr>
            </w:pPr>
          </w:p>
        </w:tc>
        <w:tc>
          <w:tcPr>
            <w:tcW w:w="774" w:type="dxa"/>
          </w:tcPr>
          <w:p w:rsidR="00FC4060" w:rsidRPr="00633B9B" w:rsidRDefault="00FC4060" w:rsidP="009E7F84">
            <w:pPr>
              <w:spacing w:line="240" w:lineRule="auto"/>
              <w:ind w:right="144"/>
              <w:jc w:val="right"/>
              <w:rPr>
                <w:sz w:val="20"/>
                <w:szCs w:val="20"/>
              </w:rPr>
            </w:pPr>
            <w:r w:rsidRPr="00633B9B">
              <w:rPr>
                <w:sz w:val="20"/>
                <w:szCs w:val="20"/>
              </w:rPr>
              <w:t>19.8</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8.3</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16.6</w:t>
            </w:r>
          </w:p>
        </w:tc>
      </w:tr>
      <w:tr w:rsidR="00FC4060" w:rsidRPr="00476396" w:rsidTr="009E7F84">
        <w:trPr>
          <w:trHeight w:val="216"/>
          <w:jc w:val="center"/>
        </w:trPr>
        <w:tc>
          <w:tcPr>
            <w:tcW w:w="1638" w:type="dxa"/>
            <w:tcBorders>
              <w:right w:val="single" w:sz="4" w:space="0" w:color="auto"/>
            </w:tcBorders>
          </w:tcPr>
          <w:p w:rsidR="00FC4060" w:rsidRPr="00633B9B" w:rsidRDefault="00FC4060" w:rsidP="009E7F84">
            <w:pPr>
              <w:spacing w:line="240" w:lineRule="auto"/>
              <w:rPr>
                <w:sz w:val="20"/>
                <w:szCs w:val="20"/>
              </w:rPr>
            </w:pPr>
            <w:r w:rsidRPr="00633B9B">
              <w:rPr>
                <w:sz w:val="20"/>
                <w:szCs w:val="20"/>
              </w:rPr>
              <w:t>Tajikistan</w:t>
            </w:r>
          </w:p>
        </w:tc>
        <w:tc>
          <w:tcPr>
            <w:tcW w:w="774" w:type="dxa"/>
            <w:tcBorders>
              <w:left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5.7</w:t>
            </w:r>
          </w:p>
        </w:tc>
        <w:tc>
          <w:tcPr>
            <w:tcW w:w="774" w:type="dxa"/>
            <w:vAlign w:val="center"/>
          </w:tcPr>
          <w:p w:rsidR="00FC4060" w:rsidRPr="00633B9B" w:rsidRDefault="00FC4060" w:rsidP="009E7F84">
            <w:pPr>
              <w:spacing w:line="240" w:lineRule="auto"/>
              <w:ind w:right="144"/>
              <w:jc w:val="right"/>
              <w:rPr>
                <w:sz w:val="20"/>
                <w:szCs w:val="20"/>
              </w:rPr>
            </w:pPr>
            <w:r w:rsidRPr="00633B9B">
              <w:rPr>
                <w:sz w:val="20"/>
                <w:szCs w:val="20"/>
              </w:rPr>
              <w:t>4.9</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5.1</w:t>
            </w:r>
          </w:p>
        </w:tc>
        <w:tc>
          <w:tcPr>
            <w:tcW w:w="774" w:type="dxa"/>
          </w:tcPr>
          <w:p w:rsidR="00FC4060" w:rsidRPr="006C1601" w:rsidRDefault="00FC4060" w:rsidP="009E7F84">
            <w:pPr>
              <w:spacing w:line="240" w:lineRule="auto"/>
              <w:ind w:right="144"/>
              <w:jc w:val="right"/>
              <w:rPr>
                <w:sz w:val="20"/>
                <w:szCs w:val="20"/>
              </w:rPr>
            </w:pPr>
            <w:r w:rsidRPr="006C1601">
              <w:rPr>
                <w:sz w:val="20"/>
                <w:szCs w:val="20"/>
              </w:rPr>
              <w:t>4.2</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3.5</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5.6</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5.5</w:t>
            </w:r>
          </w:p>
        </w:tc>
        <w:tc>
          <w:tcPr>
            <w:tcW w:w="774" w:type="dxa"/>
            <w:shd w:val="clear" w:color="auto" w:fill="A6A6A6" w:themeFill="background1" w:themeFillShade="A6"/>
          </w:tcPr>
          <w:p w:rsidR="00FC4060" w:rsidRPr="00633B9B" w:rsidRDefault="00FC4060" w:rsidP="009E7F84">
            <w:pPr>
              <w:spacing w:line="240" w:lineRule="auto"/>
              <w:ind w:right="144"/>
              <w:jc w:val="right"/>
              <w:rPr>
                <w:sz w:val="20"/>
                <w:szCs w:val="20"/>
              </w:rPr>
            </w:pPr>
          </w:p>
        </w:tc>
        <w:tc>
          <w:tcPr>
            <w:tcW w:w="774" w:type="dxa"/>
            <w:shd w:val="clear" w:color="auto" w:fill="auto"/>
          </w:tcPr>
          <w:p w:rsidR="00FC4060" w:rsidRPr="00633B9B" w:rsidRDefault="00FC4060" w:rsidP="009E7F84">
            <w:pPr>
              <w:spacing w:line="240" w:lineRule="auto"/>
              <w:ind w:right="144"/>
              <w:jc w:val="right"/>
              <w:rPr>
                <w:sz w:val="20"/>
                <w:szCs w:val="20"/>
              </w:rPr>
            </w:pPr>
            <w:r w:rsidRPr="00633B9B">
              <w:rPr>
                <w:sz w:val="20"/>
                <w:szCs w:val="20"/>
              </w:rPr>
              <w:t>4.8</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5.9</w:t>
            </w:r>
          </w:p>
        </w:tc>
      </w:tr>
      <w:tr w:rsidR="00FC4060" w:rsidRPr="00476396" w:rsidTr="009E7F84">
        <w:trPr>
          <w:trHeight w:val="216"/>
          <w:jc w:val="center"/>
        </w:trPr>
        <w:tc>
          <w:tcPr>
            <w:tcW w:w="1638" w:type="dxa"/>
            <w:tcBorders>
              <w:right w:val="single" w:sz="4" w:space="0" w:color="auto"/>
            </w:tcBorders>
          </w:tcPr>
          <w:p w:rsidR="00FC4060" w:rsidRPr="00633B9B" w:rsidRDefault="00FC4060" w:rsidP="009E7F84">
            <w:pPr>
              <w:spacing w:line="240" w:lineRule="auto"/>
              <w:rPr>
                <w:sz w:val="20"/>
                <w:szCs w:val="20"/>
              </w:rPr>
            </w:pPr>
            <w:r w:rsidRPr="00633B9B">
              <w:rPr>
                <w:sz w:val="20"/>
                <w:szCs w:val="20"/>
              </w:rPr>
              <w:t>Turkmenistan</w:t>
            </w:r>
          </w:p>
        </w:tc>
        <w:tc>
          <w:tcPr>
            <w:tcW w:w="774" w:type="dxa"/>
            <w:tcBorders>
              <w:left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2.6</w:t>
            </w:r>
          </w:p>
        </w:tc>
        <w:tc>
          <w:tcPr>
            <w:tcW w:w="774" w:type="dxa"/>
            <w:vAlign w:val="center"/>
          </w:tcPr>
          <w:p w:rsidR="00FC4060" w:rsidRPr="00633B9B" w:rsidRDefault="00FC4060" w:rsidP="009E7F84">
            <w:pPr>
              <w:spacing w:line="240" w:lineRule="auto"/>
              <w:ind w:right="144"/>
              <w:jc w:val="right"/>
              <w:rPr>
                <w:sz w:val="20"/>
                <w:szCs w:val="20"/>
              </w:rPr>
            </w:pPr>
            <w:r w:rsidRPr="00633B9B">
              <w:rPr>
                <w:sz w:val="20"/>
                <w:szCs w:val="20"/>
              </w:rPr>
              <w:t>19.0</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8.1</w:t>
            </w:r>
          </w:p>
        </w:tc>
        <w:tc>
          <w:tcPr>
            <w:tcW w:w="774" w:type="dxa"/>
          </w:tcPr>
          <w:p w:rsidR="00FC4060" w:rsidRPr="006C1601" w:rsidRDefault="00FC4060" w:rsidP="009E7F84">
            <w:pPr>
              <w:spacing w:line="240" w:lineRule="auto"/>
              <w:ind w:right="144"/>
              <w:jc w:val="right"/>
              <w:rPr>
                <w:sz w:val="20"/>
                <w:szCs w:val="20"/>
              </w:rPr>
            </w:pPr>
            <w:r w:rsidRPr="006C1601">
              <w:rPr>
                <w:sz w:val="20"/>
                <w:szCs w:val="20"/>
              </w:rPr>
              <w:t>8.8</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9.9</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20.1</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3.2</w:t>
            </w:r>
          </w:p>
        </w:tc>
        <w:tc>
          <w:tcPr>
            <w:tcW w:w="774" w:type="dxa"/>
          </w:tcPr>
          <w:p w:rsidR="00FC4060" w:rsidRPr="00633B9B" w:rsidRDefault="00FC4060" w:rsidP="009E7F84">
            <w:pPr>
              <w:spacing w:line="240" w:lineRule="auto"/>
              <w:ind w:right="144"/>
              <w:jc w:val="right"/>
              <w:rPr>
                <w:sz w:val="20"/>
                <w:szCs w:val="20"/>
              </w:rPr>
            </w:pPr>
            <w:r w:rsidRPr="00633B9B">
              <w:rPr>
                <w:sz w:val="20"/>
                <w:szCs w:val="20"/>
              </w:rPr>
              <w:t>14.7</w:t>
            </w:r>
          </w:p>
        </w:tc>
        <w:tc>
          <w:tcPr>
            <w:tcW w:w="774" w:type="dxa"/>
            <w:shd w:val="clear" w:color="auto" w:fill="A6A6A6" w:themeFill="background1" w:themeFillShade="A6"/>
          </w:tcPr>
          <w:p w:rsidR="00FC4060" w:rsidRPr="00633B9B" w:rsidRDefault="00FC4060" w:rsidP="009E7F84">
            <w:pPr>
              <w:spacing w:line="240" w:lineRule="auto"/>
              <w:ind w:right="144"/>
              <w:jc w:val="right"/>
              <w:rPr>
                <w:sz w:val="20"/>
                <w:szCs w:val="20"/>
              </w:rPr>
            </w:pPr>
          </w:p>
        </w:tc>
        <w:tc>
          <w:tcPr>
            <w:tcW w:w="774" w:type="dxa"/>
          </w:tcPr>
          <w:p w:rsidR="00FC4060" w:rsidRPr="00633B9B" w:rsidRDefault="00FC4060" w:rsidP="009E7F84">
            <w:pPr>
              <w:spacing w:line="240" w:lineRule="auto"/>
              <w:ind w:right="144"/>
              <w:jc w:val="right"/>
              <w:rPr>
                <w:sz w:val="20"/>
                <w:szCs w:val="20"/>
              </w:rPr>
            </w:pPr>
            <w:r w:rsidRPr="00633B9B">
              <w:rPr>
                <w:sz w:val="20"/>
                <w:szCs w:val="20"/>
              </w:rPr>
              <w:t>7.1</w:t>
            </w:r>
          </w:p>
        </w:tc>
      </w:tr>
      <w:tr w:rsidR="00FC4060" w:rsidRPr="00476396" w:rsidTr="009E7F84">
        <w:trPr>
          <w:trHeight w:val="216"/>
          <w:jc w:val="center"/>
        </w:trPr>
        <w:tc>
          <w:tcPr>
            <w:tcW w:w="1638" w:type="dxa"/>
            <w:tcBorders>
              <w:bottom w:val="single" w:sz="4" w:space="0" w:color="auto"/>
              <w:right w:val="single" w:sz="4" w:space="0" w:color="auto"/>
            </w:tcBorders>
          </w:tcPr>
          <w:p w:rsidR="00FC4060" w:rsidRPr="00633B9B" w:rsidRDefault="00FC4060" w:rsidP="009E7F84">
            <w:pPr>
              <w:spacing w:line="240" w:lineRule="auto"/>
              <w:rPr>
                <w:sz w:val="20"/>
                <w:szCs w:val="20"/>
              </w:rPr>
            </w:pPr>
            <w:r w:rsidRPr="00633B9B">
              <w:rPr>
                <w:sz w:val="20"/>
                <w:szCs w:val="20"/>
              </w:rPr>
              <w:t>Uzbekistan</w:t>
            </w:r>
          </w:p>
        </w:tc>
        <w:tc>
          <w:tcPr>
            <w:tcW w:w="774" w:type="dxa"/>
            <w:tcBorders>
              <w:left w:val="single" w:sz="4" w:space="0" w:color="auto"/>
              <w:bottom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9.3</w:t>
            </w:r>
          </w:p>
        </w:tc>
        <w:tc>
          <w:tcPr>
            <w:tcW w:w="774" w:type="dxa"/>
            <w:tcBorders>
              <w:bottom w:val="single" w:sz="4" w:space="0" w:color="auto"/>
            </w:tcBorders>
            <w:vAlign w:val="center"/>
          </w:tcPr>
          <w:p w:rsidR="00FC4060" w:rsidRPr="00633B9B" w:rsidRDefault="00FC4060" w:rsidP="009E7F84">
            <w:pPr>
              <w:spacing w:line="240" w:lineRule="auto"/>
              <w:ind w:right="144"/>
              <w:jc w:val="right"/>
              <w:rPr>
                <w:sz w:val="20"/>
                <w:szCs w:val="20"/>
              </w:rPr>
            </w:pPr>
            <w:r w:rsidRPr="00633B9B">
              <w:rPr>
                <w:sz w:val="20"/>
                <w:szCs w:val="20"/>
              </w:rPr>
              <w:t>18.1</w:t>
            </w:r>
          </w:p>
        </w:tc>
        <w:tc>
          <w:tcPr>
            <w:tcW w:w="774" w:type="dxa"/>
            <w:tcBorders>
              <w:bottom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9.2</w:t>
            </w:r>
          </w:p>
        </w:tc>
        <w:tc>
          <w:tcPr>
            <w:tcW w:w="774" w:type="dxa"/>
            <w:tcBorders>
              <w:bottom w:val="single" w:sz="4" w:space="0" w:color="auto"/>
            </w:tcBorders>
          </w:tcPr>
          <w:p w:rsidR="00FC4060" w:rsidRPr="006C1601" w:rsidRDefault="00FC4060" w:rsidP="009E7F84">
            <w:pPr>
              <w:spacing w:line="240" w:lineRule="auto"/>
              <w:ind w:right="144"/>
              <w:jc w:val="right"/>
              <w:rPr>
                <w:sz w:val="20"/>
                <w:szCs w:val="20"/>
              </w:rPr>
            </w:pPr>
            <w:r w:rsidRPr="006C1601">
              <w:rPr>
                <w:sz w:val="20"/>
                <w:szCs w:val="20"/>
              </w:rPr>
              <w:t>9.3</w:t>
            </w:r>
          </w:p>
        </w:tc>
        <w:tc>
          <w:tcPr>
            <w:tcW w:w="774" w:type="dxa"/>
            <w:tcBorders>
              <w:bottom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7.9</w:t>
            </w:r>
          </w:p>
        </w:tc>
        <w:tc>
          <w:tcPr>
            <w:tcW w:w="774" w:type="dxa"/>
            <w:tcBorders>
              <w:bottom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9.8</w:t>
            </w:r>
          </w:p>
        </w:tc>
        <w:tc>
          <w:tcPr>
            <w:tcW w:w="774" w:type="dxa"/>
            <w:tcBorders>
              <w:bottom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10.6</w:t>
            </w:r>
          </w:p>
        </w:tc>
        <w:tc>
          <w:tcPr>
            <w:tcW w:w="774" w:type="dxa"/>
            <w:tcBorders>
              <w:bottom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9.0</w:t>
            </w:r>
          </w:p>
        </w:tc>
        <w:tc>
          <w:tcPr>
            <w:tcW w:w="774" w:type="dxa"/>
            <w:tcBorders>
              <w:bottom w:val="single" w:sz="4" w:space="0" w:color="auto"/>
            </w:tcBorders>
          </w:tcPr>
          <w:p w:rsidR="00FC4060" w:rsidRPr="00633B9B" w:rsidRDefault="00FC4060" w:rsidP="009E7F84">
            <w:pPr>
              <w:spacing w:line="240" w:lineRule="auto"/>
              <w:ind w:right="144"/>
              <w:jc w:val="right"/>
              <w:rPr>
                <w:sz w:val="20"/>
                <w:szCs w:val="20"/>
              </w:rPr>
            </w:pPr>
            <w:r w:rsidRPr="00633B9B">
              <w:rPr>
                <w:sz w:val="20"/>
                <w:szCs w:val="20"/>
              </w:rPr>
              <w:t>6.1</w:t>
            </w:r>
          </w:p>
        </w:tc>
        <w:tc>
          <w:tcPr>
            <w:tcW w:w="774" w:type="dxa"/>
            <w:tcBorders>
              <w:bottom w:val="single" w:sz="4" w:space="0" w:color="auto"/>
            </w:tcBorders>
            <w:shd w:val="clear" w:color="auto" w:fill="A6A6A6" w:themeFill="background1" w:themeFillShade="A6"/>
          </w:tcPr>
          <w:p w:rsidR="00FC4060" w:rsidRPr="00633B9B" w:rsidRDefault="00FC4060" w:rsidP="009E7F84">
            <w:pPr>
              <w:spacing w:line="240" w:lineRule="auto"/>
              <w:rPr>
                <w:sz w:val="20"/>
                <w:szCs w:val="20"/>
              </w:rPr>
            </w:pPr>
          </w:p>
        </w:tc>
      </w:tr>
      <w:tr w:rsidR="00FC4060" w:rsidRPr="00476396" w:rsidTr="009E7F84">
        <w:trPr>
          <w:jc w:val="center"/>
        </w:trPr>
        <w:tc>
          <w:tcPr>
            <w:tcW w:w="9378" w:type="dxa"/>
            <w:gridSpan w:val="11"/>
            <w:tcBorders>
              <w:top w:val="single" w:sz="4" w:space="0" w:color="auto"/>
            </w:tcBorders>
          </w:tcPr>
          <w:p w:rsidR="00ED6340" w:rsidRDefault="00FC4060" w:rsidP="003F4476">
            <w:pPr>
              <w:spacing w:before="120" w:line="240" w:lineRule="auto"/>
              <w:rPr>
                <w:rFonts w:cs="Times New Roman"/>
                <w:sz w:val="18"/>
                <w:szCs w:val="18"/>
              </w:rPr>
            </w:pPr>
            <w:r w:rsidRPr="00C1038B">
              <w:rPr>
                <w:rFonts w:cs="Times New Roman"/>
                <w:i/>
                <w:sz w:val="18"/>
                <w:szCs w:val="18"/>
              </w:rPr>
              <w:t>Source:</w:t>
            </w:r>
            <w:r w:rsidRPr="00C1038B">
              <w:rPr>
                <w:rFonts w:cs="Times New Roman"/>
                <w:sz w:val="18"/>
                <w:szCs w:val="18"/>
              </w:rPr>
              <w:t xml:space="preserve"> </w:t>
            </w:r>
            <w:r>
              <w:rPr>
                <w:rFonts w:cs="Times New Roman"/>
                <w:sz w:val="18"/>
                <w:szCs w:val="18"/>
              </w:rPr>
              <w:t>C</w:t>
            </w:r>
            <w:r w:rsidRPr="00C1038B">
              <w:rPr>
                <w:rFonts w:cs="Times New Roman"/>
                <w:sz w:val="18"/>
                <w:szCs w:val="18"/>
              </w:rPr>
              <w:t>alculations based on Gillson and Reyes (2011) and data from Comtrade (via WITS)</w:t>
            </w:r>
            <w:r>
              <w:rPr>
                <w:rFonts w:cs="Times New Roman"/>
                <w:sz w:val="18"/>
                <w:szCs w:val="18"/>
              </w:rPr>
              <w:t>.</w:t>
            </w:r>
            <w:r w:rsidR="00786508">
              <w:rPr>
                <w:rFonts w:cs="Times New Roman"/>
                <w:sz w:val="18"/>
                <w:szCs w:val="18"/>
              </w:rPr>
              <w:t xml:space="preserve"> </w:t>
            </w:r>
          </w:p>
          <w:p w:rsidR="00FC4060" w:rsidRPr="00633B9B" w:rsidRDefault="00ED6340" w:rsidP="00ED6340">
            <w:pPr>
              <w:spacing w:before="120" w:line="240" w:lineRule="auto"/>
              <w:rPr>
                <w:sz w:val="20"/>
                <w:szCs w:val="20"/>
              </w:rPr>
            </w:pPr>
            <w:r>
              <w:rPr>
                <w:rFonts w:cs="Times New Roman"/>
                <w:i/>
                <w:sz w:val="18"/>
                <w:szCs w:val="18"/>
              </w:rPr>
              <w:t xml:space="preserve">Note: </w:t>
            </w:r>
            <w:r w:rsidRPr="00464AA4">
              <w:rPr>
                <w:rFonts w:cs="Times New Roman"/>
                <w:sz w:val="18"/>
                <w:szCs w:val="18"/>
              </w:rPr>
              <w:t>The c</w:t>
            </w:r>
            <w:r w:rsidR="00A56C0E">
              <w:rPr>
                <w:rFonts w:cs="Times New Roman"/>
                <w:sz w:val="18"/>
                <w:szCs w:val="18"/>
              </w:rPr>
              <w:t xml:space="preserve">omplementarity index ranges from zero to 100. </w:t>
            </w:r>
            <w:r>
              <w:rPr>
                <w:rFonts w:cs="Times New Roman"/>
                <w:sz w:val="18"/>
                <w:szCs w:val="18"/>
              </w:rPr>
              <w:t xml:space="preserve">Higher values indicate higher </w:t>
            </w:r>
            <w:r w:rsidR="00A56C0E">
              <w:rPr>
                <w:rFonts w:cs="Times New Roman"/>
                <w:sz w:val="18"/>
                <w:szCs w:val="18"/>
              </w:rPr>
              <w:t>potential for trad</w:t>
            </w:r>
            <w:r>
              <w:rPr>
                <w:rFonts w:cs="Times New Roman"/>
                <w:sz w:val="18"/>
                <w:szCs w:val="18"/>
              </w:rPr>
              <w:t>e</w:t>
            </w:r>
            <w:r w:rsidR="00A56C0E">
              <w:rPr>
                <w:rFonts w:cs="Times New Roman"/>
                <w:sz w:val="18"/>
                <w:szCs w:val="18"/>
              </w:rPr>
              <w:t>.</w:t>
            </w:r>
            <w:r w:rsidR="003F4476" w:rsidRPr="007C5678">
              <w:rPr>
                <w:vertAlign w:val="superscript"/>
              </w:rPr>
              <w:t xml:space="preserve"> </w:t>
            </w:r>
          </w:p>
        </w:tc>
      </w:tr>
    </w:tbl>
    <w:p w:rsidR="00FC4060" w:rsidRPr="006A6079" w:rsidRDefault="00FC4060" w:rsidP="00C1038B">
      <w:pPr>
        <w:pStyle w:val="ListParagraph"/>
        <w:spacing w:after="0" w:line="240" w:lineRule="auto"/>
        <w:ind w:left="0"/>
        <w:contextualSpacing w:val="0"/>
        <w:rPr>
          <w:rFonts w:eastAsia="Times New Roman" w:cs="Times New Roman"/>
          <w:bCs/>
          <w:sz w:val="22"/>
        </w:rPr>
      </w:pPr>
    </w:p>
    <w:p w:rsidR="00EC6A62" w:rsidRPr="00CA4713" w:rsidRDefault="00CA4713" w:rsidP="00CA4713">
      <w:pPr>
        <w:pStyle w:val="ListParagraph"/>
        <w:numPr>
          <w:ilvl w:val="0"/>
          <w:numId w:val="1"/>
        </w:numPr>
        <w:tabs>
          <w:tab w:val="left" w:pos="720"/>
        </w:tabs>
        <w:spacing w:after="240" w:line="240" w:lineRule="auto"/>
        <w:ind w:left="0" w:firstLine="0"/>
        <w:contextualSpacing w:val="0"/>
        <w:rPr>
          <w:rFonts w:cs="Times New Roman"/>
          <w:color w:val="000000"/>
          <w:sz w:val="22"/>
        </w:rPr>
      </w:pPr>
      <w:r w:rsidRPr="00CA4713">
        <w:rPr>
          <w:rFonts w:cs="Times New Roman"/>
          <w:b/>
          <w:color w:val="000000"/>
          <w:sz w:val="22"/>
        </w:rPr>
        <w:t>If</w:t>
      </w:r>
      <w:r w:rsidRPr="00CA4713">
        <w:rPr>
          <w:rFonts w:cs="Times New Roman"/>
          <w:color w:val="000000"/>
          <w:sz w:val="22"/>
        </w:rPr>
        <w:t xml:space="preserve"> </w:t>
      </w:r>
      <w:r w:rsidRPr="00CA4713">
        <w:rPr>
          <w:rFonts w:cs="Times New Roman"/>
          <w:b/>
          <w:color w:val="000000"/>
          <w:sz w:val="22"/>
        </w:rPr>
        <w:t>negotiating an FTA, the authorities should adopt a design that includes</w:t>
      </w:r>
      <w:r>
        <w:rPr>
          <w:rFonts w:cs="Times New Roman"/>
          <w:b/>
          <w:color w:val="000000"/>
          <w:sz w:val="22"/>
        </w:rPr>
        <w:t xml:space="preserve"> the following</w:t>
      </w:r>
      <w:r w:rsidRPr="00CA4713">
        <w:rPr>
          <w:rFonts w:cs="Times New Roman"/>
          <w:b/>
          <w:color w:val="000000"/>
          <w:sz w:val="22"/>
        </w:rPr>
        <w:t>:</w:t>
      </w:r>
      <w:r>
        <w:rPr>
          <w:rFonts w:cs="Times New Roman"/>
          <w:color w:val="000000"/>
          <w:sz w:val="22"/>
        </w:rPr>
        <w:t xml:space="preserve">  </w:t>
      </w:r>
      <w:r w:rsidRPr="00CA4713">
        <w:rPr>
          <w:rFonts w:cs="Times New Roman"/>
          <w:color w:val="000000"/>
          <w:sz w:val="22"/>
        </w:rPr>
        <w:t xml:space="preserve">(i)  low external MFN tariffs; (ii) few sectoral and product exemptions; (iii) nonrestrictive rules of origin; and (iv) measures to facilitate trade.  </w:t>
      </w:r>
      <w:r w:rsidR="00393268" w:rsidRPr="00CA4713">
        <w:rPr>
          <w:rFonts w:cs="Times New Roman"/>
          <w:color w:val="000000"/>
          <w:sz w:val="22"/>
        </w:rPr>
        <w:t xml:space="preserve">The authorities can use a </w:t>
      </w:r>
      <w:r w:rsidR="00EC6A62" w:rsidRPr="00CA4713">
        <w:rPr>
          <w:rFonts w:cs="Times New Roman"/>
          <w:color w:val="000000"/>
          <w:sz w:val="22"/>
        </w:rPr>
        <w:t xml:space="preserve">pragmatic policy approach </w:t>
      </w:r>
      <w:r w:rsidR="00B448CF" w:rsidRPr="00CA4713">
        <w:rPr>
          <w:rFonts w:cs="Times New Roman"/>
          <w:color w:val="000000"/>
          <w:sz w:val="22"/>
        </w:rPr>
        <w:t xml:space="preserve">to negotiating </w:t>
      </w:r>
      <w:r w:rsidR="00EC6A62" w:rsidRPr="00CA4713">
        <w:rPr>
          <w:rFonts w:cs="Times New Roman"/>
          <w:color w:val="000000"/>
          <w:sz w:val="22"/>
        </w:rPr>
        <w:t>a new FTA</w:t>
      </w:r>
      <w:r w:rsidR="00393268" w:rsidRPr="00CA4713">
        <w:rPr>
          <w:rFonts w:cs="Times New Roman"/>
          <w:color w:val="000000"/>
          <w:sz w:val="22"/>
        </w:rPr>
        <w:t xml:space="preserve">. This </w:t>
      </w:r>
      <w:r w:rsidR="00FC7BCA" w:rsidRPr="00CA4713">
        <w:rPr>
          <w:rFonts w:cs="Times New Roman"/>
          <w:color w:val="000000"/>
          <w:sz w:val="22"/>
        </w:rPr>
        <w:t>approach can</w:t>
      </w:r>
      <w:r w:rsidR="00EC6A62" w:rsidRPr="00CA4713">
        <w:rPr>
          <w:rFonts w:cs="Times New Roman"/>
          <w:color w:val="000000"/>
          <w:sz w:val="22"/>
        </w:rPr>
        <w:t xml:space="preserve"> be summarized by thinking of the gains and losses of joining the agreement using the </w:t>
      </w:r>
      <w:r w:rsidR="00FC7BCA" w:rsidRPr="00CA4713">
        <w:rPr>
          <w:rFonts w:cs="Times New Roman"/>
          <w:color w:val="000000"/>
          <w:sz w:val="22"/>
        </w:rPr>
        <w:t>following three</w:t>
      </w:r>
      <w:r w:rsidR="00393268" w:rsidRPr="00CA4713">
        <w:rPr>
          <w:rFonts w:cs="Times New Roman"/>
          <w:color w:val="000000"/>
          <w:sz w:val="22"/>
        </w:rPr>
        <w:t xml:space="preserve"> </w:t>
      </w:r>
      <w:r w:rsidR="00EC6A62" w:rsidRPr="00CA4713">
        <w:rPr>
          <w:rFonts w:cs="Times New Roman"/>
          <w:color w:val="000000"/>
          <w:sz w:val="22"/>
        </w:rPr>
        <w:t>pillared framework:</w:t>
      </w:r>
      <w:r w:rsidR="00786508" w:rsidRPr="00CA4713">
        <w:rPr>
          <w:rFonts w:cs="Times New Roman"/>
          <w:color w:val="000000"/>
          <w:sz w:val="22"/>
        </w:rPr>
        <w:t xml:space="preserve"> </w:t>
      </w:r>
      <w:r w:rsidR="003F4476" w:rsidRPr="00CA4713">
        <w:rPr>
          <w:rFonts w:cs="Times New Roman"/>
          <w:color w:val="000000"/>
          <w:sz w:val="22"/>
        </w:rPr>
        <w:t>s</w:t>
      </w:r>
      <w:r w:rsidR="00B448CF" w:rsidRPr="00CA4713">
        <w:rPr>
          <w:rFonts w:cs="Times New Roman"/>
          <w:color w:val="000000"/>
          <w:sz w:val="22"/>
        </w:rPr>
        <w:t>cope</w:t>
      </w:r>
      <w:r w:rsidR="00EC6A62" w:rsidRPr="00CA4713">
        <w:rPr>
          <w:rFonts w:cs="Times New Roman"/>
          <w:color w:val="000000"/>
          <w:sz w:val="22"/>
        </w:rPr>
        <w:t>, factors and actors.</w:t>
      </w:r>
    </w:p>
    <w:p w:rsidR="000C7338" w:rsidRPr="00464AA4" w:rsidRDefault="002A0A05" w:rsidP="00464AA4">
      <w:pPr>
        <w:pStyle w:val="ListParagraph"/>
        <w:tabs>
          <w:tab w:val="left" w:pos="720"/>
        </w:tabs>
        <w:spacing w:after="240" w:line="240" w:lineRule="auto"/>
        <w:ind w:left="0"/>
        <w:contextualSpacing w:val="0"/>
        <w:rPr>
          <w:rFonts w:cs="Times New Roman"/>
          <w:color w:val="000000"/>
          <w:sz w:val="22"/>
        </w:rPr>
      </w:pPr>
      <w:r w:rsidRPr="00464AA4">
        <w:rPr>
          <w:rFonts w:cs="Times New Roman"/>
          <w:b/>
          <w:color w:val="000000"/>
          <w:sz w:val="22"/>
          <w:u w:val="single"/>
        </w:rPr>
        <w:t>Scope</w:t>
      </w:r>
      <w:r w:rsidR="00786508">
        <w:rPr>
          <w:rFonts w:cs="Times New Roman"/>
          <w:b/>
          <w:color w:val="000000"/>
          <w:sz w:val="22"/>
        </w:rPr>
        <w:t xml:space="preserve"> </w:t>
      </w:r>
    </w:p>
    <w:p w:rsidR="005574B7" w:rsidRPr="00F44F2C" w:rsidRDefault="00A56C0E" w:rsidP="00F44F2C">
      <w:pPr>
        <w:pStyle w:val="ListParagraph"/>
        <w:numPr>
          <w:ilvl w:val="0"/>
          <w:numId w:val="1"/>
        </w:numPr>
        <w:tabs>
          <w:tab w:val="left" w:pos="720"/>
        </w:tabs>
        <w:spacing w:after="240" w:line="240" w:lineRule="auto"/>
        <w:ind w:left="0" w:firstLine="0"/>
        <w:contextualSpacing w:val="0"/>
        <w:rPr>
          <w:rFonts w:cs="Times New Roman"/>
          <w:color w:val="000000"/>
          <w:sz w:val="22"/>
        </w:rPr>
      </w:pPr>
      <w:r>
        <w:rPr>
          <w:rFonts w:cs="Times New Roman"/>
          <w:b/>
          <w:color w:val="000000"/>
          <w:sz w:val="22"/>
        </w:rPr>
        <w:t>T</w:t>
      </w:r>
      <w:r w:rsidR="002A0A05" w:rsidRPr="00F44F2C">
        <w:rPr>
          <w:rFonts w:cs="Times New Roman"/>
          <w:b/>
          <w:color w:val="000000"/>
          <w:sz w:val="22"/>
        </w:rPr>
        <w:t xml:space="preserve">he authorities will need to decide whether </w:t>
      </w:r>
      <w:r w:rsidR="006C1601">
        <w:rPr>
          <w:rFonts w:cs="Times New Roman"/>
          <w:b/>
          <w:color w:val="000000"/>
          <w:sz w:val="22"/>
        </w:rPr>
        <w:t>to negotiate</w:t>
      </w:r>
      <w:r w:rsidR="002A0A05" w:rsidRPr="00F44F2C">
        <w:rPr>
          <w:rFonts w:cs="Times New Roman"/>
          <w:b/>
          <w:color w:val="000000"/>
          <w:sz w:val="22"/>
        </w:rPr>
        <w:t xml:space="preserve"> </w:t>
      </w:r>
      <w:r w:rsidR="006C1601">
        <w:rPr>
          <w:rFonts w:cs="Times New Roman"/>
          <w:b/>
          <w:color w:val="000000"/>
          <w:sz w:val="22"/>
        </w:rPr>
        <w:t>an</w:t>
      </w:r>
      <w:r w:rsidR="002A0A05" w:rsidRPr="00F44F2C">
        <w:rPr>
          <w:rFonts w:cs="Times New Roman"/>
          <w:b/>
          <w:color w:val="000000"/>
          <w:sz w:val="22"/>
        </w:rPr>
        <w:t xml:space="preserve"> FTA </w:t>
      </w:r>
      <w:r w:rsidR="00B448CF" w:rsidRPr="00F44F2C">
        <w:rPr>
          <w:rFonts w:cs="Times New Roman"/>
          <w:b/>
          <w:color w:val="000000"/>
          <w:sz w:val="22"/>
        </w:rPr>
        <w:t xml:space="preserve">with a </w:t>
      </w:r>
      <w:r w:rsidR="002A0A05" w:rsidRPr="00F44F2C">
        <w:rPr>
          <w:rFonts w:cs="Times New Roman"/>
          <w:b/>
          <w:color w:val="000000"/>
          <w:sz w:val="22"/>
        </w:rPr>
        <w:t xml:space="preserve">narrow </w:t>
      </w:r>
      <w:r w:rsidR="006C1601">
        <w:rPr>
          <w:rFonts w:cs="Times New Roman"/>
          <w:b/>
          <w:color w:val="000000"/>
          <w:sz w:val="22"/>
        </w:rPr>
        <w:t xml:space="preserve">scope </w:t>
      </w:r>
      <w:r w:rsidR="002A0A05" w:rsidRPr="00F44F2C">
        <w:rPr>
          <w:rFonts w:cs="Times New Roman"/>
          <w:b/>
          <w:color w:val="000000"/>
          <w:sz w:val="22"/>
        </w:rPr>
        <w:t xml:space="preserve">or </w:t>
      </w:r>
      <w:r w:rsidR="006C1601">
        <w:rPr>
          <w:rFonts w:cs="Times New Roman"/>
          <w:b/>
          <w:color w:val="000000"/>
          <w:sz w:val="22"/>
        </w:rPr>
        <w:t xml:space="preserve">a </w:t>
      </w:r>
      <w:r w:rsidR="002A0A05" w:rsidRPr="00F44F2C">
        <w:rPr>
          <w:rFonts w:cs="Times New Roman"/>
          <w:b/>
          <w:color w:val="000000"/>
          <w:sz w:val="22"/>
        </w:rPr>
        <w:t>wide scope.</w:t>
      </w:r>
      <w:r w:rsidR="00786508">
        <w:rPr>
          <w:rFonts w:cs="Times New Roman"/>
          <w:b/>
          <w:color w:val="000000"/>
          <w:sz w:val="22"/>
        </w:rPr>
        <w:t xml:space="preserve"> </w:t>
      </w:r>
      <w:r w:rsidR="005574B7" w:rsidRPr="00F44F2C">
        <w:rPr>
          <w:rFonts w:cs="Times New Roman"/>
          <w:color w:val="000000"/>
          <w:sz w:val="22"/>
        </w:rPr>
        <w:t>An agreement with a narrow scope would focus more on the basic goods and possibly services agreements.</w:t>
      </w:r>
      <w:r w:rsidR="00786508">
        <w:rPr>
          <w:rFonts w:cs="Times New Roman"/>
          <w:color w:val="000000"/>
          <w:sz w:val="22"/>
        </w:rPr>
        <w:t xml:space="preserve"> </w:t>
      </w:r>
      <w:r w:rsidR="005574B7" w:rsidRPr="00F44F2C">
        <w:rPr>
          <w:rFonts w:cs="Times New Roman"/>
          <w:color w:val="000000"/>
          <w:sz w:val="22"/>
        </w:rPr>
        <w:t xml:space="preserve">The authorities would need to assess what goods and services sectors they wish to include in the FTA negotiations. In this case, it is especially important that trade between prospective FTA partners </w:t>
      </w:r>
      <w:r>
        <w:rPr>
          <w:rFonts w:cs="Times New Roman"/>
          <w:color w:val="000000"/>
          <w:sz w:val="22"/>
        </w:rPr>
        <w:t>be</w:t>
      </w:r>
      <w:r w:rsidR="005574B7" w:rsidRPr="00F44F2C">
        <w:rPr>
          <w:rFonts w:cs="Times New Roman"/>
          <w:color w:val="000000"/>
          <w:sz w:val="22"/>
        </w:rPr>
        <w:t xml:space="preserve"> highly</w:t>
      </w:r>
      <w:r w:rsidR="00F44F2C">
        <w:rPr>
          <w:rFonts w:cs="Times New Roman"/>
          <w:color w:val="000000"/>
          <w:sz w:val="22"/>
        </w:rPr>
        <w:t xml:space="preserve"> </w:t>
      </w:r>
      <w:r w:rsidR="005574B7" w:rsidRPr="00F44F2C">
        <w:rPr>
          <w:rFonts w:cs="Times New Roman"/>
          <w:color w:val="000000"/>
          <w:sz w:val="22"/>
        </w:rPr>
        <w:t>complementarity. This would suggest more potential for trade growth and therefore a more economically viable and politically attractive FTA.</w:t>
      </w:r>
      <w:r w:rsidR="00786508">
        <w:rPr>
          <w:rFonts w:cs="Times New Roman"/>
          <w:color w:val="000000"/>
          <w:sz w:val="22"/>
        </w:rPr>
        <w:t xml:space="preserve"> </w:t>
      </w:r>
      <w:r w:rsidR="005574B7" w:rsidRPr="00F44F2C">
        <w:rPr>
          <w:rFonts w:cs="Times New Roman"/>
          <w:color w:val="000000"/>
          <w:sz w:val="22"/>
        </w:rPr>
        <w:t>In fact, e</w:t>
      </w:r>
      <w:r w:rsidR="002A0A05" w:rsidRPr="00F44F2C">
        <w:rPr>
          <w:rFonts w:cs="Times New Roman"/>
          <w:color w:val="000000"/>
          <w:sz w:val="22"/>
        </w:rPr>
        <w:t>xperience suggests that the more comprehensive the sectoral coverage, the higher the probability of gains from the FTA.</w:t>
      </w:r>
      <w:r w:rsidR="00786508">
        <w:rPr>
          <w:rFonts w:cs="Times New Roman"/>
          <w:color w:val="000000"/>
          <w:sz w:val="22"/>
        </w:rPr>
        <w:t xml:space="preserve"> </w:t>
      </w:r>
      <w:r w:rsidR="002A0A05" w:rsidRPr="00F44F2C">
        <w:rPr>
          <w:rFonts w:cs="Times New Roman"/>
          <w:color w:val="000000"/>
          <w:sz w:val="22"/>
        </w:rPr>
        <w:t xml:space="preserve">For instance the recent KOREA – ASEAN Agreement on Trade in Services (AKTISA) includes 112 sectors and sub-sectors. </w:t>
      </w:r>
    </w:p>
    <w:p w:rsidR="005574B7" w:rsidRPr="00F44F2C" w:rsidRDefault="005574B7" w:rsidP="00F44F2C">
      <w:pPr>
        <w:pStyle w:val="ListParagraph"/>
        <w:numPr>
          <w:ilvl w:val="0"/>
          <w:numId w:val="1"/>
        </w:numPr>
        <w:tabs>
          <w:tab w:val="left" w:pos="720"/>
        </w:tabs>
        <w:spacing w:after="240" w:line="240" w:lineRule="auto"/>
        <w:ind w:left="0" w:firstLine="0"/>
        <w:contextualSpacing w:val="0"/>
        <w:rPr>
          <w:rFonts w:cs="Times New Roman"/>
          <w:color w:val="000000"/>
          <w:sz w:val="22"/>
        </w:rPr>
      </w:pPr>
      <w:r w:rsidRPr="00F44F2C">
        <w:rPr>
          <w:rFonts w:cs="Times New Roman"/>
          <w:b/>
          <w:color w:val="000000"/>
          <w:sz w:val="22"/>
        </w:rPr>
        <w:t xml:space="preserve">An FTA with a </w:t>
      </w:r>
      <w:r w:rsidR="002A0A05" w:rsidRPr="00F44F2C">
        <w:rPr>
          <w:rFonts w:cs="Times New Roman"/>
          <w:b/>
          <w:color w:val="000000"/>
          <w:sz w:val="22"/>
        </w:rPr>
        <w:t xml:space="preserve">wider scope could address </w:t>
      </w:r>
      <w:r w:rsidRPr="00F44F2C">
        <w:rPr>
          <w:rFonts w:cs="Times New Roman"/>
          <w:b/>
          <w:color w:val="000000"/>
          <w:sz w:val="22"/>
        </w:rPr>
        <w:t>critical</w:t>
      </w:r>
      <w:r w:rsidR="002A0A05" w:rsidRPr="00F44F2C">
        <w:rPr>
          <w:rFonts w:cs="Times New Roman"/>
          <w:b/>
          <w:color w:val="000000"/>
          <w:sz w:val="22"/>
        </w:rPr>
        <w:t xml:space="preserve"> topics</w:t>
      </w:r>
      <w:r w:rsidR="006F3E4C" w:rsidRPr="00F44F2C">
        <w:rPr>
          <w:rFonts w:cs="Times New Roman"/>
          <w:b/>
          <w:color w:val="000000"/>
          <w:sz w:val="22"/>
        </w:rPr>
        <w:t xml:space="preserve"> of interest to negotiating parties</w:t>
      </w:r>
      <w:r w:rsidR="002A0A05" w:rsidRPr="00F44F2C">
        <w:rPr>
          <w:rFonts w:cs="Times New Roman"/>
          <w:b/>
          <w:color w:val="000000"/>
          <w:sz w:val="22"/>
        </w:rPr>
        <w:t>.</w:t>
      </w:r>
      <w:r w:rsidR="00786508">
        <w:rPr>
          <w:rFonts w:cs="Times New Roman"/>
          <w:b/>
          <w:color w:val="000000"/>
          <w:sz w:val="22"/>
        </w:rPr>
        <w:t xml:space="preserve"> </w:t>
      </w:r>
      <w:r w:rsidRPr="00F44F2C">
        <w:rPr>
          <w:rFonts w:cs="Times New Roman"/>
          <w:color w:val="000000"/>
          <w:sz w:val="22"/>
        </w:rPr>
        <w:t>For instance, competition policy can be included in the FTA agreement, with an eye to ensuring adequate regulatory oversight of fair competition.</w:t>
      </w:r>
      <w:r w:rsidR="00786508">
        <w:rPr>
          <w:rFonts w:cs="Times New Roman"/>
          <w:color w:val="000000"/>
          <w:sz w:val="22"/>
        </w:rPr>
        <w:t xml:space="preserve"> </w:t>
      </w:r>
      <w:r w:rsidRPr="00F44F2C">
        <w:rPr>
          <w:rFonts w:cs="Times New Roman"/>
          <w:color w:val="000000"/>
          <w:sz w:val="22"/>
        </w:rPr>
        <w:t xml:space="preserve">FTAs have been used to secure market enlargement in specific markets such as electronic commerce, digital products, financial services, business services. In the case of Singapore and India, one point of high interest </w:t>
      </w:r>
      <w:r w:rsidR="006F3E4C" w:rsidRPr="00F44F2C">
        <w:rPr>
          <w:rFonts w:cs="Times New Roman"/>
          <w:color w:val="000000"/>
          <w:sz w:val="22"/>
        </w:rPr>
        <w:t xml:space="preserve">was </w:t>
      </w:r>
      <w:r w:rsidR="00153F26" w:rsidRPr="00F44F2C">
        <w:rPr>
          <w:rFonts w:cs="Times New Roman"/>
          <w:color w:val="000000"/>
          <w:sz w:val="22"/>
        </w:rPr>
        <w:t>to secure</w:t>
      </w:r>
      <w:r w:rsidRPr="00F44F2C">
        <w:rPr>
          <w:rFonts w:cs="Times New Roman"/>
          <w:color w:val="000000"/>
          <w:sz w:val="22"/>
        </w:rPr>
        <w:t xml:space="preserve"> access rights for Singapore Airlines</w:t>
      </w:r>
      <w:r w:rsidR="006F3E4C" w:rsidRPr="00F44F2C">
        <w:rPr>
          <w:rFonts w:cs="Times New Roman"/>
          <w:color w:val="000000"/>
          <w:sz w:val="22"/>
        </w:rPr>
        <w:t xml:space="preserve"> in India</w:t>
      </w:r>
      <w:r w:rsidRPr="00F44F2C">
        <w:rPr>
          <w:rFonts w:cs="Times New Roman"/>
          <w:color w:val="000000"/>
          <w:sz w:val="22"/>
        </w:rPr>
        <w:t>. More recently, FTA can also be used to facilitate regional value chains with an eye to secure supply of competitive and reliable inputs.</w:t>
      </w:r>
      <w:r w:rsidR="00786508">
        <w:rPr>
          <w:rFonts w:cs="Times New Roman"/>
          <w:color w:val="000000"/>
          <w:sz w:val="22"/>
        </w:rPr>
        <w:t xml:space="preserve"> </w:t>
      </w:r>
      <w:r w:rsidRPr="00F44F2C">
        <w:rPr>
          <w:rFonts w:cs="Times New Roman"/>
          <w:color w:val="000000"/>
          <w:sz w:val="22"/>
        </w:rPr>
        <w:t>The China-ASEAN agreement appears to include such an objective</w:t>
      </w:r>
      <w:r w:rsidR="006F3E4C" w:rsidRPr="00F44F2C">
        <w:rPr>
          <w:rFonts w:cs="Times New Roman"/>
          <w:color w:val="000000"/>
          <w:sz w:val="22"/>
        </w:rPr>
        <w:t>.</w:t>
      </w:r>
      <w:r w:rsidR="00786508">
        <w:rPr>
          <w:rFonts w:cs="Times New Roman"/>
          <w:color w:val="000000"/>
          <w:sz w:val="22"/>
        </w:rPr>
        <w:t xml:space="preserve"> </w:t>
      </w:r>
    </w:p>
    <w:p w:rsidR="000C7338" w:rsidRPr="00464AA4" w:rsidRDefault="00C1038B" w:rsidP="00464AA4">
      <w:pPr>
        <w:pStyle w:val="ListParagraph"/>
        <w:tabs>
          <w:tab w:val="left" w:pos="720"/>
        </w:tabs>
        <w:spacing w:after="240" w:line="240" w:lineRule="auto"/>
        <w:ind w:left="0"/>
        <w:contextualSpacing w:val="0"/>
        <w:rPr>
          <w:rFonts w:cs="Times New Roman"/>
          <w:b/>
          <w:sz w:val="22"/>
        </w:rPr>
      </w:pPr>
      <w:r w:rsidRPr="00464AA4">
        <w:rPr>
          <w:rFonts w:cs="Times New Roman"/>
          <w:b/>
          <w:color w:val="000000"/>
          <w:sz w:val="22"/>
          <w:u w:val="single"/>
        </w:rPr>
        <w:t>Factors</w:t>
      </w:r>
      <w:r w:rsidR="00786508">
        <w:rPr>
          <w:rFonts w:cs="Times New Roman"/>
          <w:b/>
          <w:color w:val="000000"/>
          <w:sz w:val="22"/>
        </w:rPr>
        <w:t xml:space="preserve"> </w:t>
      </w:r>
    </w:p>
    <w:p w:rsidR="00005922" w:rsidRPr="00382D9D" w:rsidRDefault="00A56C0E" w:rsidP="006C1601">
      <w:pPr>
        <w:pStyle w:val="ListParagraph"/>
        <w:numPr>
          <w:ilvl w:val="0"/>
          <w:numId w:val="1"/>
        </w:numPr>
        <w:tabs>
          <w:tab w:val="left" w:pos="720"/>
        </w:tabs>
        <w:spacing w:after="240" w:line="240" w:lineRule="auto"/>
        <w:ind w:left="0" w:firstLine="0"/>
        <w:contextualSpacing w:val="0"/>
        <w:rPr>
          <w:rFonts w:cs="Times New Roman"/>
          <w:b/>
          <w:sz w:val="22"/>
        </w:rPr>
      </w:pPr>
      <w:r>
        <w:rPr>
          <w:rFonts w:cs="Times New Roman"/>
          <w:b/>
          <w:color w:val="000000"/>
          <w:sz w:val="22"/>
        </w:rPr>
        <w:lastRenderedPageBreak/>
        <w:t>T</w:t>
      </w:r>
      <w:r w:rsidR="00EC6A62" w:rsidRPr="00EC6A62">
        <w:rPr>
          <w:rFonts w:cs="Times New Roman"/>
          <w:b/>
          <w:color w:val="000000"/>
          <w:sz w:val="22"/>
        </w:rPr>
        <w:t>he authorities will need to address the treatment of labor and capital movements.</w:t>
      </w:r>
      <w:r w:rsidR="00786508">
        <w:rPr>
          <w:rFonts w:cs="Times New Roman"/>
          <w:color w:val="000000"/>
          <w:sz w:val="22"/>
        </w:rPr>
        <w:t xml:space="preserve"> </w:t>
      </w:r>
      <w:r w:rsidR="00EC6A62" w:rsidRPr="00EC6A62">
        <w:rPr>
          <w:rFonts w:cs="Times New Roman"/>
          <w:color w:val="000000"/>
          <w:sz w:val="22"/>
        </w:rPr>
        <w:t>If movement</w:t>
      </w:r>
      <w:r w:rsidR="006F3E4C">
        <w:rPr>
          <w:rFonts w:cs="Times New Roman"/>
          <w:color w:val="000000"/>
          <w:sz w:val="22"/>
        </w:rPr>
        <w:t xml:space="preserve"> of labor</w:t>
      </w:r>
      <w:r w:rsidR="00EC6A62" w:rsidRPr="00EC6A62">
        <w:rPr>
          <w:rFonts w:cs="Times New Roman"/>
          <w:color w:val="000000"/>
          <w:sz w:val="22"/>
        </w:rPr>
        <w:t xml:space="preserve"> is to be included</w:t>
      </w:r>
      <w:r w:rsidR="006F3E4C">
        <w:rPr>
          <w:rFonts w:cs="Times New Roman"/>
          <w:color w:val="000000"/>
          <w:sz w:val="22"/>
        </w:rPr>
        <w:t xml:space="preserve"> in the FTA,</w:t>
      </w:r>
      <w:r w:rsidR="00EC6A62" w:rsidRPr="00EC6A62">
        <w:rPr>
          <w:rFonts w:cs="Times New Roman"/>
          <w:color w:val="000000"/>
          <w:sz w:val="22"/>
        </w:rPr>
        <w:t xml:space="preserve"> it is necessary to assess Kazakhstan</w:t>
      </w:r>
      <w:r w:rsidR="006F3E4C">
        <w:rPr>
          <w:rFonts w:cs="Times New Roman"/>
          <w:color w:val="000000"/>
          <w:sz w:val="22"/>
        </w:rPr>
        <w:t>’s labor market needs and its migration policy.</w:t>
      </w:r>
      <w:r w:rsidR="00786508">
        <w:rPr>
          <w:rFonts w:cs="Times New Roman"/>
          <w:color w:val="000000"/>
          <w:sz w:val="22"/>
        </w:rPr>
        <w:t xml:space="preserve"> </w:t>
      </w:r>
      <w:r w:rsidR="006F3E4C">
        <w:rPr>
          <w:rFonts w:cs="Times New Roman"/>
          <w:color w:val="000000"/>
          <w:sz w:val="22"/>
        </w:rPr>
        <w:t xml:space="preserve">For instance, </w:t>
      </w:r>
      <w:r w:rsidR="00EC6A62" w:rsidRPr="00EC6A62">
        <w:rPr>
          <w:rFonts w:cs="Times New Roman"/>
          <w:color w:val="000000"/>
          <w:sz w:val="22"/>
        </w:rPr>
        <w:t>Philippine</w:t>
      </w:r>
      <w:r w:rsidR="006F3E4C">
        <w:rPr>
          <w:rFonts w:cs="Times New Roman"/>
          <w:color w:val="000000"/>
          <w:sz w:val="22"/>
        </w:rPr>
        <w:t>s</w:t>
      </w:r>
      <w:r w:rsidR="00EC6A62" w:rsidRPr="00EC6A62">
        <w:rPr>
          <w:rFonts w:cs="Times New Roman"/>
          <w:color w:val="000000"/>
          <w:sz w:val="22"/>
        </w:rPr>
        <w:t>, which is well known for exporting labor services</w:t>
      </w:r>
      <w:r w:rsidR="00153F26">
        <w:rPr>
          <w:rFonts w:cs="Times New Roman"/>
          <w:color w:val="000000"/>
          <w:sz w:val="22"/>
        </w:rPr>
        <w:t xml:space="preserve">, </w:t>
      </w:r>
      <w:r w:rsidR="00153F26" w:rsidRPr="00EC6A62">
        <w:rPr>
          <w:rFonts w:cs="Times New Roman"/>
          <w:color w:val="000000"/>
          <w:sz w:val="22"/>
        </w:rPr>
        <w:t>succeeded</w:t>
      </w:r>
      <w:r w:rsidR="00EC6A62" w:rsidRPr="00EC6A62">
        <w:rPr>
          <w:rFonts w:cs="Times New Roman"/>
          <w:color w:val="000000"/>
          <w:sz w:val="22"/>
        </w:rPr>
        <w:t xml:space="preserve"> in securing </w:t>
      </w:r>
      <w:r w:rsidR="003F4476">
        <w:rPr>
          <w:rFonts w:cs="Times New Roman"/>
          <w:color w:val="000000"/>
          <w:sz w:val="22"/>
        </w:rPr>
        <w:t xml:space="preserve">better </w:t>
      </w:r>
      <w:r w:rsidR="00EC6A62" w:rsidRPr="00EC6A62">
        <w:rPr>
          <w:rFonts w:cs="Times New Roman"/>
          <w:color w:val="000000"/>
          <w:sz w:val="22"/>
        </w:rPr>
        <w:t xml:space="preserve">access to </w:t>
      </w:r>
      <w:r w:rsidR="006C1601">
        <w:rPr>
          <w:rFonts w:cs="Times New Roman"/>
          <w:color w:val="000000"/>
          <w:sz w:val="22"/>
        </w:rPr>
        <w:t>Australia and New Zealand labor markets</w:t>
      </w:r>
      <w:r w:rsidR="00EC6A62" w:rsidRPr="00EC6A62">
        <w:rPr>
          <w:rFonts w:cs="Times New Roman"/>
          <w:color w:val="000000"/>
          <w:sz w:val="22"/>
        </w:rPr>
        <w:t xml:space="preserve"> for its wo</w:t>
      </w:r>
      <w:r w:rsidR="00EC6A62" w:rsidRPr="00382D9D">
        <w:rPr>
          <w:rFonts w:cs="Times New Roman"/>
          <w:color w:val="000000"/>
          <w:sz w:val="22"/>
        </w:rPr>
        <w:t>rkers</w:t>
      </w:r>
      <w:r w:rsidR="006C1601" w:rsidRPr="00382D9D">
        <w:rPr>
          <w:rFonts w:cs="Times New Roman"/>
          <w:color w:val="000000"/>
          <w:sz w:val="22"/>
        </w:rPr>
        <w:t xml:space="preserve"> through the FTA A</w:t>
      </w:r>
      <w:r w:rsidR="006C1601" w:rsidRPr="000D1653">
        <w:rPr>
          <w:rFonts w:cs="Times New Roman"/>
          <w:sz w:val="22"/>
        </w:rPr>
        <w:t>SEAN signed with them</w:t>
      </w:r>
      <w:r w:rsidR="00EC6A62" w:rsidRPr="000D1653">
        <w:rPr>
          <w:rFonts w:cs="Times New Roman"/>
          <w:b/>
          <w:color w:val="000000"/>
          <w:sz w:val="22"/>
        </w:rPr>
        <w:t>.</w:t>
      </w:r>
      <w:r w:rsidR="00786508" w:rsidRPr="000D1653">
        <w:rPr>
          <w:rFonts w:cs="Times New Roman"/>
          <w:b/>
          <w:color w:val="000000"/>
          <w:sz w:val="22"/>
        </w:rPr>
        <w:t xml:space="preserve"> </w:t>
      </w:r>
      <w:r w:rsidR="00EC6A62" w:rsidRPr="006C1601">
        <w:rPr>
          <w:rFonts w:cs="Times New Roman"/>
          <w:color w:val="000000"/>
          <w:sz w:val="22"/>
        </w:rPr>
        <w:t xml:space="preserve">Permission to import or export labor services will have economic impacts on the domestic labor market, labor/household income and remittances. It may also engender social and political sensitivities that will need to be anticipated </w:t>
      </w:r>
      <w:r w:rsidR="00EC6A62" w:rsidRPr="006C1601">
        <w:rPr>
          <w:rFonts w:cs="Times New Roman"/>
          <w:sz w:val="22"/>
        </w:rPr>
        <w:t>and</w:t>
      </w:r>
      <w:r w:rsidR="00EC6A62" w:rsidRPr="006C1601">
        <w:rPr>
          <w:rFonts w:cs="Times New Roman"/>
          <w:color w:val="000000"/>
          <w:sz w:val="22"/>
        </w:rPr>
        <w:t xml:space="preserve"> mitigated to ensure social harmony.</w:t>
      </w:r>
      <w:r w:rsidR="00EC6A62" w:rsidRPr="006C1601">
        <w:rPr>
          <w:rFonts w:cs="Times New Roman"/>
          <w:b/>
          <w:color w:val="000000"/>
          <w:sz w:val="22"/>
        </w:rPr>
        <w:t xml:space="preserve"> </w:t>
      </w:r>
    </w:p>
    <w:p w:rsidR="00005922" w:rsidRPr="00F44F2C" w:rsidRDefault="006F3E4C" w:rsidP="00005922">
      <w:pPr>
        <w:pStyle w:val="ListParagraph"/>
        <w:numPr>
          <w:ilvl w:val="0"/>
          <w:numId w:val="1"/>
        </w:numPr>
        <w:tabs>
          <w:tab w:val="left" w:pos="720"/>
        </w:tabs>
        <w:spacing w:after="240" w:line="240" w:lineRule="auto"/>
        <w:ind w:left="0" w:firstLine="0"/>
        <w:contextualSpacing w:val="0"/>
        <w:rPr>
          <w:rFonts w:cs="Times New Roman"/>
          <w:sz w:val="22"/>
        </w:rPr>
      </w:pPr>
      <w:r w:rsidRPr="00F44F2C">
        <w:rPr>
          <w:rFonts w:cs="Times New Roman"/>
          <w:b/>
          <w:color w:val="000000"/>
          <w:sz w:val="22"/>
        </w:rPr>
        <w:t xml:space="preserve">One of the potential gains from any FTA is the possibility of additional </w:t>
      </w:r>
      <w:r w:rsidR="00005922" w:rsidRPr="00F44F2C">
        <w:rPr>
          <w:rFonts w:cs="Times New Roman"/>
          <w:b/>
          <w:color w:val="000000"/>
          <w:sz w:val="22"/>
        </w:rPr>
        <w:t>capital</w:t>
      </w:r>
      <w:r w:rsidRPr="00F44F2C">
        <w:rPr>
          <w:rFonts w:cs="Times New Roman"/>
          <w:b/>
          <w:color w:val="000000"/>
          <w:sz w:val="22"/>
        </w:rPr>
        <w:t xml:space="preserve"> inflows</w:t>
      </w:r>
      <w:r w:rsidRPr="00005922">
        <w:rPr>
          <w:rFonts w:cs="Times New Roman"/>
          <w:color w:val="000000"/>
          <w:sz w:val="22"/>
        </w:rPr>
        <w:t>.</w:t>
      </w:r>
      <w:r w:rsidR="00786508">
        <w:rPr>
          <w:rFonts w:cs="Times New Roman"/>
          <w:color w:val="000000"/>
          <w:sz w:val="22"/>
        </w:rPr>
        <w:t xml:space="preserve"> </w:t>
      </w:r>
      <w:r w:rsidR="00EC6A62" w:rsidRPr="00005922">
        <w:rPr>
          <w:rFonts w:cs="Times New Roman"/>
          <w:color w:val="000000"/>
          <w:sz w:val="22"/>
        </w:rPr>
        <w:t xml:space="preserve">If investment flows are to be facilitated </w:t>
      </w:r>
      <w:r w:rsidR="00382D9D">
        <w:rPr>
          <w:rFonts w:cs="Times New Roman"/>
          <w:color w:val="000000"/>
          <w:sz w:val="22"/>
        </w:rPr>
        <w:t xml:space="preserve">by </w:t>
      </w:r>
      <w:r w:rsidR="00EC6A62" w:rsidRPr="00005922">
        <w:rPr>
          <w:rFonts w:cs="Times New Roman"/>
          <w:color w:val="000000"/>
          <w:sz w:val="22"/>
        </w:rPr>
        <w:t>the FTA, authorities</w:t>
      </w:r>
      <w:r w:rsidR="00005922" w:rsidRPr="00005922">
        <w:rPr>
          <w:rFonts w:cs="Times New Roman"/>
          <w:color w:val="000000"/>
          <w:sz w:val="22"/>
        </w:rPr>
        <w:t xml:space="preserve"> should consider what type of flow they wish to attract and ensure the country’s regulatory framework is adequately prepared.</w:t>
      </w:r>
      <w:r w:rsidR="00786508">
        <w:rPr>
          <w:rFonts w:cs="Times New Roman"/>
          <w:color w:val="000000"/>
          <w:sz w:val="22"/>
        </w:rPr>
        <w:t xml:space="preserve"> </w:t>
      </w:r>
      <w:r w:rsidR="00EC6A62" w:rsidRPr="00005922">
        <w:rPr>
          <w:rFonts w:cs="Times New Roman"/>
          <w:color w:val="000000"/>
          <w:sz w:val="22"/>
        </w:rPr>
        <w:t xml:space="preserve">For instance, </w:t>
      </w:r>
      <w:r w:rsidR="00005922" w:rsidRPr="00005922">
        <w:rPr>
          <w:rFonts w:cs="Times New Roman"/>
          <w:color w:val="000000"/>
          <w:sz w:val="22"/>
        </w:rPr>
        <w:t>is the FTA to facilitate green-field investments?</w:t>
      </w:r>
      <w:r w:rsidR="00786508">
        <w:rPr>
          <w:rFonts w:cs="Times New Roman"/>
          <w:color w:val="000000"/>
          <w:sz w:val="22"/>
        </w:rPr>
        <w:t xml:space="preserve"> </w:t>
      </w:r>
      <w:r w:rsidR="00005922" w:rsidRPr="00005922">
        <w:rPr>
          <w:rFonts w:cs="Times New Roman"/>
          <w:color w:val="000000"/>
          <w:sz w:val="22"/>
        </w:rPr>
        <w:t>Are specific sectors to be targeted for such investment?</w:t>
      </w:r>
      <w:r w:rsidR="00786508">
        <w:rPr>
          <w:rFonts w:cs="Times New Roman"/>
          <w:color w:val="000000"/>
          <w:sz w:val="22"/>
        </w:rPr>
        <w:t xml:space="preserve"> </w:t>
      </w:r>
      <w:r w:rsidR="00005922" w:rsidRPr="00005922">
        <w:rPr>
          <w:rFonts w:cs="Times New Roman"/>
          <w:color w:val="000000"/>
          <w:sz w:val="22"/>
        </w:rPr>
        <w:t xml:space="preserve">Also, portfolio investments can be of interest to help deepen national financial markets, but can also be a source of potential destabilization if </w:t>
      </w:r>
      <w:r w:rsidR="003F4476">
        <w:rPr>
          <w:rFonts w:cs="Times New Roman"/>
          <w:color w:val="000000"/>
          <w:sz w:val="22"/>
        </w:rPr>
        <w:t xml:space="preserve">the country is affected by a </w:t>
      </w:r>
      <w:r w:rsidR="00005922" w:rsidRPr="00005922">
        <w:rPr>
          <w:rFonts w:cs="Times New Roman"/>
          <w:color w:val="000000"/>
          <w:sz w:val="22"/>
        </w:rPr>
        <w:t>financial crisis.</w:t>
      </w:r>
      <w:r w:rsidR="00786508">
        <w:rPr>
          <w:rFonts w:cs="Times New Roman"/>
          <w:color w:val="000000"/>
          <w:sz w:val="22"/>
        </w:rPr>
        <w:t xml:space="preserve"> </w:t>
      </w:r>
    </w:p>
    <w:p w:rsidR="000C7338" w:rsidRPr="00464AA4" w:rsidRDefault="00EC6A62" w:rsidP="00464AA4">
      <w:pPr>
        <w:pStyle w:val="ListParagraph"/>
        <w:tabs>
          <w:tab w:val="left" w:pos="720"/>
        </w:tabs>
        <w:spacing w:after="240" w:line="240" w:lineRule="auto"/>
        <w:ind w:left="0"/>
        <w:contextualSpacing w:val="0"/>
        <w:rPr>
          <w:rFonts w:cs="Times New Roman"/>
          <w:sz w:val="22"/>
        </w:rPr>
      </w:pPr>
      <w:r w:rsidRPr="00464AA4">
        <w:rPr>
          <w:rFonts w:cs="Times New Roman"/>
          <w:b/>
          <w:sz w:val="22"/>
          <w:u w:val="single"/>
        </w:rPr>
        <w:t>Actors</w:t>
      </w:r>
      <w:r w:rsidR="00786508">
        <w:rPr>
          <w:rFonts w:cs="Times New Roman"/>
          <w:b/>
          <w:sz w:val="22"/>
        </w:rPr>
        <w:t xml:space="preserve"> </w:t>
      </w:r>
    </w:p>
    <w:p w:rsidR="00EC6A62" w:rsidRPr="005F4ABD" w:rsidRDefault="00A56C0E" w:rsidP="00005922">
      <w:pPr>
        <w:pStyle w:val="ListParagraph"/>
        <w:numPr>
          <w:ilvl w:val="0"/>
          <w:numId w:val="1"/>
        </w:numPr>
        <w:tabs>
          <w:tab w:val="left" w:pos="720"/>
        </w:tabs>
        <w:spacing w:after="240" w:line="240" w:lineRule="auto"/>
        <w:ind w:left="0" w:firstLine="0"/>
        <w:contextualSpacing w:val="0"/>
        <w:rPr>
          <w:rFonts w:cs="Times New Roman"/>
          <w:sz w:val="22"/>
        </w:rPr>
      </w:pPr>
      <w:r>
        <w:rPr>
          <w:rFonts w:cs="Times New Roman"/>
          <w:b/>
          <w:sz w:val="22"/>
        </w:rPr>
        <w:t>T</w:t>
      </w:r>
      <w:r w:rsidR="00EC6A62" w:rsidRPr="005F4ABD">
        <w:rPr>
          <w:rFonts w:cs="Times New Roman"/>
          <w:b/>
          <w:sz w:val="22"/>
        </w:rPr>
        <w:t>he authorities should address issues that can affect the implementation of FTA</w:t>
      </w:r>
      <w:r w:rsidR="00EC6A62" w:rsidRPr="00005922">
        <w:rPr>
          <w:rFonts w:cs="Times New Roman"/>
          <w:b/>
          <w:color w:val="A11F12"/>
          <w:sz w:val="22"/>
        </w:rPr>
        <w:t>.</w:t>
      </w:r>
      <w:r w:rsidR="00786508">
        <w:rPr>
          <w:rFonts w:cs="Times New Roman"/>
          <w:b/>
          <w:color w:val="A11F12"/>
          <w:sz w:val="22"/>
        </w:rPr>
        <w:t xml:space="preserve"> </w:t>
      </w:r>
      <w:r w:rsidR="00EC6A62" w:rsidRPr="00005922">
        <w:rPr>
          <w:rFonts w:cs="Times New Roman"/>
          <w:color w:val="000000"/>
          <w:sz w:val="22"/>
        </w:rPr>
        <w:t>These issues can be bundled into two categories.</w:t>
      </w:r>
      <w:r w:rsidR="00786508">
        <w:rPr>
          <w:rFonts w:cs="Times New Roman"/>
          <w:color w:val="000000"/>
          <w:sz w:val="22"/>
        </w:rPr>
        <w:t xml:space="preserve"> </w:t>
      </w:r>
      <w:r w:rsidR="00EC6A62" w:rsidRPr="00005922">
        <w:rPr>
          <w:rFonts w:cs="Times New Roman"/>
          <w:color w:val="000000"/>
          <w:sz w:val="22"/>
        </w:rPr>
        <w:t xml:space="preserve">The first category deals with topics such as NTMs, trade facilitation and the role of the public sector. For NTMs, it is important to assess whether there </w:t>
      </w:r>
      <w:r w:rsidR="003504AF">
        <w:rPr>
          <w:rFonts w:cs="Times New Roman"/>
          <w:color w:val="000000"/>
          <w:sz w:val="22"/>
        </w:rPr>
        <w:t xml:space="preserve">will be </w:t>
      </w:r>
      <w:r w:rsidR="00EC6A62" w:rsidRPr="00005922">
        <w:rPr>
          <w:rFonts w:cs="Times New Roman"/>
          <w:color w:val="000000"/>
          <w:sz w:val="22"/>
        </w:rPr>
        <w:t xml:space="preserve">explicit commitments to </w:t>
      </w:r>
      <w:r w:rsidR="00153F26">
        <w:rPr>
          <w:rFonts w:cs="Times New Roman"/>
          <w:color w:val="000000"/>
          <w:sz w:val="22"/>
        </w:rPr>
        <w:t xml:space="preserve">simplifying </w:t>
      </w:r>
      <w:r w:rsidR="00153F26" w:rsidRPr="00005922">
        <w:rPr>
          <w:rFonts w:cs="Times New Roman"/>
          <w:color w:val="000000"/>
          <w:sz w:val="22"/>
        </w:rPr>
        <w:t>NTM</w:t>
      </w:r>
      <w:r w:rsidR="00EC6A62" w:rsidRPr="00005922">
        <w:rPr>
          <w:rFonts w:cs="Times New Roman"/>
          <w:color w:val="000000"/>
          <w:sz w:val="22"/>
        </w:rPr>
        <w:t xml:space="preserve"> regulation</w:t>
      </w:r>
      <w:r w:rsidR="003504AF">
        <w:rPr>
          <w:rFonts w:cs="Times New Roman"/>
          <w:color w:val="000000"/>
          <w:sz w:val="22"/>
        </w:rPr>
        <w:t>s</w:t>
      </w:r>
      <w:r w:rsidR="00EC6A62" w:rsidRPr="00005922">
        <w:rPr>
          <w:rFonts w:cs="Times New Roman"/>
          <w:color w:val="000000"/>
          <w:sz w:val="22"/>
        </w:rPr>
        <w:t xml:space="preserve">. </w:t>
      </w:r>
      <w:r w:rsidR="005F4ABD">
        <w:rPr>
          <w:rFonts w:cs="Times New Roman"/>
          <w:color w:val="000000"/>
          <w:sz w:val="22"/>
        </w:rPr>
        <w:t>In a counter-intuitive way, a</w:t>
      </w:r>
      <w:r w:rsidR="00EC6A62" w:rsidRPr="00005922">
        <w:rPr>
          <w:rFonts w:cs="Times New Roman"/>
          <w:color w:val="000000"/>
          <w:sz w:val="22"/>
        </w:rPr>
        <w:t xml:space="preserve">vailing countries of extensive trade remedy measures can in fact have the opposite effect to that intended by the agreement. The South Asia Free Trade Agreement (SAFTA) is a case in point. India, a member of SAFTA has successfully used the trade remedy measures provided by the agreement to protect its industries, thus negating </w:t>
      </w:r>
      <w:r w:rsidR="000D1653">
        <w:rPr>
          <w:rFonts w:cs="Times New Roman"/>
          <w:color w:val="000000"/>
          <w:sz w:val="22"/>
        </w:rPr>
        <w:t>its</w:t>
      </w:r>
      <w:r w:rsidR="000D1653" w:rsidRPr="00005922">
        <w:rPr>
          <w:rFonts w:cs="Times New Roman"/>
          <w:color w:val="000000"/>
          <w:sz w:val="22"/>
        </w:rPr>
        <w:t xml:space="preserve"> </w:t>
      </w:r>
      <w:r w:rsidR="00EC6A62" w:rsidRPr="00005922">
        <w:rPr>
          <w:rFonts w:cs="Times New Roman"/>
          <w:color w:val="000000"/>
          <w:sz w:val="22"/>
        </w:rPr>
        <w:t>intended goal for tr</w:t>
      </w:r>
      <w:r w:rsidR="00EC6A62" w:rsidRPr="003A692A">
        <w:rPr>
          <w:rFonts w:cs="Times New Roman"/>
          <w:color w:val="000000"/>
          <w:sz w:val="22"/>
        </w:rPr>
        <w:t>a</w:t>
      </w:r>
      <w:r w:rsidR="00EC6A62" w:rsidRPr="003A692A">
        <w:rPr>
          <w:rFonts w:cs="Times New Roman"/>
          <w:sz w:val="22"/>
        </w:rPr>
        <w:t>d</w:t>
      </w:r>
      <w:r w:rsidR="00EC6A62" w:rsidRPr="003A692A">
        <w:rPr>
          <w:rFonts w:cs="Times New Roman"/>
          <w:color w:val="000000"/>
          <w:sz w:val="22"/>
        </w:rPr>
        <w:t>e</w:t>
      </w:r>
      <w:r w:rsidR="003F4476">
        <w:rPr>
          <w:rFonts w:cs="Times New Roman"/>
          <w:color w:val="000000"/>
          <w:sz w:val="22"/>
        </w:rPr>
        <w:t xml:space="preserve"> expansion.</w:t>
      </w:r>
      <w:r w:rsidR="00786508">
        <w:rPr>
          <w:rFonts w:cs="Times New Roman"/>
          <w:color w:val="000000"/>
          <w:sz w:val="22"/>
        </w:rPr>
        <w:t xml:space="preserve"> </w:t>
      </w:r>
      <w:r w:rsidR="003F4476">
        <w:rPr>
          <w:rFonts w:cs="Times New Roman"/>
          <w:color w:val="000000"/>
          <w:sz w:val="22"/>
        </w:rPr>
        <w:t>Also, t</w:t>
      </w:r>
      <w:r w:rsidR="00EC6A62" w:rsidRPr="00005922">
        <w:rPr>
          <w:rFonts w:cs="Times New Roman"/>
          <w:color w:val="000000"/>
          <w:sz w:val="22"/>
        </w:rPr>
        <w:t>he</w:t>
      </w:r>
      <w:r w:rsidR="003F4476">
        <w:rPr>
          <w:rFonts w:cs="Times New Roman"/>
          <w:color w:val="000000"/>
          <w:sz w:val="22"/>
        </w:rPr>
        <w:t xml:space="preserve"> rules of origin (ROO) </w:t>
      </w:r>
      <w:r w:rsidR="005F4ABD">
        <w:rPr>
          <w:rFonts w:cs="Times New Roman"/>
          <w:color w:val="000000"/>
          <w:sz w:val="22"/>
        </w:rPr>
        <w:t xml:space="preserve">can stifle growth in trade, especially </w:t>
      </w:r>
      <w:r w:rsidR="003F4476">
        <w:rPr>
          <w:rFonts w:cs="Times New Roman"/>
          <w:color w:val="000000"/>
          <w:sz w:val="22"/>
        </w:rPr>
        <w:t xml:space="preserve">the </w:t>
      </w:r>
      <w:r w:rsidR="005F4ABD">
        <w:rPr>
          <w:rFonts w:cs="Times New Roman"/>
          <w:color w:val="000000"/>
          <w:sz w:val="22"/>
        </w:rPr>
        <w:t>development of value chains.</w:t>
      </w:r>
      <w:r w:rsidR="00786508">
        <w:rPr>
          <w:rFonts w:cs="Times New Roman"/>
          <w:color w:val="000000"/>
          <w:sz w:val="22"/>
        </w:rPr>
        <w:t xml:space="preserve"> </w:t>
      </w:r>
      <w:r w:rsidR="005F4ABD" w:rsidRPr="00005922">
        <w:rPr>
          <w:rFonts w:cs="Times New Roman"/>
          <w:color w:val="000000"/>
          <w:sz w:val="22"/>
        </w:rPr>
        <w:t>To ease the potential restrictiveness of the ROO</w:t>
      </w:r>
      <w:r w:rsidR="005F4ABD">
        <w:rPr>
          <w:rFonts w:cs="Times New Roman"/>
          <w:color w:val="000000"/>
          <w:sz w:val="22"/>
        </w:rPr>
        <w:t xml:space="preserve">, FTA members can agree to adopt the rules </w:t>
      </w:r>
      <w:r w:rsidR="00F44F2C">
        <w:rPr>
          <w:rFonts w:cs="Times New Roman"/>
          <w:color w:val="000000"/>
          <w:sz w:val="22"/>
        </w:rPr>
        <w:t>governing</w:t>
      </w:r>
      <w:r w:rsidR="005F4ABD">
        <w:rPr>
          <w:rFonts w:cs="Times New Roman"/>
          <w:color w:val="000000"/>
          <w:sz w:val="22"/>
        </w:rPr>
        <w:t xml:space="preserve"> non-preferential trade. Alternatively, more flexible ROO formulas can be used</w:t>
      </w:r>
      <w:r w:rsidR="00EC6A62" w:rsidRPr="00005922">
        <w:rPr>
          <w:rFonts w:cs="Times New Roman"/>
          <w:color w:val="000000"/>
          <w:sz w:val="22"/>
        </w:rPr>
        <w:t>.</w:t>
      </w:r>
      <w:r w:rsidR="005F4ABD">
        <w:rPr>
          <w:rStyle w:val="FootnoteReference"/>
          <w:color w:val="000000"/>
          <w:sz w:val="22"/>
        </w:rPr>
        <w:footnoteReference w:id="19"/>
      </w:r>
      <w:r w:rsidR="00EC6A62" w:rsidRPr="00005922">
        <w:rPr>
          <w:rFonts w:cs="Times New Roman"/>
          <w:color w:val="000000"/>
          <w:sz w:val="22"/>
        </w:rPr>
        <w:t xml:space="preserve"> In trade facilitation/logistics, it will be critical that new FTA partners monitor and evaluate the gain</w:t>
      </w:r>
      <w:r w:rsidR="005F4ABD">
        <w:rPr>
          <w:rFonts w:cs="Times New Roman"/>
          <w:color w:val="000000"/>
          <w:sz w:val="22"/>
        </w:rPr>
        <w:t>s</w:t>
      </w:r>
      <w:r w:rsidR="00EC6A62" w:rsidRPr="00005922">
        <w:rPr>
          <w:rFonts w:cs="Times New Roman"/>
          <w:color w:val="000000"/>
          <w:sz w:val="22"/>
        </w:rPr>
        <w:t xml:space="preserve"> on the ground</w:t>
      </w:r>
      <w:r w:rsidR="005F4ABD">
        <w:rPr>
          <w:rFonts w:cs="Times New Roman"/>
          <w:color w:val="000000"/>
          <w:sz w:val="22"/>
        </w:rPr>
        <w:t xml:space="preserve"> </w:t>
      </w:r>
      <w:r w:rsidR="00EC6A62" w:rsidRPr="00005922">
        <w:rPr>
          <w:rFonts w:cs="Times New Roman"/>
          <w:color w:val="000000"/>
          <w:sz w:val="22"/>
        </w:rPr>
        <w:t>instead of just relying on legal and regulatory texts.</w:t>
      </w:r>
      <w:r w:rsidR="00786508">
        <w:rPr>
          <w:rFonts w:cs="Times New Roman"/>
          <w:color w:val="000000"/>
          <w:sz w:val="22"/>
        </w:rPr>
        <w:t xml:space="preserve"> </w:t>
      </w:r>
      <w:r w:rsidR="00EC6A62" w:rsidRPr="00005922">
        <w:rPr>
          <w:rFonts w:cs="Times New Roman"/>
          <w:color w:val="000000"/>
          <w:sz w:val="22"/>
        </w:rPr>
        <w:t>Often the texts are not appropriately o</w:t>
      </w:r>
      <w:r w:rsidR="00EC6A62" w:rsidRPr="003504AF">
        <w:rPr>
          <w:rFonts w:cs="Times New Roman"/>
          <w:color w:val="000000"/>
          <w:sz w:val="22"/>
        </w:rPr>
        <w:t>r fully implemented, causing undue costs to traders.</w:t>
      </w:r>
      <w:r w:rsidR="003F4476">
        <w:rPr>
          <w:rFonts w:cs="Times New Roman"/>
          <w:color w:val="000000"/>
          <w:sz w:val="22"/>
        </w:rPr>
        <w:t xml:space="preserve"> Given the issues highlighted above, the public sector institutions have a central role in making an FTA a success or a failure.</w:t>
      </w:r>
      <w:r w:rsidR="00786508">
        <w:rPr>
          <w:rFonts w:cs="Times New Roman"/>
          <w:color w:val="000000"/>
          <w:sz w:val="22"/>
        </w:rPr>
        <w:t xml:space="preserve"> </w:t>
      </w:r>
    </w:p>
    <w:tbl>
      <w:tblPr>
        <w:tblStyle w:val="TableGrid"/>
        <w:tblW w:w="0" w:type="auto"/>
        <w:tblLook w:val="04A0" w:firstRow="1" w:lastRow="0" w:firstColumn="1" w:lastColumn="0" w:noHBand="0" w:noVBand="1"/>
      </w:tblPr>
      <w:tblGrid>
        <w:gridCol w:w="9846"/>
      </w:tblGrid>
      <w:tr w:rsidR="007458ED" w:rsidTr="007458ED">
        <w:tc>
          <w:tcPr>
            <w:tcW w:w="9846" w:type="dxa"/>
          </w:tcPr>
          <w:p w:rsidR="007458ED" w:rsidRDefault="0056192E" w:rsidP="006A2D0B">
            <w:pPr>
              <w:pStyle w:val="Caption"/>
              <w:spacing w:after="200"/>
            </w:pPr>
            <w:bookmarkStart w:id="39" w:name="_Toc378151239"/>
            <w:r>
              <w:t xml:space="preserve">Box </w:t>
            </w:r>
            <w:fldSimple w:instr=" SEQ Box \* ARABIC ">
              <w:r>
                <w:rPr>
                  <w:noProof/>
                </w:rPr>
                <w:t>4</w:t>
              </w:r>
            </w:fldSimple>
            <w:r w:rsidR="003A692A">
              <w:t>:</w:t>
            </w:r>
            <w:r w:rsidR="007458ED">
              <w:t xml:space="preserve"> Assessing </w:t>
            </w:r>
            <w:r w:rsidR="00786508">
              <w:t xml:space="preserve">Readiness to Join </w:t>
            </w:r>
            <w:r w:rsidR="007458ED">
              <w:t>an FTA</w:t>
            </w:r>
            <w:bookmarkEnd w:id="39"/>
          </w:p>
          <w:p w:rsidR="007458ED" w:rsidRPr="00517635" w:rsidRDefault="007458ED" w:rsidP="006A2D0B">
            <w:pPr>
              <w:pStyle w:val="ListParagraph"/>
              <w:tabs>
                <w:tab w:val="left" w:pos="720"/>
              </w:tabs>
              <w:spacing w:after="120" w:line="240" w:lineRule="auto"/>
              <w:ind w:left="0"/>
              <w:contextualSpacing w:val="0"/>
              <w:rPr>
                <w:rFonts w:cs="Times New Roman"/>
                <w:sz w:val="20"/>
                <w:szCs w:val="20"/>
              </w:rPr>
            </w:pPr>
            <w:r w:rsidRPr="00517635">
              <w:rPr>
                <w:rFonts w:cs="Times New Roman"/>
                <w:b/>
                <w:color w:val="000000"/>
                <w:sz w:val="20"/>
                <w:szCs w:val="20"/>
              </w:rPr>
              <w:t>Before</w:t>
            </w:r>
            <w:r w:rsidRPr="00517635">
              <w:rPr>
                <w:rFonts w:cs="Times New Roman"/>
                <w:b/>
                <w:sz w:val="20"/>
                <w:szCs w:val="20"/>
              </w:rPr>
              <w:t xml:space="preserve"> launching negotiations for a new FTA, authorities should consider the following</w:t>
            </w:r>
            <w:r w:rsidR="00B448CF" w:rsidRPr="00517635">
              <w:rPr>
                <w:rFonts w:cs="Times New Roman"/>
                <w:b/>
                <w:sz w:val="20"/>
                <w:szCs w:val="20"/>
              </w:rPr>
              <w:t xml:space="preserve"> three</w:t>
            </w:r>
            <w:r w:rsidR="00786508">
              <w:rPr>
                <w:rFonts w:cs="Times New Roman"/>
                <w:b/>
                <w:sz w:val="20"/>
                <w:szCs w:val="20"/>
              </w:rPr>
              <w:t xml:space="preserve"> </w:t>
            </w:r>
            <w:r w:rsidRPr="00517635">
              <w:rPr>
                <w:rFonts w:cs="Times New Roman"/>
                <w:b/>
                <w:sz w:val="20"/>
                <w:szCs w:val="20"/>
              </w:rPr>
              <w:t>issues:</w:t>
            </w:r>
          </w:p>
          <w:p w:rsidR="00B448CF" w:rsidRPr="00517635" w:rsidRDefault="00B448CF" w:rsidP="006A2D0B">
            <w:pPr>
              <w:pStyle w:val="ListParagraph"/>
              <w:numPr>
                <w:ilvl w:val="0"/>
                <w:numId w:val="17"/>
              </w:numPr>
              <w:spacing w:after="60" w:line="240" w:lineRule="auto"/>
              <w:contextualSpacing w:val="0"/>
              <w:rPr>
                <w:rFonts w:cs="Times New Roman"/>
                <w:sz w:val="20"/>
                <w:szCs w:val="20"/>
              </w:rPr>
            </w:pPr>
            <w:r w:rsidRPr="00517635">
              <w:rPr>
                <w:rFonts w:cs="Times New Roman"/>
                <w:sz w:val="20"/>
                <w:szCs w:val="20"/>
              </w:rPr>
              <w:t>What are the objectives of joining an FTA: political, security, economics, socio-cultural?</w:t>
            </w:r>
          </w:p>
          <w:p w:rsidR="007458ED" w:rsidRPr="00517635" w:rsidRDefault="007458ED" w:rsidP="006A2D0B">
            <w:pPr>
              <w:pStyle w:val="ListParagraph"/>
              <w:numPr>
                <w:ilvl w:val="0"/>
                <w:numId w:val="17"/>
              </w:numPr>
              <w:spacing w:after="60" w:line="240" w:lineRule="auto"/>
              <w:contextualSpacing w:val="0"/>
              <w:rPr>
                <w:rFonts w:cs="Times New Roman"/>
                <w:sz w:val="20"/>
                <w:szCs w:val="20"/>
              </w:rPr>
            </w:pPr>
            <w:r w:rsidRPr="00517635">
              <w:rPr>
                <w:rFonts w:cs="Times New Roman"/>
                <w:sz w:val="20"/>
                <w:szCs w:val="20"/>
              </w:rPr>
              <w:t xml:space="preserve">Does the country have the institutional capacity to properly negotiate and implement </w:t>
            </w:r>
            <w:r w:rsidR="00EB27B2">
              <w:rPr>
                <w:rFonts w:cs="Times New Roman"/>
                <w:sz w:val="20"/>
                <w:szCs w:val="20"/>
              </w:rPr>
              <w:t>a new FTA</w:t>
            </w:r>
            <w:r w:rsidRPr="00517635">
              <w:rPr>
                <w:rFonts w:cs="Times New Roman"/>
                <w:sz w:val="20"/>
                <w:szCs w:val="20"/>
              </w:rPr>
              <w:t>?</w:t>
            </w:r>
          </w:p>
          <w:p w:rsidR="007458ED" w:rsidRPr="00517635" w:rsidRDefault="007458ED" w:rsidP="00517635">
            <w:pPr>
              <w:pStyle w:val="ListParagraph"/>
              <w:numPr>
                <w:ilvl w:val="0"/>
                <w:numId w:val="17"/>
              </w:numPr>
              <w:spacing w:after="120" w:line="240" w:lineRule="auto"/>
              <w:contextualSpacing w:val="0"/>
              <w:rPr>
                <w:rFonts w:cs="Times New Roman"/>
                <w:sz w:val="20"/>
                <w:szCs w:val="20"/>
              </w:rPr>
            </w:pPr>
            <w:r w:rsidRPr="00517635">
              <w:rPr>
                <w:rFonts w:cs="Times New Roman"/>
                <w:sz w:val="20"/>
                <w:szCs w:val="20"/>
              </w:rPr>
              <w:t>Has there been an in-depth study</w:t>
            </w:r>
            <w:r w:rsidR="00EB27B2">
              <w:rPr>
                <w:rFonts w:cs="Times New Roman"/>
                <w:sz w:val="20"/>
                <w:szCs w:val="20"/>
              </w:rPr>
              <w:t xml:space="preserve"> of</w:t>
            </w:r>
            <w:r w:rsidRPr="00517635">
              <w:rPr>
                <w:rFonts w:cs="Times New Roman"/>
                <w:sz w:val="20"/>
                <w:szCs w:val="20"/>
              </w:rPr>
              <w:t xml:space="preserve"> the potential impacts of joining </w:t>
            </w:r>
            <w:r w:rsidR="00EB27B2">
              <w:rPr>
                <w:rFonts w:cs="Times New Roman"/>
                <w:sz w:val="20"/>
                <w:szCs w:val="20"/>
              </w:rPr>
              <w:t xml:space="preserve">a </w:t>
            </w:r>
            <w:r w:rsidRPr="00517635">
              <w:rPr>
                <w:rFonts w:cs="Times New Roman"/>
                <w:sz w:val="20"/>
                <w:szCs w:val="20"/>
              </w:rPr>
              <w:t>new FTA?</w:t>
            </w:r>
          </w:p>
          <w:p w:rsidR="007458ED" w:rsidRPr="00517635" w:rsidRDefault="007458ED" w:rsidP="00517635">
            <w:pPr>
              <w:spacing w:after="120" w:line="240" w:lineRule="auto"/>
              <w:rPr>
                <w:rFonts w:cs="Times New Roman"/>
                <w:sz w:val="20"/>
                <w:szCs w:val="20"/>
              </w:rPr>
            </w:pPr>
            <w:r w:rsidRPr="00517635">
              <w:rPr>
                <w:rFonts w:cs="Times New Roman"/>
                <w:b/>
                <w:sz w:val="20"/>
                <w:szCs w:val="20"/>
              </w:rPr>
              <w:t>During negotiations, the authorities should consider the following three pillars</w:t>
            </w:r>
            <w:r w:rsidRPr="00517635">
              <w:rPr>
                <w:rFonts w:cs="Times New Roman"/>
                <w:sz w:val="20"/>
                <w:szCs w:val="20"/>
              </w:rPr>
              <w:t>:</w:t>
            </w:r>
          </w:p>
          <w:p w:rsidR="007458ED" w:rsidRPr="00517635" w:rsidRDefault="007458ED" w:rsidP="006A2D0B">
            <w:pPr>
              <w:pStyle w:val="ListParagraph"/>
              <w:numPr>
                <w:ilvl w:val="0"/>
                <w:numId w:val="17"/>
              </w:numPr>
              <w:spacing w:after="60" w:line="240" w:lineRule="auto"/>
              <w:contextualSpacing w:val="0"/>
              <w:rPr>
                <w:rFonts w:cs="Times New Roman"/>
                <w:sz w:val="20"/>
                <w:szCs w:val="20"/>
              </w:rPr>
            </w:pPr>
            <w:r w:rsidRPr="00517635">
              <w:rPr>
                <w:rFonts w:cs="Times New Roman"/>
                <w:sz w:val="20"/>
                <w:szCs w:val="20"/>
              </w:rPr>
              <w:t>Scope:</w:t>
            </w:r>
            <w:r w:rsidR="00786508">
              <w:rPr>
                <w:rFonts w:cs="Times New Roman"/>
                <w:sz w:val="20"/>
                <w:szCs w:val="20"/>
              </w:rPr>
              <w:t xml:space="preserve"> </w:t>
            </w:r>
            <w:r w:rsidRPr="00517635">
              <w:rPr>
                <w:rFonts w:cs="Times New Roman"/>
                <w:sz w:val="20"/>
                <w:szCs w:val="20"/>
              </w:rPr>
              <w:t>how extensive and how intensive the trade pr</w:t>
            </w:r>
            <w:r w:rsidR="00EB27B2">
              <w:rPr>
                <w:rFonts w:cs="Times New Roman"/>
                <w:sz w:val="20"/>
                <w:szCs w:val="20"/>
              </w:rPr>
              <w:t xml:space="preserve">ivileges will </w:t>
            </w:r>
            <w:r w:rsidRPr="00517635">
              <w:rPr>
                <w:rFonts w:cs="Times New Roman"/>
                <w:sz w:val="20"/>
                <w:szCs w:val="20"/>
              </w:rPr>
              <w:t xml:space="preserve">be? </w:t>
            </w:r>
          </w:p>
          <w:p w:rsidR="007458ED" w:rsidRPr="00517635" w:rsidRDefault="007458ED" w:rsidP="006A2D0B">
            <w:pPr>
              <w:pStyle w:val="ListParagraph"/>
              <w:numPr>
                <w:ilvl w:val="0"/>
                <w:numId w:val="17"/>
              </w:numPr>
              <w:spacing w:after="60" w:line="240" w:lineRule="auto"/>
              <w:contextualSpacing w:val="0"/>
              <w:rPr>
                <w:rFonts w:cs="Times New Roman"/>
                <w:sz w:val="20"/>
                <w:szCs w:val="20"/>
              </w:rPr>
            </w:pPr>
            <w:r w:rsidRPr="00517635">
              <w:rPr>
                <w:rFonts w:cs="Times New Roman"/>
                <w:sz w:val="20"/>
                <w:szCs w:val="20"/>
              </w:rPr>
              <w:t xml:space="preserve">Factors: </w:t>
            </w:r>
            <w:r w:rsidR="00CE642F" w:rsidRPr="00517635">
              <w:rPr>
                <w:rFonts w:cs="Times New Roman"/>
                <w:sz w:val="20"/>
                <w:szCs w:val="20"/>
              </w:rPr>
              <w:t xml:space="preserve">how to deal with labor and capital flows? </w:t>
            </w:r>
          </w:p>
          <w:p w:rsidR="007458ED" w:rsidRPr="00517635" w:rsidRDefault="00EB27B2" w:rsidP="00517635">
            <w:pPr>
              <w:pStyle w:val="ListParagraph"/>
              <w:numPr>
                <w:ilvl w:val="0"/>
                <w:numId w:val="17"/>
              </w:numPr>
              <w:spacing w:after="120" w:line="240" w:lineRule="auto"/>
              <w:contextualSpacing w:val="0"/>
              <w:rPr>
                <w:rFonts w:cs="Times New Roman"/>
                <w:sz w:val="20"/>
                <w:szCs w:val="20"/>
              </w:rPr>
            </w:pPr>
            <w:r>
              <w:rPr>
                <w:rFonts w:cs="Times New Roman"/>
                <w:sz w:val="20"/>
                <w:szCs w:val="20"/>
              </w:rPr>
              <w:t>Actors: h</w:t>
            </w:r>
            <w:r w:rsidR="007458ED" w:rsidRPr="00517635">
              <w:rPr>
                <w:rFonts w:cs="Times New Roman"/>
                <w:sz w:val="20"/>
                <w:szCs w:val="20"/>
              </w:rPr>
              <w:t xml:space="preserve">ave the authorities </w:t>
            </w:r>
            <w:r w:rsidR="00517635" w:rsidRPr="00517635">
              <w:rPr>
                <w:rFonts w:cs="Times New Roman"/>
                <w:sz w:val="20"/>
                <w:szCs w:val="20"/>
              </w:rPr>
              <w:t>ensured that</w:t>
            </w:r>
            <w:r w:rsidR="007458ED" w:rsidRPr="00517635">
              <w:rPr>
                <w:rFonts w:cs="Times New Roman"/>
                <w:sz w:val="20"/>
                <w:szCs w:val="20"/>
              </w:rPr>
              <w:t xml:space="preserve"> the critical details are well worked out in the agreement and well implemented on the ground (NTMs, ROOs and trade facilitation)? </w:t>
            </w:r>
          </w:p>
          <w:p w:rsidR="00464AA4" w:rsidRDefault="00B448CF" w:rsidP="00517635">
            <w:pPr>
              <w:keepNext/>
              <w:spacing w:after="120" w:line="240" w:lineRule="auto"/>
              <w:rPr>
                <w:rFonts w:cs="Times New Roman"/>
                <w:sz w:val="20"/>
                <w:szCs w:val="20"/>
              </w:rPr>
            </w:pPr>
            <w:r w:rsidRPr="00517635">
              <w:rPr>
                <w:rFonts w:cs="Times New Roman"/>
                <w:sz w:val="20"/>
                <w:szCs w:val="20"/>
              </w:rPr>
              <w:t>A cross</w:t>
            </w:r>
            <w:r w:rsidR="00517635">
              <w:rPr>
                <w:rFonts w:cs="Times New Roman"/>
                <w:sz w:val="20"/>
                <w:szCs w:val="20"/>
              </w:rPr>
              <w:t>-</w:t>
            </w:r>
            <w:r w:rsidRPr="00517635">
              <w:rPr>
                <w:rFonts w:cs="Times New Roman"/>
                <w:sz w:val="20"/>
                <w:szCs w:val="20"/>
              </w:rPr>
              <w:t>cutting issue before, during and after negotiations of an agreement is extensive consultation with all parties who will be potentially impacted by the FTA, including private sector and civil society.</w:t>
            </w:r>
            <w:r w:rsidR="00786508">
              <w:rPr>
                <w:rFonts w:cs="Times New Roman"/>
                <w:sz w:val="20"/>
                <w:szCs w:val="20"/>
              </w:rPr>
              <w:t xml:space="preserve"> </w:t>
            </w:r>
            <w:r w:rsidRPr="00517635">
              <w:rPr>
                <w:rFonts w:cs="Times New Roman"/>
                <w:sz w:val="20"/>
                <w:szCs w:val="20"/>
              </w:rPr>
              <w:t xml:space="preserve">This will permit information sharing, but also developing mitigative measures to help alleviate negative impacts of the FTA on specific groups. </w:t>
            </w:r>
          </w:p>
          <w:p w:rsidR="00517635" w:rsidRPr="00EC740F" w:rsidRDefault="00517635" w:rsidP="00517635">
            <w:pPr>
              <w:keepNext/>
              <w:spacing w:after="60" w:line="240" w:lineRule="auto"/>
              <w:rPr>
                <w:sz w:val="20"/>
                <w:szCs w:val="20"/>
                <w:lang w:bidi="ar-SA"/>
              </w:rPr>
            </w:pPr>
            <w:r w:rsidRPr="00517635">
              <w:rPr>
                <w:rFonts w:cs="Times New Roman"/>
                <w:i/>
                <w:sz w:val="20"/>
                <w:szCs w:val="20"/>
              </w:rPr>
              <w:t>Source:</w:t>
            </w:r>
            <w:r w:rsidR="00EC740F">
              <w:rPr>
                <w:rFonts w:cs="Times New Roman"/>
                <w:i/>
                <w:sz w:val="20"/>
                <w:szCs w:val="20"/>
              </w:rPr>
              <w:t xml:space="preserve"> </w:t>
            </w:r>
            <w:r w:rsidR="00EC740F">
              <w:rPr>
                <w:rFonts w:cs="Times New Roman"/>
                <w:sz w:val="20"/>
                <w:szCs w:val="20"/>
              </w:rPr>
              <w:t>World Bank.</w:t>
            </w:r>
          </w:p>
        </w:tc>
      </w:tr>
    </w:tbl>
    <w:p w:rsidR="00EE6DD0" w:rsidRDefault="00EE6DD0" w:rsidP="007951C7"/>
    <w:p w:rsidR="00EE6DD0" w:rsidRPr="000D1653" w:rsidRDefault="00EE6DD0" w:rsidP="00EE6DD0">
      <w:pPr>
        <w:pStyle w:val="ListParagraph"/>
        <w:numPr>
          <w:ilvl w:val="0"/>
          <w:numId w:val="1"/>
        </w:numPr>
        <w:tabs>
          <w:tab w:val="left" w:pos="720"/>
        </w:tabs>
        <w:spacing w:after="240" w:line="240" w:lineRule="auto"/>
        <w:ind w:left="0" w:firstLine="0"/>
        <w:contextualSpacing w:val="0"/>
        <w:rPr>
          <w:rFonts w:cs="Times New Roman"/>
          <w:sz w:val="22"/>
        </w:rPr>
      </w:pPr>
      <w:r w:rsidRPr="00EC6A62">
        <w:rPr>
          <w:rFonts w:cs="Times New Roman"/>
          <w:b/>
          <w:color w:val="000000"/>
          <w:sz w:val="22"/>
        </w:rPr>
        <w:t>Finally, for an FTA to be successful, the authorities need to consul</w:t>
      </w:r>
      <w:r>
        <w:rPr>
          <w:rFonts w:cs="Times New Roman"/>
          <w:b/>
          <w:color w:val="000000"/>
          <w:sz w:val="22"/>
        </w:rPr>
        <w:t>t</w:t>
      </w:r>
      <w:r w:rsidRPr="00EC6A62">
        <w:rPr>
          <w:rFonts w:cs="Times New Roman"/>
          <w:b/>
          <w:color w:val="000000"/>
          <w:sz w:val="22"/>
        </w:rPr>
        <w:t xml:space="preserve"> regularly with the private sector and the civil society</w:t>
      </w:r>
      <w:r>
        <w:rPr>
          <w:rFonts w:cs="Times New Roman"/>
          <w:b/>
          <w:color w:val="000000"/>
          <w:sz w:val="22"/>
        </w:rPr>
        <w:t xml:space="preserve"> before, during and after negotiations</w:t>
      </w:r>
      <w:r w:rsidRPr="00EC6A62">
        <w:rPr>
          <w:rFonts w:cs="Times New Roman"/>
          <w:b/>
          <w:color w:val="000000"/>
          <w:sz w:val="22"/>
        </w:rPr>
        <w:t>.</w:t>
      </w:r>
      <w:r>
        <w:rPr>
          <w:rFonts w:cs="Times New Roman"/>
          <w:color w:val="000000"/>
          <w:sz w:val="22"/>
        </w:rPr>
        <w:t xml:space="preserve"> </w:t>
      </w:r>
      <w:r w:rsidRPr="00EC6A62">
        <w:rPr>
          <w:rFonts w:cs="Times New Roman"/>
          <w:color w:val="000000"/>
          <w:sz w:val="22"/>
        </w:rPr>
        <w:t>The success of this component will depend on the regular assessment of the benefits and costs.</w:t>
      </w:r>
      <w:r>
        <w:rPr>
          <w:rFonts w:cs="Times New Roman"/>
          <w:color w:val="000000"/>
          <w:sz w:val="22"/>
        </w:rPr>
        <w:t xml:space="preserve"> </w:t>
      </w:r>
      <w:r w:rsidRPr="00EC6A62">
        <w:rPr>
          <w:rFonts w:cs="Times New Roman"/>
          <w:color w:val="000000"/>
          <w:sz w:val="22"/>
        </w:rPr>
        <w:t xml:space="preserve">For instance, a firm-level survey undertaken among exporters in ASEAN countries revealed that only 28 percent </w:t>
      </w:r>
      <w:r w:rsidRPr="00F44F2C">
        <w:rPr>
          <w:rFonts w:cs="Times New Roman"/>
          <w:sz w:val="22"/>
        </w:rPr>
        <w:t>used</w:t>
      </w:r>
      <w:r w:rsidRPr="00EC6A62">
        <w:rPr>
          <w:rFonts w:cs="Times New Roman"/>
          <w:color w:val="000000"/>
          <w:sz w:val="22"/>
        </w:rPr>
        <w:t xml:space="preserve"> the FTA benefits.</w:t>
      </w:r>
      <w:r>
        <w:rPr>
          <w:rFonts w:cs="Times New Roman"/>
          <w:color w:val="000000"/>
          <w:sz w:val="22"/>
        </w:rPr>
        <w:t xml:space="preserve"> </w:t>
      </w:r>
      <w:r w:rsidRPr="00EC6A62">
        <w:rPr>
          <w:rFonts w:cs="Times New Roman"/>
          <w:color w:val="000000"/>
          <w:sz w:val="22"/>
        </w:rPr>
        <w:t>Furthermore, open and frequent information sharing and consultation will allow the private sector to acquire knowledge about the potential opportunities offered by the FTA.</w:t>
      </w:r>
      <w:r>
        <w:rPr>
          <w:rFonts w:cs="Times New Roman"/>
          <w:color w:val="000000"/>
          <w:sz w:val="22"/>
        </w:rPr>
        <w:t xml:space="preserve"> </w:t>
      </w:r>
      <w:r w:rsidRPr="00EC6A62">
        <w:rPr>
          <w:rFonts w:cs="Times New Roman"/>
          <w:color w:val="000000"/>
          <w:sz w:val="22"/>
        </w:rPr>
        <w:t>In China, the authorities provide a hotline and website with information on such benefits for the private sector.</w:t>
      </w:r>
      <w:r>
        <w:rPr>
          <w:rFonts w:cs="Times New Roman"/>
          <w:color w:val="000000"/>
          <w:sz w:val="22"/>
        </w:rPr>
        <w:t xml:space="preserve"> </w:t>
      </w:r>
      <w:r w:rsidRPr="00EC6A62">
        <w:rPr>
          <w:rFonts w:cs="Times New Roman"/>
          <w:color w:val="000000"/>
          <w:sz w:val="22"/>
        </w:rPr>
        <w:t>Consultation with the civil society will provide the authorities with information about the concerns of impacted groups, so that targeted assistance can be directed to them</w:t>
      </w:r>
      <w:r>
        <w:rPr>
          <w:rFonts w:cs="Times New Roman"/>
          <w:color w:val="000000"/>
          <w:sz w:val="22"/>
        </w:rPr>
        <w:t xml:space="preserve">. </w:t>
      </w:r>
      <w:r w:rsidRPr="00EC6A62">
        <w:rPr>
          <w:rFonts w:cs="Times New Roman"/>
          <w:color w:val="000000"/>
          <w:sz w:val="22"/>
        </w:rPr>
        <w:t>Mitigative measures will help ease the impact and resist</w:t>
      </w:r>
      <w:r>
        <w:rPr>
          <w:rFonts w:cs="Times New Roman"/>
          <w:color w:val="000000"/>
          <w:sz w:val="22"/>
        </w:rPr>
        <w:t>a</w:t>
      </w:r>
      <w:r w:rsidRPr="00EC6A62">
        <w:rPr>
          <w:rFonts w:cs="Times New Roman"/>
          <w:color w:val="000000"/>
          <w:sz w:val="22"/>
        </w:rPr>
        <w:t xml:space="preserve">nce to such </w:t>
      </w:r>
      <w:r w:rsidRPr="00F44F2C">
        <w:rPr>
          <w:rFonts w:cs="Times New Roman"/>
          <w:sz w:val="22"/>
        </w:rPr>
        <w:t>agreements</w:t>
      </w:r>
      <w:r w:rsidRPr="003504AF">
        <w:rPr>
          <w:rFonts w:cs="Times New Roman"/>
          <w:color w:val="000000"/>
          <w:sz w:val="22"/>
        </w:rPr>
        <w:t>.</w:t>
      </w:r>
      <w:r>
        <w:rPr>
          <w:rFonts w:cs="Times New Roman"/>
          <w:color w:val="000000"/>
          <w:sz w:val="22"/>
        </w:rPr>
        <w:t xml:space="preserve"> </w:t>
      </w:r>
      <w:r w:rsidRPr="00EC6A62">
        <w:rPr>
          <w:rFonts w:cs="Times New Roman"/>
          <w:color w:val="000000"/>
          <w:sz w:val="22"/>
        </w:rPr>
        <w:t>For instance, in the case of NAFTA, the US predicted its textile industry will suffer. One tool it used was providing support to textile workers to retrain and find jobs in other sectors</w:t>
      </w:r>
      <w:r>
        <w:rPr>
          <w:rFonts w:cs="Times New Roman"/>
          <w:color w:val="000000"/>
          <w:sz w:val="22"/>
        </w:rPr>
        <w:t>.</w:t>
      </w:r>
    </w:p>
    <w:p w:rsidR="000C09B9" w:rsidRDefault="00ED517A" w:rsidP="00946D71">
      <w:pPr>
        <w:pStyle w:val="Heading2"/>
      </w:pPr>
      <w:bookmarkStart w:id="40" w:name="_Toc378151203"/>
      <w:r>
        <w:t>Conclusion</w:t>
      </w:r>
      <w:bookmarkEnd w:id="40"/>
    </w:p>
    <w:p w:rsidR="007737CF" w:rsidRPr="007737CF" w:rsidRDefault="009E781C" w:rsidP="007737CF">
      <w:pPr>
        <w:pStyle w:val="ListParagraph"/>
        <w:numPr>
          <w:ilvl w:val="0"/>
          <w:numId w:val="1"/>
        </w:numPr>
        <w:tabs>
          <w:tab w:val="left" w:pos="720"/>
        </w:tabs>
        <w:spacing w:line="240" w:lineRule="auto"/>
        <w:ind w:left="0" w:firstLine="0"/>
        <w:contextualSpacing w:val="0"/>
        <w:rPr>
          <w:rFonts w:cs="Times New Roman"/>
          <w:sz w:val="22"/>
        </w:rPr>
      </w:pPr>
      <w:r w:rsidRPr="00893E3D">
        <w:rPr>
          <w:rFonts w:cs="Times New Roman"/>
          <w:b/>
          <w:color w:val="000000"/>
          <w:sz w:val="22"/>
        </w:rPr>
        <w:t>In conclusion, this note provides a number of suggestions to improve Kazakhstan’s trade policy framework.</w:t>
      </w:r>
      <w:r w:rsidRPr="00893E3D">
        <w:rPr>
          <w:rFonts w:cs="Times New Roman"/>
          <w:color w:val="000000"/>
          <w:sz w:val="22"/>
        </w:rPr>
        <w:t xml:space="preserve"> </w:t>
      </w:r>
    </w:p>
    <w:p w:rsidR="00A03E71" w:rsidRDefault="009E781C" w:rsidP="00CC17E6">
      <w:pPr>
        <w:pStyle w:val="ListParagraph"/>
        <w:numPr>
          <w:ilvl w:val="0"/>
          <w:numId w:val="25"/>
        </w:numPr>
        <w:tabs>
          <w:tab w:val="left" w:pos="720"/>
        </w:tabs>
        <w:spacing w:after="120" w:line="240" w:lineRule="auto"/>
        <w:ind w:left="1080"/>
        <w:contextualSpacing w:val="0"/>
        <w:rPr>
          <w:rFonts w:cs="Times New Roman"/>
          <w:color w:val="000000"/>
          <w:sz w:val="22"/>
        </w:rPr>
      </w:pPr>
      <w:r w:rsidRPr="00CC17E6">
        <w:rPr>
          <w:rFonts w:cs="Times New Roman"/>
          <w:color w:val="000000"/>
          <w:sz w:val="22"/>
        </w:rPr>
        <w:t xml:space="preserve">First, it suggests the authorities accede to the WTO </w:t>
      </w:r>
      <w:r w:rsidR="001B210C" w:rsidRPr="00CC17E6">
        <w:rPr>
          <w:rFonts w:cs="Times New Roman"/>
          <w:color w:val="000000"/>
          <w:sz w:val="22"/>
        </w:rPr>
        <w:t>with a tariff schedule</w:t>
      </w:r>
      <w:r w:rsidRPr="00CC17E6">
        <w:rPr>
          <w:rFonts w:cs="Times New Roman"/>
          <w:color w:val="000000"/>
          <w:sz w:val="22"/>
        </w:rPr>
        <w:t xml:space="preserve"> that </w:t>
      </w:r>
      <w:r w:rsidR="001B210C" w:rsidRPr="002638C7">
        <w:rPr>
          <w:rFonts w:cs="Times New Roman"/>
          <w:color w:val="000000"/>
          <w:sz w:val="22"/>
        </w:rPr>
        <w:t xml:space="preserve">is </w:t>
      </w:r>
      <w:r w:rsidRPr="002638C7">
        <w:rPr>
          <w:rFonts w:cs="Times New Roman"/>
          <w:color w:val="000000"/>
          <w:sz w:val="22"/>
        </w:rPr>
        <w:t xml:space="preserve">more liberal than the one </w:t>
      </w:r>
      <w:r w:rsidR="001B210C" w:rsidRPr="00044893">
        <w:rPr>
          <w:rFonts w:cs="Times New Roman"/>
          <w:color w:val="000000"/>
          <w:sz w:val="22"/>
        </w:rPr>
        <w:t xml:space="preserve">used by </w:t>
      </w:r>
      <w:r w:rsidRPr="00044893">
        <w:rPr>
          <w:rFonts w:cs="Times New Roman"/>
          <w:color w:val="000000"/>
          <w:sz w:val="22"/>
        </w:rPr>
        <w:t>Russia.</w:t>
      </w:r>
      <w:r w:rsidR="00786508" w:rsidRPr="00044893">
        <w:rPr>
          <w:rFonts w:cs="Times New Roman"/>
          <w:color w:val="000000"/>
          <w:sz w:val="22"/>
        </w:rPr>
        <w:t xml:space="preserve"> </w:t>
      </w:r>
      <w:r w:rsidR="007737CF" w:rsidRPr="00044893">
        <w:rPr>
          <w:rFonts w:cs="Times New Roman"/>
          <w:sz w:val="22"/>
        </w:rPr>
        <w:t xml:space="preserve">A more liberal </w:t>
      </w:r>
      <w:r w:rsidR="001B210C" w:rsidRPr="00044893">
        <w:rPr>
          <w:rFonts w:cs="Times New Roman"/>
          <w:sz w:val="22"/>
        </w:rPr>
        <w:t xml:space="preserve">tariff </w:t>
      </w:r>
      <w:r w:rsidR="007737CF" w:rsidRPr="00543A12">
        <w:rPr>
          <w:rFonts w:cs="Times New Roman"/>
          <w:sz w:val="22"/>
        </w:rPr>
        <w:t>schedule would give Kazakhstani producers’ further access to global inputs and its consumers a larger choice of consumption products.</w:t>
      </w:r>
      <w:r w:rsidR="00786508" w:rsidRPr="00B451C4">
        <w:rPr>
          <w:rFonts w:cs="Times New Roman"/>
          <w:sz w:val="22"/>
        </w:rPr>
        <w:t xml:space="preserve"> </w:t>
      </w:r>
      <w:r w:rsidRPr="00B451C4">
        <w:rPr>
          <w:rFonts w:cs="Times New Roman"/>
          <w:color w:val="000000"/>
          <w:sz w:val="22"/>
        </w:rPr>
        <w:t>Also, agreeing to a short timeline for implementing WTO tariff commitments will liberalize the tariff structure quickly and almost fully the pre-CU tariff schedule.</w:t>
      </w:r>
      <w:r w:rsidR="00786508" w:rsidRPr="00B451C4">
        <w:rPr>
          <w:rFonts w:cs="Times New Roman"/>
          <w:color w:val="000000"/>
          <w:sz w:val="22"/>
        </w:rPr>
        <w:t xml:space="preserve"> </w:t>
      </w:r>
    </w:p>
    <w:p w:rsidR="00A03E71" w:rsidRPr="001B1074" w:rsidRDefault="007737CF" w:rsidP="000002D1">
      <w:pPr>
        <w:pStyle w:val="ListParagraph"/>
        <w:numPr>
          <w:ilvl w:val="0"/>
          <w:numId w:val="25"/>
        </w:numPr>
        <w:tabs>
          <w:tab w:val="left" w:pos="720"/>
        </w:tabs>
        <w:spacing w:after="120" w:line="240" w:lineRule="auto"/>
        <w:ind w:left="1080"/>
        <w:contextualSpacing w:val="0"/>
        <w:rPr>
          <w:rFonts w:cs="Times New Roman"/>
          <w:color w:val="000000"/>
          <w:sz w:val="22"/>
        </w:rPr>
      </w:pPr>
      <w:r w:rsidRPr="00CC17E6">
        <w:rPr>
          <w:rFonts w:cs="Times New Roman"/>
          <w:color w:val="000000"/>
          <w:sz w:val="22"/>
        </w:rPr>
        <w:t xml:space="preserve">Second, the authorities should consider larger tariff reductions for capital and intermediate goods than the ones included </w:t>
      </w:r>
      <w:r w:rsidRPr="00044893">
        <w:rPr>
          <w:rFonts w:cs="Times New Roman"/>
          <w:sz w:val="22"/>
        </w:rPr>
        <w:t>in</w:t>
      </w:r>
      <w:r w:rsidRPr="00044893">
        <w:rPr>
          <w:rFonts w:cs="Times New Roman"/>
          <w:color w:val="000000"/>
          <w:sz w:val="22"/>
        </w:rPr>
        <w:t xml:space="preserve"> the Russian schedule.</w:t>
      </w:r>
      <w:r w:rsidR="00786508" w:rsidRPr="00044893">
        <w:rPr>
          <w:rFonts w:cs="Times New Roman"/>
          <w:color w:val="000000"/>
          <w:sz w:val="22"/>
        </w:rPr>
        <w:t xml:space="preserve"> </w:t>
      </w:r>
      <w:r w:rsidR="009E781C" w:rsidRPr="00044893">
        <w:rPr>
          <w:rFonts w:cs="Times New Roman"/>
          <w:color w:val="000000"/>
          <w:sz w:val="22"/>
        </w:rPr>
        <w:t>The note finds that accession to the WTO using the Russia tariff schedule will alleviate the impact of higher CU tariff schedules on intermediate imports. This should ease the concer</w:t>
      </w:r>
      <w:r w:rsidR="009E781C" w:rsidRPr="00543A12">
        <w:rPr>
          <w:rFonts w:cs="Times New Roman"/>
          <w:color w:val="000000"/>
          <w:sz w:val="22"/>
        </w:rPr>
        <w:t xml:space="preserve">n that the higher CU tariff may in the long run affect the knowledge and technology content of intermediate inputs and by extension the productivity </w:t>
      </w:r>
      <w:r w:rsidR="009E781C" w:rsidRPr="001B1074">
        <w:rPr>
          <w:rFonts w:cs="Times New Roman"/>
          <w:color w:val="000000"/>
          <w:sz w:val="22"/>
        </w:rPr>
        <w:t>growth in Kazakhstani sectors that use them</w:t>
      </w:r>
      <w:r w:rsidRPr="001B1074">
        <w:rPr>
          <w:rFonts w:cs="Times New Roman"/>
          <w:color w:val="000000"/>
          <w:sz w:val="22"/>
        </w:rPr>
        <w:t>.</w:t>
      </w:r>
    </w:p>
    <w:p w:rsidR="00A03E71" w:rsidRPr="000002D1" w:rsidRDefault="00A03E71" w:rsidP="000002D1">
      <w:pPr>
        <w:pStyle w:val="ListParagraph"/>
        <w:numPr>
          <w:ilvl w:val="0"/>
          <w:numId w:val="25"/>
        </w:numPr>
        <w:tabs>
          <w:tab w:val="left" w:pos="720"/>
        </w:tabs>
        <w:spacing w:after="120" w:line="240" w:lineRule="auto"/>
        <w:ind w:left="1080"/>
        <w:contextualSpacing w:val="0"/>
        <w:rPr>
          <w:rFonts w:cs="Times New Roman"/>
          <w:color w:val="000000"/>
          <w:sz w:val="22"/>
        </w:rPr>
      </w:pPr>
      <w:r w:rsidRPr="001B1074">
        <w:rPr>
          <w:rFonts w:cs="Times New Roman"/>
          <w:color w:val="000000"/>
          <w:sz w:val="22"/>
        </w:rPr>
        <w:t xml:space="preserve">Third, </w:t>
      </w:r>
      <w:r w:rsidRPr="000002D1">
        <w:rPr>
          <w:rFonts w:cs="Times New Roman"/>
          <w:color w:val="000000"/>
          <w:sz w:val="22"/>
        </w:rPr>
        <w:t>finalizing WTO negotiations in the disciplines not related to market access (tariffs) will help advance the accession process</w:t>
      </w:r>
      <w:r w:rsidR="00D06E96" w:rsidRPr="000002D1">
        <w:rPr>
          <w:rFonts w:cs="Times New Roman"/>
          <w:color w:val="000000"/>
          <w:sz w:val="22"/>
        </w:rPr>
        <w:t xml:space="preserve">. These include:  the </w:t>
      </w:r>
      <w:r w:rsidRPr="000002D1">
        <w:rPr>
          <w:rFonts w:cs="Times New Roman"/>
          <w:color w:val="000000"/>
          <w:sz w:val="22"/>
        </w:rPr>
        <w:t>services agreement</w:t>
      </w:r>
      <w:r w:rsidR="00D06E96" w:rsidRPr="000002D1">
        <w:rPr>
          <w:rFonts w:cs="Times New Roman"/>
          <w:color w:val="000000"/>
          <w:sz w:val="22"/>
        </w:rPr>
        <w:t xml:space="preserve">; </w:t>
      </w:r>
      <w:r w:rsidRPr="000002D1">
        <w:rPr>
          <w:rFonts w:cs="Times New Roman"/>
          <w:color w:val="000000"/>
          <w:sz w:val="22"/>
        </w:rPr>
        <w:t>regulations and practices governing sanitary and phytosanitary (SPS) measures and technical regulations</w:t>
      </w:r>
      <w:r w:rsidR="00D06E96" w:rsidRPr="000002D1">
        <w:rPr>
          <w:rFonts w:cs="Times New Roman"/>
          <w:color w:val="000000"/>
          <w:sz w:val="22"/>
        </w:rPr>
        <w:t xml:space="preserve">; the </w:t>
      </w:r>
      <w:r w:rsidRPr="000002D1">
        <w:rPr>
          <w:rFonts w:cs="Times New Roman"/>
          <w:color w:val="000000"/>
          <w:sz w:val="22"/>
        </w:rPr>
        <w:t xml:space="preserve">pending issues related to state-owned enterprises, local content requirements and discriminatory VAT preferences; and trading rights and treatment of natural persons.  </w:t>
      </w:r>
    </w:p>
    <w:p w:rsidR="000C09B9" w:rsidRPr="000002D1" w:rsidRDefault="00D06E96" w:rsidP="00946D71">
      <w:pPr>
        <w:pStyle w:val="ListParagraph"/>
        <w:numPr>
          <w:ilvl w:val="0"/>
          <w:numId w:val="25"/>
        </w:numPr>
        <w:tabs>
          <w:tab w:val="left" w:pos="720"/>
        </w:tabs>
        <w:spacing w:after="120" w:line="240" w:lineRule="auto"/>
        <w:ind w:left="1080"/>
        <w:contextualSpacing w:val="0"/>
        <w:rPr>
          <w:rFonts w:cs="Times New Roman"/>
          <w:color w:val="000000"/>
          <w:sz w:val="22"/>
        </w:rPr>
      </w:pPr>
      <w:r w:rsidRPr="001B1074">
        <w:rPr>
          <w:rFonts w:cs="Times New Roman"/>
          <w:color w:val="000000"/>
          <w:sz w:val="22"/>
        </w:rPr>
        <w:t>Fourth</w:t>
      </w:r>
      <w:r w:rsidR="007737CF" w:rsidRPr="001B1074">
        <w:rPr>
          <w:rFonts w:cs="Times New Roman"/>
          <w:color w:val="000000"/>
          <w:sz w:val="22"/>
        </w:rPr>
        <w:t xml:space="preserve">, </w:t>
      </w:r>
      <w:r w:rsidR="000C09B9" w:rsidRPr="000002D1">
        <w:rPr>
          <w:rFonts w:cs="Times New Roman"/>
          <w:color w:val="000000"/>
          <w:sz w:val="22"/>
        </w:rPr>
        <w:t>Kazakhstan should take time to carefully study any proposal to negotiate a new FTA. Regional and bilateral agreements can be complex and are prone to failure.</w:t>
      </w:r>
      <w:r w:rsidR="00786508" w:rsidRPr="000002D1">
        <w:rPr>
          <w:rFonts w:cs="Times New Roman"/>
          <w:color w:val="000000"/>
          <w:sz w:val="22"/>
        </w:rPr>
        <w:t xml:space="preserve"> </w:t>
      </w:r>
      <w:r w:rsidR="000C09B9" w:rsidRPr="000002D1">
        <w:rPr>
          <w:rFonts w:cs="Times New Roman"/>
          <w:color w:val="000000"/>
          <w:sz w:val="22"/>
        </w:rPr>
        <w:t>Before negotiating, Kazakhstan should take time to assess the benefit and costs of such a membership. This would include analyzing proposals fully and building capacity to implement them properly.</w:t>
      </w:r>
      <w:r w:rsidR="00786508" w:rsidRPr="000002D1">
        <w:rPr>
          <w:rFonts w:cs="Times New Roman"/>
          <w:color w:val="000000"/>
          <w:sz w:val="22"/>
        </w:rPr>
        <w:t xml:space="preserve"> </w:t>
      </w:r>
    </w:p>
    <w:p w:rsidR="00A03E71" w:rsidRPr="000002D1" w:rsidRDefault="00D06E96" w:rsidP="000002D1">
      <w:pPr>
        <w:pStyle w:val="ListParagraph"/>
        <w:numPr>
          <w:ilvl w:val="0"/>
          <w:numId w:val="25"/>
        </w:numPr>
        <w:tabs>
          <w:tab w:val="left" w:pos="720"/>
        </w:tabs>
        <w:spacing w:after="120" w:line="240" w:lineRule="auto"/>
        <w:ind w:left="1080"/>
        <w:contextualSpacing w:val="0"/>
        <w:rPr>
          <w:rFonts w:cs="Times New Roman"/>
          <w:color w:val="000000"/>
          <w:sz w:val="22"/>
        </w:rPr>
      </w:pPr>
      <w:r w:rsidRPr="000002D1">
        <w:rPr>
          <w:rFonts w:cs="Times New Roman"/>
          <w:color w:val="000000"/>
          <w:sz w:val="22"/>
        </w:rPr>
        <w:t xml:space="preserve">Finally, </w:t>
      </w:r>
      <w:r w:rsidR="00CA4713">
        <w:rPr>
          <w:rFonts w:cs="Times New Roman"/>
          <w:color w:val="000000"/>
          <w:sz w:val="22"/>
        </w:rPr>
        <w:t>i</w:t>
      </w:r>
      <w:r w:rsidR="00A03E71" w:rsidRPr="000002D1">
        <w:rPr>
          <w:rFonts w:cs="Times New Roman"/>
          <w:color w:val="000000"/>
          <w:sz w:val="22"/>
        </w:rPr>
        <w:t>f negotiating an FTA, the authorities should adopt a design that includes (i) low external MFN tariffs; (ii) few sectoral and product exemptions; (iii) nonrestrictive rules of origin; and (i</w:t>
      </w:r>
      <w:r w:rsidR="00DD1AF6">
        <w:rPr>
          <w:rFonts w:cs="Times New Roman"/>
          <w:color w:val="000000"/>
          <w:sz w:val="22"/>
        </w:rPr>
        <w:t xml:space="preserve">v) </w:t>
      </w:r>
      <w:r w:rsidR="00CA4713">
        <w:rPr>
          <w:rFonts w:cs="Times New Roman"/>
          <w:color w:val="000000"/>
          <w:sz w:val="22"/>
        </w:rPr>
        <w:t>measures to facilitate trade</w:t>
      </w:r>
      <w:r w:rsidR="00A03E71" w:rsidRPr="000002D1">
        <w:rPr>
          <w:rFonts w:cs="Times New Roman"/>
          <w:color w:val="000000"/>
          <w:sz w:val="22"/>
        </w:rPr>
        <w:t xml:space="preserve">.  </w:t>
      </w:r>
    </w:p>
    <w:p w:rsidR="00A03E71" w:rsidRPr="000002D1" w:rsidRDefault="00A03E71" w:rsidP="000002D1">
      <w:pPr>
        <w:pStyle w:val="ListParagraph"/>
        <w:tabs>
          <w:tab w:val="left" w:pos="720"/>
        </w:tabs>
        <w:spacing w:after="120" w:line="240" w:lineRule="auto"/>
        <w:ind w:left="1080"/>
        <w:contextualSpacing w:val="0"/>
        <w:rPr>
          <w:rFonts w:cs="Times New Roman"/>
          <w:color w:val="000000"/>
          <w:sz w:val="22"/>
        </w:rPr>
      </w:pPr>
    </w:p>
    <w:p w:rsidR="004C38D3" w:rsidRPr="004C38D3" w:rsidRDefault="00BC0A9B" w:rsidP="00DE7230">
      <w:pPr>
        <w:pStyle w:val="Heading2"/>
        <w:numPr>
          <w:ilvl w:val="0"/>
          <w:numId w:val="0"/>
        </w:numPr>
      </w:pPr>
      <w:r>
        <w:rPr>
          <w:sz w:val="22"/>
        </w:rPr>
        <w:br w:type="page"/>
      </w:r>
      <w:bookmarkStart w:id="41" w:name="_Toc371607427"/>
      <w:bookmarkStart w:id="42" w:name="_Toc378151204"/>
      <w:r w:rsidR="004C38D3" w:rsidRPr="004C38D3">
        <w:lastRenderedPageBreak/>
        <w:t>Reference</w:t>
      </w:r>
      <w:r w:rsidR="001C2057">
        <w:t>s</w:t>
      </w:r>
      <w:bookmarkEnd w:id="41"/>
      <w:bookmarkEnd w:id="42"/>
    </w:p>
    <w:p w:rsidR="004C38D3" w:rsidRPr="00A71CC4" w:rsidRDefault="004C38D3" w:rsidP="00EA3DE0">
      <w:pPr>
        <w:autoSpaceDE w:val="0"/>
        <w:autoSpaceDN w:val="0"/>
        <w:adjustRightInd w:val="0"/>
        <w:spacing w:line="240" w:lineRule="auto"/>
        <w:ind w:left="504" w:hanging="504"/>
        <w:jc w:val="left"/>
        <w:rPr>
          <w:rFonts w:cs="Times New Roman"/>
          <w:sz w:val="22"/>
        </w:rPr>
      </w:pPr>
      <w:r w:rsidRPr="00A71CC4">
        <w:rPr>
          <w:rFonts w:cs="Times New Roman"/>
          <w:sz w:val="22"/>
        </w:rPr>
        <w:t>Asia Development Bank. 2010. Free Trade Agreement Database for Asia.</w:t>
      </w:r>
      <w:r w:rsidR="00786508">
        <w:rPr>
          <w:rFonts w:cs="Times New Roman"/>
          <w:sz w:val="22"/>
        </w:rPr>
        <w:t xml:space="preserve"> </w:t>
      </w:r>
      <w:r w:rsidRPr="00A71CC4">
        <w:rPr>
          <w:rFonts w:cs="Times New Roman"/>
          <w:sz w:val="22"/>
        </w:rPr>
        <w:t>Asian Regional Integrati</w:t>
      </w:r>
      <w:r w:rsidR="004702C4" w:rsidRPr="00A71CC4">
        <w:rPr>
          <w:rFonts w:cs="Times New Roman"/>
          <w:sz w:val="22"/>
        </w:rPr>
        <w:t xml:space="preserve">on Center. </w:t>
      </w:r>
    </w:p>
    <w:p w:rsidR="004C38D3" w:rsidRPr="00597CFC" w:rsidRDefault="004C38D3" w:rsidP="00EA3DE0">
      <w:pPr>
        <w:autoSpaceDE w:val="0"/>
        <w:autoSpaceDN w:val="0"/>
        <w:adjustRightInd w:val="0"/>
        <w:spacing w:line="240" w:lineRule="auto"/>
        <w:ind w:left="720" w:hanging="720"/>
        <w:jc w:val="left"/>
        <w:rPr>
          <w:rFonts w:cs="Times New Roman"/>
          <w:sz w:val="22"/>
        </w:rPr>
      </w:pPr>
      <w:r w:rsidRPr="00597CFC">
        <w:rPr>
          <w:rFonts w:cs="Times New Roman"/>
          <w:sz w:val="22"/>
        </w:rPr>
        <w:t>Baldwin, Richard.</w:t>
      </w:r>
      <w:r w:rsidR="00786508">
        <w:rPr>
          <w:rFonts w:cs="Times New Roman"/>
          <w:sz w:val="22"/>
        </w:rPr>
        <w:t xml:space="preserve"> </w:t>
      </w:r>
      <w:r w:rsidRPr="00597CFC">
        <w:rPr>
          <w:rFonts w:cs="Times New Roman"/>
          <w:sz w:val="22"/>
        </w:rPr>
        <w:t>2011.</w:t>
      </w:r>
      <w:r w:rsidR="00786508">
        <w:rPr>
          <w:rFonts w:cs="Times New Roman"/>
          <w:sz w:val="22"/>
        </w:rPr>
        <w:t xml:space="preserve"> </w:t>
      </w:r>
      <w:r w:rsidRPr="00597CFC">
        <w:rPr>
          <w:rFonts w:cs="Times New Roman"/>
          <w:sz w:val="22"/>
        </w:rPr>
        <w:t>Sequencing Regionalism: Theory, European Practice, and Lessons for Asia.</w:t>
      </w:r>
    </w:p>
    <w:p w:rsidR="00597CFC" w:rsidRPr="00A95294" w:rsidRDefault="00597CFC" w:rsidP="00EA3DE0">
      <w:pPr>
        <w:autoSpaceDE w:val="0"/>
        <w:autoSpaceDN w:val="0"/>
        <w:adjustRightInd w:val="0"/>
        <w:spacing w:line="240" w:lineRule="auto"/>
        <w:ind w:left="504" w:hanging="504"/>
        <w:jc w:val="left"/>
        <w:rPr>
          <w:rFonts w:cs="Times New Roman"/>
          <w:sz w:val="22"/>
        </w:rPr>
      </w:pPr>
      <w:r w:rsidRPr="00F44F2C">
        <w:rPr>
          <w:rFonts w:cs="Times New Roman"/>
          <w:sz w:val="22"/>
        </w:rPr>
        <w:t xml:space="preserve">Centre for </w:t>
      </w:r>
      <w:r w:rsidRPr="00A71CC4">
        <w:rPr>
          <w:rFonts w:cs="Times New Roman"/>
          <w:sz w:val="22"/>
        </w:rPr>
        <w:t xml:space="preserve">International </w:t>
      </w:r>
      <w:r w:rsidRPr="00F44F2C">
        <w:rPr>
          <w:rFonts w:cs="Times New Roman"/>
          <w:sz w:val="22"/>
        </w:rPr>
        <w:t>Economics.</w:t>
      </w:r>
      <w:r w:rsidR="00786508">
        <w:rPr>
          <w:rFonts w:cs="Times New Roman"/>
          <w:sz w:val="22"/>
        </w:rPr>
        <w:t xml:space="preserve"> </w:t>
      </w:r>
      <w:r w:rsidRPr="00F44F2C">
        <w:rPr>
          <w:rFonts w:cs="Times New Roman"/>
          <w:sz w:val="22"/>
        </w:rPr>
        <w:t>2000 Economic benefits from an AFTA-CER free trade area</w:t>
      </w:r>
      <w:r w:rsidRPr="00F44F2C">
        <w:rPr>
          <w:rFonts w:cs="Times New Roman"/>
          <w:i/>
          <w:sz w:val="22"/>
        </w:rPr>
        <w:t>.</w:t>
      </w:r>
      <w:r w:rsidR="00786508">
        <w:rPr>
          <w:rFonts w:cs="Times New Roman"/>
          <w:sz w:val="22"/>
        </w:rPr>
        <w:t xml:space="preserve"> </w:t>
      </w:r>
      <w:r w:rsidRPr="00F44F2C">
        <w:rPr>
          <w:rFonts w:cs="Times New Roman"/>
          <w:sz w:val="22"/>
        </w:rPr>
        <w:t xml:space="preserve"> </w:t>
      </w:r>
      <w:r w:rsidRPr="00A95294">
        <w:rPr>
          <w:rFonts w:cs="Times New Roman"/>
          <w:sz w:val="22"/>
        </w:rPr>
        <w:t xml:space="preserve">Government </w:t>
      </w:r>
      <w:r w:rsidRPr="00F44F2C">
        <w:rPr>
          <w:rFonts w:cs="Times New Roman"/>
          <w:sz w:val="22"/>
        </w:rPr>
        <w:t>of Australia.</w:t>
      </w:r>
      <w:r w:rsidR="00786508">
        <w:rPr>
          <w:rFonts w:cs="Times New Roman"/>
          <w:sz w:val="22"/>
        </w:rPr>
        <w:t xml:space="preserve"> </w:t>
      </w:r>
      <w:hyperlink r:id="rId18" w:history="1">
        <w:r w:rsidRPr="00F44F2C">
          <w:rPr>
            <w:sz w:val="22"/>
          </w:rPr>
          <w:t>http://www.dfat.gov.au/fta/aanzfta/economic-benefits-aftacer-cie-2000.pdf</w:t>
        </w:r>
      </w:hyperlink>
    </w:p>
    <w:p w:rsidR="0013345E" w:rsidRDefault="00064CCF" w:rsidP="00EA3DE0">
      <w:pPr>
        <w:autoSpaceDE w:val="0"/>
        <w:autoSpaceDN w:val="0"/>
        <w:adjustRightInd w:val="0"/>
        <w:spacing w:line="240" w:lineRule="auto"/>
        <w:ind w:left="504" w:hanging="504"/>
        <w:jc w:val="left"/>
        <w:rPr>
          <w:sz w:val="22"/>
        </w:rPr>
      </w:pPr>
      <w:r w:rsidRPr="00F44F2C">
        <w:rPr>
          <w:sz w:val="22"/>
        </w:rPr>
        <w:t xml:space="preserve">Copenhagen </w:t>
      </w:r>
      <w:r w:rsidRPr="00A71CC4">
        <w:rPr>
          <w:rFonts w:cs="Times New Roman"/>
          <w:sz w:val="22"/>
        </w:rPr>
        <w:t>Economics</w:t>
      </w:r>
      <w:r w:rsidRPr="00A71CC4">
        <w:rPr>
          <w:sz w:val="22"/>
        </w:rPr>
        <w:t>.</w:t>
      </w:r>
      <w:r w:rsidRPr="00F44F2C">
        <w:rPr>
          <w:sz w:val="22"/>
        </w:rPr>
        <w:t xml:space="preserve"> 2011.</w:t>
      </w:r>
      <w:r w:rsidR="00786508">
        <w:rPr>
          <w:sz w:val="22"/>
        </w:rPr>
        <w:t xml:space="preserve"> </w:t>
      </w:r>
      <w:r w:rsidRPr="00F44F2C">
        <w:rPr>
          <w:sz w:val="22"/>
        </w:rPr>
        <w:t xml:space="preserve">Ex-post assessment of six EU free trade agreements – an econometric assessment of their impact on trade. </w:t>
      </w:r>
    </w:p>
    <w:p w:rsidR="00064CCF" w:rsidRPr="00A95294" w:rsidRDefault="00064CCF" w:rsidP="00EA3DE0">
      <w:pPr>
        <w:autoSpaceDE w:val="0"/>
        <w:autoSpaceDN w:val="0"/>
        <w:adjustRightInd w:val="0"/>
        <w:spacing w:line="240" w:lineRule="auto"/>
        <w:ind w:left="1008" w:hanging="504"/>
        <w:jc w:val="left"/>
        <w:rPr>
          <w:rFonts w:cs="Times New Roman"/>
          <w:sz w:val="22"/>
        </w:rPr>
      </w:pPr>
      <w:r w:rsidRPr="00F44F2C">
        <w:rPr>
          <w:sz w:val="22"/>
        </w:rPr>
        <w:t>http://trade.ec.europa.eu/doclib/docs/2011/may/tradoc_147905.pdf</w:t>
      </w:r>
    </w:p>
    <w:p w:rsidR="004C38D3" w:rsidRPr="00CC0F75" w:rsidRDefault="004C38D3" w:rsidP="00EA3DE0">
      <w:pPr>
        <w:autoSpaceDE w:val="0"/>
        <w:autoSpaceDN w:val="0"/>
        <w:adjustRightInd w:val="0"/>
        <w:spacing w:line="240" w:lineRule="auto"/>
        <w:ind w:left="504" w:hanging="504"/>
        <w:jc w:val="left"/>
        <w:rPr>
          <w:rFonts w:cs="Times New Roman"/>
          <w:sz w:val="22"/>
        </w:rPr>
      </w:pPr>
      <w:r w:rsidRPr="00A71CC4">
        <w:rPr>
          <w:rFonts w:cs="Times New Roman"/>
          <w:sz w:val="22"/>
        </w:rPr>
        <w:t>European Commission.</w:t>
      </w:r>
      <w:r w:rsidR="00786508">
        <w:rPr>
          <w:rFonts w:cs="Times New Roman"/>
          <w:sz w:val="22"/>
        </w:rPr>
        <w:t xml:space="preserve"> </w:t>
      </w:r>
      <w:r w:rsidRPr="0068333D">
        <w:rPr>
          <w:rFonts w:cs="Times New Roman"/>
          <w:sz w:val="22"/>
        </w:rPr>
        <w:t>2009. Trade Sustainability Impact Asses</w:t>
      </w:r>
      <w:r w:rsidRPr="000D5FDA">
        <w:rPr>
          <w:rFonts w:cs="Times New Roman"/>
          <w:sz w:val="22"/>
        </w:rPr>
        <w:t>sment for the FTA</w:t>
      </w:r>
      <w:r w:rsidR="00394E71" w:rsidRPr="000D5FDA">
        <w:rPr>
          <w:rFonts w:cs="Times New Roman"/>
          <w:sz w:val="22"/>
        </w:rPr>
        <w:t xml:space="preserve"> </w:t>
      </w:r>
      <w:r w:rsidRPr="000D5FDA">
        <w:rPr>
          <w:rFonts w:cs="Times New Roman"/>
          <w:sz w:val="22"/>
        </w:rPr>
        <w:t>between the EU and the Republic of India.</w:t>
      </w:r>
      <w:r w:rsidR="00044647" w:rsidRPr="00F501E5">
        <w:rPr>
          <w:rFonts w:cs="Times New Roman"/>
          <w:sz w:val="22"/>
        </w:rPr>
        <w:t xml:space="preserve"> </w:t>
      </w:r>
      <w:r w:rsidRPr="00F501E5">
        <w:rPr>
          <w:rFonts w:cs="Times New Roman"/>
          <w:sz w:val="22"/>
        </w:rPr>
        <w:t>DC-Trade</w:t>
      </w:r>
      <w:r w:rsidR="00786508">
        <w:rPr>
          <w:rFonts w:cs="Times New Roman"/>
          <w:sz w:val="22"/>
        </w:rPr>
        <w:t xml:space="preserve">  </w:t>
      </w:r>
      <w:r w:rsidRPr="00F501E5">
        <w:rPr>
          <w:rFonts w:cs="Times New Roman"/>
          <w:sz w:val="22"/>
        </w:rPr>
        <w:t xml:space="preserve"> </w:t>
      </w:r>
    </w:p>
    <w:p w:rsidR="000054BF" w:rsidRPr="006F3934" w:rsidRDefault="00893E3D" w:rsidP="006F3934">
      <w:pPr>
        <w:autoSpaceDE w:val="0"/>
        <w:autoSpaceDN w:val="0"/>
        <w:adjustRightInd w:val="0"/>
        <w:spacing w:line="240" w:lineRule="auto"/>
        <w:jc w:val="left"/>
        <w:rPr>
          <w:rFonts w:cs="Times New Roman"/>
          <w:sz w:val="22"/>
        </w:rPr>
      </w:pPr>
      <w:r w:rsidRPr="00044647">
        <w:rPr>
          <w:sz w:val="22"/>
        </w:rPr>
        <w:t>_____.</w:t>
      </w:r>
      <w:r w:rsidR="00DB3006">
        <w:rPr>
          <w:sz w:val="22"/>
        </w:rPr>
        <w:t xml:space="preserve"> </w:t>
      </w:r>
      <w:r w:rsidR="000054BF">
        <w:rPr>
          <w:sz w:val="22"/>
        </w:rPr>
        <w:t>2011.</w:t>
      </w:r>
      <w:r w:rsidR="00786508">
        <w:rPr>
          <w:sz w:val="22"/>
        </w:rPr>
        <w:t xml:space="preserve"> </w:t>
      </w:r>
      <w:r w:rsidR="000054BF" w:rsidRPr="00F44F2C">
        <w:rPr>
          <w:bCs/>
          <w:sz w:val="22"/>
        </w:rPr>
        <w:t xml:space="preserve">Trade </w:t>
      </w:r>
      <w:r w:rsidR="000054BF" w:rsidRPr="00893E3D">
        <w:rPr>
          <w:bCs/>
          <w:sz w:val="22"/>
        </w:rPr>
        <w:t>Sustainability</w:t>
      </w:r>
      <w:r w:rsidR="000054BF" w:rsidRPr="00F44F2C">
        <w:rPr>
          <w:bCs/>
          <w:sz w:val="22"/>
        </w:rPr>
        <w:t xml:space="preserve"> Impact </w:t>
      </w:r>
      <w:r w:rsidR="000054BF" w:rsidRPr="00893E3D">
        <w:rPr>
          <w:bCs/>
          <w:sz w:val="22"/>
        </w:rPr>
        <w:t>Assessment</w:t>
      </w:r>
      <w:r w:rsidR="000054BF" w:rsidRPr="00F44F2C">
        <w:rPr>
          <w:bCs/>
          <w:sz w:val="22"/>
        </w:rPr>
        <w:t xml:space="preserve"> in support of negotiations of a DCFTA between the EU and Georgia and the </w:t>
      </w:r>
      <w:r w:rsidR="000054BF" w:rsidRPr="00893E3D">
        <w:rPr>
          <w:bCs/>
          <w:sz w:val="22"/>
        </w:rPr>
        <w:t>Republic</w:t>
      </w:r>
      <w:r w:rsidR="000054BF" w:rsidRPr="00F44F2C">
        <w:rPr>
          <w:bCs/>
          <w:sz w:val="22"/>
        </w:rPr>
        <w:t xml:space="preserve"> of Moldova</w:t>
      </w:r>
      <w:r w:rsidR="000054BF">
        <w:rPr>
          <w:bCs/>
          <w:sz w:val="22"/>
        </w:rPr>
        <w:t>.</w:t>
      </w:r>
      <w:r w:rsidR="00786508">
        <w:rPr>
          <w:bCs/>
          <w:sz w:val="22"/>
        </w:rPr>
        <w:t xml:space="preserve"> </w:t>
      </w:r>
      <w:r w:rsidR="000054BF" w:rsidRPr="00F44F2C">
        <w:rPr>
          <w:bCs/>
          <w:sz w:val="22"/>
        </w:rPr>
        <w:t xml:space="preserve"> </w:t>
      </w:r>
      <w:hyperlink r:id="rId19" w:history="1">
        <w:r w:rsidR="006F3934" w:rsidRPr="00713978">
          <w:rPr>
            <w:rFonts w:ascii="Tms Rmn" w:hAnsi="Tms Rmn" w:cs="Tms Rmn"/>
            <w:sz w:val="20"/>
            <w:u w:val="single"/>
          </w:rPr>
          <w:t>http://trade.ec.europa.eu/doclib/docs/2012/november/tradoc_150105.pdf</w:t>
        </w:r>
      </w:hyperlink>
    </w:p>
    <w:p w:rsidR="004C38D3" w:rsidRPr="00064CCF" w:rsidRDefault="004C38D3" w:rsidP="00EA3DE0">
      <w:pPr>
        <w:autoSpaceDE w:val="0"/>
        <w:autoSpaceDN w:val="0"/>
        <w:adjustRightInd w:val="0"/>
        <w:spacing w:line="240" w:lineRule="auto"/>
        <w:ind w:left="504" w:hanging="504"/>
        <w:jc w:val="left"/>
        <w:rPr>
          <w:rFonts w:cs="Times New Roman"/>
          <w:sz w:val="22"/>
        </w:rPr>
      </w:pPr>
      <w:r w:rsidRPr="00064CCF">
        <w:rPr>
          <w:rFonts w:cs="Times New Roman"/>
          <w:sz w:val="22"/>
        </w:rPr>
        <w:t>European</w:t>
      </w:r>
      <w:r w:rsidR="00EA3DE0">
        <w:rPr>
          <w:rFonts w:cs="Times New Roman"/>
          <w:sz w:val="22"/>
        </w:rPr>
        <w:t xml:space="preserve"> </w:t>
      </w:r>
      <w:r w:rsidRPr="00A71CC4">
        <w:rPr>
          <w:rFonts w:cs="Times New Roman"/>
          <w:sz w:val="22"/>
        </w:rPr>
        <w:t>Commission</w:t>
      </w:r>
      <w:r w:rsidR="00064CCF">
        <w:rPr>
          <w:rFonts w:cs="Times New Roman"/>
          <w:sz w:val="22"/>
        </w:rPr>
        <w:t>.</w:t>
      </w:r>
      <w:r w:rsidR="00786508">
        <w:rPr>
          <w:rFonts w:cs="Times New Roman"/>
          <w:sz w:val="22"/>
        </w:rPr>
        <w:t xml:space="preserve"> </w:t>
      </w:r>
      <w:r w:rsidRPr="00064CCF">
        <w:rPr>
          <w:rFonts w:cs="Times New Roman"/>
          <w:sz w:val="22"/>
        </w:rPr>
        <w:t xml:space="preserve">Europe in 12 </w:t>
      </w:r>
      <w:r w:rsidR="000B5FA1">
        <w:rPr>
          <w:rFonts w:cs="Times New Roman"/>
          <w:sz w:val="22"/>
        </w:rPr>
        <w:t>L</w:t>
      </w:r>
      <w:r w:rsidRPr="00064CCF">
        <w:rPr>
          <w:rFonts w:cs="Times New Roman"/>
          <w:sz w:val="22"/>
        </w:rPr>
        <w:t>essons. Directorate-General for Communication.</w:t>
      </w:r>
      <w:r w:rsidR="00786508">
        <w:rPr>
          <w:rFonts w:cs="Times New Roman"/>
          <w:sz w:val="22"/>
        </w:rPr>
        <w:t xml:space="preserve"> </w:t>
      </w:r>
      <w:r w:rsidRPr="00064CCF">
        <w:rPr>
          <w:rFonts w:cs="Times New Roman"/>
          <w:sz w:val="22"/>
        </w:rPr>
        <w:t>http://bookshop.europa.eu/en/europe-in-12-lessons-pbNA3110652/</w:t>
      </w:r>
    </w:p>
    <w:p w:rsidR="004C38D3" w:rsidRPr="00597CFC" w:rsidRDefault="004C38D3" w:rsidP="00EA3DE0">
      <w:pPr>
        <w:autoSpaceDE w:val="0"/>
        <w:autoSpaceDN w:val="0"/>
        <w:adjustRightInd w:val="0"/>
        <w:spacing w:line="240" w:lineRule="auto"/>
        <w:ind w:left="504" w:hanging="504"/>
        <w:jc w:val="left"/>
        <w:rPr>
          <w:rFonts w:cs="Times New Roman"/>
          <w:sz w:val="22"/>
        </w:rPr>
      </w:pPr>
      <w:r w:rsidRPr="00064CCF">
        <w:rPr>
          <w:rFonts w:cs="Times New Roman"/>
          <w:sz w:val="22"/>
        </w:rPr>
        <w:t xml:space="preserve">European </w:t>
      </w:r>
      <w:r w:rsidRPr="00A71CC4">
        <w:rPr>
          <w:rFonts w:cs="Times New Roman"/>
          <w:sz w:val="22"/>
        </w:rPr>
        <w:t>Institute</w:t>
      </w:r>
      <w:r w:rsidRPr="00064CCF">
        <w:rPr>
          <w:rFonts w:cs="Times New Roman"/>
          <w:sz w:val="22"/>
        </w:rPr>
        <w:t>. Timeline of the European Union.</w:t>
      </w:r>
      <w:r w:rsidR="00786508">
        <w:rPr>
          <w:rFonts w:cs="Times New Roman"/>
          <w:sz w:val="22"/>
        </w:rPr>
        <w:t xml:space="preserve"> </w:t>
      </w:r>
      <w:r w:rsidRPr="00064CCF">
        <w:rPr>
          <w:rFonts w:cs="Times New Roman"/>
          <w:sz w:val="22"/>
        </w:rPr>
        <w:t>2009.</w:t>
      </w:r>
      <w:r w:rsidR="00786508">
        <w:rPr>
          <w:rFonts w:cs="Times New Roman"/>
          <w:sz w:val="22"/>
        </w:rPr>
        <w:t xml:space="preserve"> </w:t>
      </w:r>
      <w:hyperlink r:id="rId20" w:history="1">
        <w:r w:rsidRPr="00597CFC">
          <w:rPr>
            <w:rFonts w:cs="Times New Roman"/>
            <w:sz w:val="22"/>
          </w:rPr>
          <w:t>http://www.europeaninstitute.org/EU-Facts/timeline-of-the-european-union.html</w:t>
        </w:r>
      </w:hyperlink>
      <w:r w:rsidR="00786508">
        <w:rPr>
          <w:rFonts w:cs="Times New Roman"/>
          <w:sz w:val="22"/>
        </w:rPr>
        <w:t xml:space="preserve"> </w:t>
      </w:r>
    </w:p>
    <w:p w:rsidR="004C38D3" w:rsidRPr="00A95294" w:rsidRDefault="004C38D3" w:rsidP="00EA3DE0">
      <w:pPr>
        <w:autoSpaceDE w:val="0"/>
        <w:autoSpaceDN w:val="0"/>
        <w:adjustRightInd w:val="0"/>
        <w:spacing w:line="240" w:lineRule="auto"/>
        <w:ind w:left="504" w:hanging="504"/>
        <w:jc w:val="left"/>
        <w:rPr>
          <w:rFonts w:cs="Times New Roman"/>
          <w:sz w:val="22"/>
        </w:rPr>
      </w:pPr>
      <w:r w:rsidRPr="00064CCF">
        <w:rPr>
          <w:rFonts w:cs="Times New Roman"/>
          <w:sz w:val="22"/>
        </w:rPr>
        <w:t xml:space="preserve">Eurasian </w:t>
      </w:r>
      <w:r w:rsidRPr="00A71CC4">
        <w:rPr>
          <w:rFonts w:cs="Times New Roman"/>
          <w:sz w:val="22"/>
        </w:rPr>
        <w:t>Development</w:t>
      </w:r>
      <w:r w:rsidRPr="00064CCF">
        <w:rPr>
          <w:rFonts w:cs="Times New Roman"/>
          <w:sz w:val="22"/>
        </w:rPr>
        <w:t xml:space="preserve"> Bank.</w:t>
      </w:r>
      <w:r w:rsidR="00786508">
        <w:rPr>
          <w:rFonts w:cs="Times New Roman"/>
          <w:sz w:val="22"/>
        </w:rPr>
        <w:t xml:space="preserve"> </w:t>
      </w:r>
      <w:r w:rsidRPr="00064CCF">
        <w:rPr>
          <w:rFonts w:cs="Times New Roman"/>
          <w:sz w:val="22"/>
        </w:rPr>
        <w:t>2012.</w:t>
      </w:r>
      <w:r w:rsidR="00786508">
        <w:rPr>
          <w:rFonts w:cs="Times New Roman"/>
          <w:sz w:val="22"/>
        </w:rPr>
        <w:t xml:space="preserve"> </w:t>
      </w:r>
      <w:r w:rsidRPr="00064CCF">
        <w:rPr>
          <w:rFonts w:cs="Times New Roman"/>
          <w:sz w:val="22"/>
        </w:rPr>
        <w:t>The Customs Union and Neighboring Countries: Models and Instruments for Mutually Beneficial Partnership.</w:t>
      </w:r>
      <w:r w:rsidR="00786508">
        <w:rPr>
          <w:rFonts w:cs="Times New Roman"/>
          <w:sz w:val="22"/>
        </w:rPr>
        <w:t xml:space="preserve"> </w:t>
      </w:r>
      <w:r w:rsidRPr="00064CCF">
        <w:rPr>
          <w:rFonts w:cs="Times New Roman"/>
          <w:sz w:val="22"/>
        </w:rPr>
        <w:t>EDC Center for Integration Studies.</w:t>
      </w:r>
      <w:r w:rsidR="00786508">
        <w:rPr>
          <w:rFonts w:cs="Times New Roman"/>
          <w:sz w:val="22"/>
        </w:rPr>
        <w:t xml:space="preserve"> </w:t>
      </w:r>
      <w:r w:rsidRPr="00064CCF">
        <w:rPr>
          <w:rFonts w:cs="Times New Roman"/>
          <w:sz w:val="22"/>
        </w:rPr>
        <w:t xml:space="preserve">St. </w:t>
      </w:r>
      <w:r w:rsidRPr="00A95294">
        <w:rPr>
          <w:rFonts w:cs="Times New Roman"/>
          <w:sz w:val="22"/>
        </w:rPr>
        <w:t xml:space="preserve">Petersburg, Russia. </w:t>
      </w:r>
    </w:p>
    <w:p w:rsidR="004C38D3" w:rsidRPr="000D5FDA" w:rsidRDefault="004C38D3" w:rsidP="00EA3DE0">
      <w:pPr>
        <w:autoSpaceDE w:val="0"/>
        <w:autoSpaceDN w:val="0"/>
        <w:adjustRightInd w:val="0"/>
        <w:spacing w:line="240" w:lineRule="auto"/>
        <w:ind w:left="504" w:hanging="504"/>
        <w:jc w:val="left"/>
        <w:rPr>
          <w:rFonts w:cs="Times New Roman"/>
          <w:sz w:val="22"/>
        </w:rPr>
      </w:pPr>
      <w:r w:rsidRPr="0068333D">
        <w:rPr>
          <w:rFonts w:cs="Times New Roman"/>
          <w:sz w:val="22"/>
        </w:rPr>
        <w:t xml:space="preserve">Hill. H. and </w:t>
      </w:r>
      <w:r w:rsidRPr="000D5FDA">
        <w:rPr>
          <w:rFonts w:cs="Times New Roman"/>
          <w:sz w:val="22"/>
        </w:rPr>
        <w:t xml:space="preserve">J. </w:t>
      </w:r>
      <w:r w:rsidR="00EA3DE0">
        <w:rPr>
          <w:rFonts w:cs="Times New Roman"/>
          <w:sz w:val="22"/>
        </w:rPr>
        <w:t>Menon.</w:t>
      </w:r>
      <w:r w:rsidRPr="000D5FDA">
        <w:rPr>
          <w:rFonts w:cs="Times New Roman"/>
          <w:sz w:val="22"/>
        </w:rPr>
        <w:t xml:space="preserve"> 2010.</w:t>
      </w:r>
      <w:r w:rsidR="00786508">
        <w:rPr>
          <w:rFonts w:cs="Times New Roman"/>
          <w:sz w:val="22"/>
        </w:rPr>
        <w:t xml:space="preserve"> </w:t>
      </w:r>
      <w:r w:rsidRPr="000D5FDA">
        <w:rPr>
          <w:rFonts w:cs="Times New Roman"/>
          <w:sz w:val="22"/>
        </w:rPr>
        <w:t>ASEAN Economic Integration: Features, Fulfillments, Failures and the Future No. 69 | December 2010. ADB.</w:t>
      </w:r>
      <w:r w:rsidR="00786508">
        <w:rPr>
          <w:rFonts w:cs="Times New Roman"/>
          <w:sz w:val="22"/>
        </w:rPr>
        <w:t xml:space="preserve"> </w:t>
      </w:r>
      <w:hyperlink r:id="rId21" w:history="1">
        <w:r w:rsidRPr="00A95294">
          <w:rPr>
            <w:sz w:val="22"/>
          </w:rPr>
          <w:t>http://www.adb.org/sites/default/files/pub/2010/WP69-Hill-Menon-ASEAN-Economic-Integration.pdf</w:t>
        </w:r>
      </w:hyperlink>
      <w:r w:rsidRPr="0068333D">
        <w:rPr>
          <w:rFonts w:cs="Times New Roman"/>
          <w:sz w:val="22"/>
        </w:rPr>
        <w:t>Tumbarello. P. 2005.</w:t>
      </w:r>
      <w:r w:rsidR="00786508">
        <w:rPr>
          <w:rFonts w:cs="Times New Roman"/>
          <w:sz w:val="22"/>
        </w:rPr>
        <w:t xml:space="preserve"> </w:t>
      </w:r>
      <w:r w:rsidRPr="000D5FDA">
        <w:rPr>
          <w:rFonts w:cs="Times New Roman"/>
          <w:sz w:val="22"/>
        </w:rPr>
        <w:t>Regional Trade Integration and the WTO Accession: Which is the Right Sequencing?</w:t>
      </w:r>
      <w:r w:rsidR="00786508">
        <w:rPr>
          <w:rFonts w:cs="Times New Roman"/>
          <w:sz w:val="22"/>
        </w:rPr>
        <w:t xml:space="preserve"> </w:t>
      </w:r>
      <w:r w:rsidRPr="000D5FDA">
        <w:rPr>
          <w:rFonts w:cs="Times New Roman"/>
          <w:sz w:val="22"/>
        </w:rPr>
        <w:t>An Application to the CIS.</w:t>
      </w:r>
      <w:r w:rsidR="00786508">
        <w:rPr>
          <w:rFonts w:cs="Times New Roman"/>
          <w:sz w:val="22"/>
        </w:rPr>
        <w:t xml:space="preserve"> </w:t>
      </w:r>
      <w:r w:rsidRPr="000D5FDA">
        <w:rPr>
          <w:rFonts w:cs="Times New Roman"/>
          <w:sz w:val="22"/>
        </w:rPr>
        <w:t xml:space="preserve">IMF working paper. </w:t>
      </w:r>
    </w:p>
    <w:p w:rsidR="004C38D3" w:rsidRDefault="004C38D3" w:rsidP="00EA3DE0">
      <w:pPr>
        <w:autoSpaceDE w:val="0"/>
        <w:autoSpaceDN w:val="0"/>
        <w:adjustRightInd w:val="0"/>
        <w:spacing w:line="240" w:lineRule="auto"/>
        <w:ind w:left="504" w:hanging="504"/>
        <w:jc w:val="left"/>
        <w:rPr>
          <w:rFonts w:cs="Times New Roman"/>
          <w:sz w:val="22"/>
        </w:rPr>
      </w:pPr>
      <w:r w:rsidRPr="00F501E5">
        <w:rPr>
          <w:rFonts w:cs="Times New Roman"/>
          <w:sz w:val="22"/>
        </w:rPr>
        <w:t xml:space="preserve">Light, M. </w:t>
      </w:r>
      <w:r w:rsidRPr="00A71CC4">
        <w:rPr>
          <w:rFonts w:cs="Times New Roman"/>
          <w:sz w:val="22"/>
        </w:rPr>
        <w:t>2013</w:t>
      </w:r>
      <w:r w:rsidRPr="00F501E5">
        <w:rPr>
          <w:rFonts w:cs="Times New Roman"/>
          <w:sz w:val="22"/>
        </w:rPr>
        <w:t>.</w:t>
      </w:r>
      <w:r w:rsidR="00786508">
        <w:rPr>
          <w:rFonts w:cs="Times New Roman"/>
          <w:sz w:val="22"/>
        </w:rPr>
        <w:t xml:space="preserve"> </w:t>
      </w:r>
      <w:r w:rsidRPr="00F501E5">
        <w:rPr>
          <w:rFonts w:cs="Times New Roman"/>
          <w:sz w:val="22"/>
        </w:rPr>
        <w:t>Assessment of Costs and Benefits of Kazakhstan’s Accession to the WTO – based on Russia’s Tariff Schedule a</w:t>
      </w:r>
      <w:r w:rsidRPr="007458ED">
        <w:rPr>
          <w:rFonts w:cs="Times New Roman"/>
          <w:sz w:val="22"/>
        </w:rPr>
        <w:t>t Accession. Mimeograph.</w:t>
      </w:r>
    </w:p>
    <w:p w:rsidR="00665055" w:rsidRPr="007458ED" w:rsidRDefault="00665055" w:rsidP="00EA3DE0">
      <w:pPr>
        <w:autoSpaceDE w:val="0"/>
        <w:autoSpaceDN w:val="0"/>
        <w:adjustRightInd w:val="0"/>
        <w:spacing w:line="240" w:lineRule="auto"/>
        <w:ind w:left="504" w:hanging="504"/>
        <w:jc w:val="left"/>
        <w:rPr>
          <w:rFonts w:cs="Times New Roman"/>
          <w:sz w:val="22"/>
        </w:rPr>
      </w:pPr>
      <w:r>
        <w:t xml:space="preserve">Plummer, A. G., D. Cheong, and S. Hamanaka, 2010.  Methodology forImpact Assessment of Free Trade Agreements.  Asian Development Bank.    </w:t>
      </w:r>
    </w:p>
    <w:p w:rsidR="004C38D3" w:rsidRPr="00005922" w:rsidRDefault="004C38D3" w:rsidP="00EA3DE0">
      <w:pPr>
        <w:autoSpaceDE w:val="0"/>
        <w:autoSpaceDN w:val="0"/>
        <w:adjustRightInd w:val="0"/>
        <w:spacing w:line="240" w:lineRule="auto"/>
        <w:ind w:left="720" w:hanging="720"/>
        <w:jc w:val="left"/>
        <w:rPr>
          <w:rFonts w:cs="Times New Roman"/>
          <w:sz w:val="22"/>
        </w:rPr>
      </w:pPr>
      <w:r w:rsidRPr="00B448CF">
        <w:rPr>
          <w:rFonts w:cs="Times New Roman"/>
          <w:sz w:val="22"/>
        </w:rPr>
        <w:t>Shypotylo, A.</w:t>
      </w:r>
      <w:r w:rsidR="00786508">
        <w:rPr>
          <w:rFonts w:cs="Times New Roman"/>
          <w:sz w:val="22"/>
        </w:rPr>
        <w:t xml:space="preserve"> </w:t>
      </w:r>
      <w:r w:rsidRPr="00B448CF">
        <w:rPr>
          <w:rFonts w:cs="Times New Roman"/>
          <w:sz w:val="22"/>
        </w:rPr>
        <w:t>2013.</w:t>
      </w:r>
      <w:r w:rsidR="00786508">
        <w:rPr>
          <w:rFonts w:cs="Times New Roman"/>
          <w:sz w:val="22"/>
        </w:rPr>
        <w:t xml:space="preserve"> </w:t>
      </w:r>
      <w:r w:rsidRPr="00B448CF">
        <w:rPr>
          <w:rFonts w:cs="Times New Roman"/>
          <w:sz w:val="22"/>
        </w:rPr>
        <w:t>Tariff Rates of Kazakhstan under the WTO Accession Scenario (based on Russia’s Tariff Schedule at Accession). Mimeograph.</w:t>
      </w:r>
    </w:p>
    <w:p w:rsidR="009964AC" w:rsidRPr="00F44F2C" w:rsidRDefault="009964AC" w:rsidP="00EA3DE0">
      <w:pPr>
        <w:autoSpaceDE w:val="0"/>
        <w:autoSpaceDN w:val="0"/>
        <w:adjustRightInd w:val="0"/>
        <w:spacing w:line="240" w:lineRule="auto"/>
        <w:ind w:left="504" w:hanging="504"/>
        <w:jc w:val="left"/>
        <w:rPr>
          <w:rFonts w:cs="Times New Roman"/>
          <w:sz w:val="22"/>
        </w:rPr>
      </w:pPr>
      <w:r w:rsidRPr="00F44F2C">
        <w:rPr>
          <w:rFonts w:cs="Times New Roman"/>
          <w:sz w:val="22"/>
        </w:rPr>
        <w:t xml:space="preserve">Shepotylo, O. </w:t>
      </w:r>
      <w:r w:rsidRPr="00A71CC4">
        <w:rPr>
          <w:rFonts w:cs="Times New Roman"/>
          <w:sz w:val="22"/>
        </w:rPr>
        <w:t xml:space="preserve">and </w:t>
      </w:r>
      <w:r w:rsidR="00EA3DE0">
        <w:rPr>
          <w:rFonts w:cs="Times New Roman"/>
          <w:sz w:val="22"/>
        </w:rPr>
        <w:t>D. Tarr.</w:t>
      </w:r>
      <w:r w:rsidR="00786508">
        <w:rPr>
          <w:rFonts w:cs="Times New Roman"/>
          <w:sz w:val="22"/>
        </w:rPr>
        <w:t xml:space="preserve"> </w:t>
      </w:r>
      <w:r w:rsidRPr="00F44F2C">
        <w:rPr>
          <w:rFonts w:cs="Times New Roman"/>
          <w:sz w:val="22"/>
        </w:rPr>
        <w:t>2012.</w:t>
      </w:r>
      <w:r w:rsidR="00786508">
        <w:rPr>
          <w:rFonts w:cs="Times New Roman"/>
          <w:sz w:val="22"/>
        </w:rPr>
        <w:t xml:space="preserve"> </w:t>
      </w:r>
      <w:r w:rsidRPr="00F44F2C">
        <w:rPr>
          <w:rFonts w:cs="Times New Roman"/>
          <w:sz w:val="22"/>
        </w:rPr>
        <w:t>“Impact of WTO Accession and the Customs Union on the Bound and Applied Tariff Rates of the Russian Federation” (August 1, 2012). World Bank Policy Research Working Paper No. 6161. Available at SSRN: http://ssrn.com/abstract=2127061</w:t>
      </w:r>
    </w:p>
    <w:p w:rsidR="004F29D5" w:rsidRDefault="009964AC" w:rsidP="00EA3DE0">
      <w:pPr>
        <w:autoSpaceDE w:val="0"/>
        <w:autoSpaceDN w:val="0"/>
        <w:adjustRightInd w:val="0"/>
        <w:spacing w:line="240" w:lineRule="auto"/>
        <w:ind w:left="504" w:hanging="504"/>
        <w:jc w:val="left"/>
        <w:rPr>
          <w:rFonts w:cs="Times New Roman"/>
          <w:sz w:val="22"/>
        </w:rPr>
      </w:pPr>
      <w:r w:rsidRPr="00F44F2C">
        <w:rPr>
          <w:rFonts w:cs="Times New Roman"/>
          <w:sz w:val="22"/>
        </w:rPr>
        <w:t xml:space="preserve">Shepotylo, O.and </w:t>
      </w:r>
      <w:r w:rsidR="00EA3DE0">
        <w:rPr>
          <w:rFonts w:cs="Times New Roman"/>
          <w:sz w:val="22"/>
        </w:rPr>
        <w:t>D. Tarr</w:t>
      </w:r>
      <w:r w:rsidRPr="00F44F2C">
        <w:rPr>
          <w:rFonts w:cs="Times New Roman"/>
          <w:sz w:val="22"/>
        </w:rPr>
        <w:t>.</w:t>
      </w:r>
      <w:r w:rsidR="00786508">
        <w:rPr>
          <w:rFonts w:cs="Times New Roman"/>
          <w:sz w:val="22"/>
        </w:rPr>
        <w:t xml:space="preserve"> </w:t>
      </w:r>
      <w:r w:rsidRPr="00F44F2C">
        <w:rPr>
          <w:rFonts w:cs="Times New Roman"/>
          <w:sz w:val="22"/>
        </w:rPr>
        <w:t>2008. “Specific tariffs, tariff simplification and the structure of import tariffs in Russia: 2001-2005,” Eastern European Economics, Vol. 46 (5), September –October 2008, 49-58.</w:t>
      </w:r>
    </w:p>
    <w:p w:rsidR="00C15EE2" w:rsidRDefault="004C38D3" w:rsidP="00EA3DE0">
      <w:pPr>
        <w:autoSpaceDE w:val="0"/>
        <w:autoSpaceDN w:val="0"/>
        <w:adjustRightInd w:val="0"/>
        <w:spacing w:line="240" w:lineRule="auto"/>
        <w:ind w:left="504" w:hanging="504"/>
        <w:jc w:val="left"/>
        <w:rPr>
          <w:rFonts w:cs="Times New Roman"/>
          <w:sz w:val="22"/>
        </w:rPr>
      </w:pPr>
      <w:r w:rsidRPr="0068333D">
        <w:rPr>
          <w:rFonts w:cs="Times New Roman"/>
          <w:sz w:val="22"/>
        </w:rPr>
        <w:lastRenderedPageBreak/>
        <w:t xml:space="preserve">Tarr D. and </w:t>
      </w:r>
      <w:r w:rsidR="00EA3DE0">
        <w:rPr>
          <w:rFonts w:cs="Times New Roman"/>
          <w:sz w:val="22"/>
        </w:rPr>
        <w:t>J. Jensen</w:t>
      </w:r>
      <w:r w:rsidRPr="0068333D">
        <w:rPr>
          <w:rFonts w:cs="Times New Roman"/>
          <w:sz w:val="22"/>
        </w:rPr>
        <w:t>.</w:t>
      </w:r>
      <w:r w:rsidR="00786508">
        <w:rPr>
          <w:rFonts w:cs="Times New Roman"/>
          <w:sz w:val="22"/>
        </w:rPr>
        <w:t xml:space="preserve"> </w:t>
      </w:r>
      <w:r w:rsidR="007903F6">
        <w:rPr>
          <w:rFonts w:cs="Times New Roman"/>
          <w:sz w:val="22"/>
        </w:rPr>
        <w:t>2012.</w:t>
      </w:r>
      <w:r w:rsidR="00786508">
        <w:rPr>
          <w:rFonts w:cs="Times New Roman"/>
          <w:sz w:val="22"/>
        </w:rPr>
        <w:t xml:space="preserve"> </w:t>
      </w:r>
      <w:r w:rsidRPr="0068333D">
        <w:rPr>
          <w:rFonts w:cs="Times New Roman"/>
          <w:sz w:val="22"/>
        </w:rPr>
        <w:t>Assessment of Costs and Benefits of the Customs</w:t>
      </w:r>
      <w:r w:rsidR="00394E71" w:rsidRPr="000D5FDA">
        <w:rPr>
          <w:rFonts w:cs="Times New Roman"/>
          <w:sz w:val="22"/>
        </w:rPr>
        <w:t xml:space="preserve"> </w:t>
      </w:r>
      <w:r w:rsidRPr="000D5FDA">
        <w:rPr>
          <w:rFonts w:cs="Times New Roman"/>
          <w:sz w:val="22"/>
        </w:rPr>
        <w:t>Union for Kazakhstan. World Bank.</w:t>
      </w:r>
      <w:r w:rsidR="00786508">
        <w:rPr>
          <w:rFonts w:cs="Times New Roman"/>
          <w:sz w:val="22"/>
        </w:rPr>
        <w:t xml:space="preserve"> </w:t>
      </w:r>
    </w:p>
    <w:p w:rsidR="004C38D3" w:rsidRPr="00044647" w:rsidRDefault="004C38D3" w:rsidP="00EA3DE0">
      <w:pPr>
        <w:autoSpaceDE w:val="0"/>
        <w:autoSpaceDN w:val="0"/>
        <w:adjustRightInd w:val="0"/>
        <w:spacing w:line="240" w:lineRule="auto"/>
        <w:ind w:left="504" w:hanging="504"/>
        <w:jc w:val="left"/>
        <w:rPr>
          <w:rFonts w:cs="Times New Roman"/>
          <w:sz w:val="22"/>
        </w:rPr>
      </w:pPr>
      <w:r w:rsidRPr="007458ED">
        <w:rPr>
          <w:rFonts w:cs="Times New Roman"/>
          <w:sz w:val="22"/>
        </w:rPr>
        <w:t xml:space="preserve">Varela, </w:t>
      </w:r>
      <w:r w:rsidRPr="00A71CC4">
        <w:rPr>
          <w:rFonts w:cs="Times New Roman"/>
          <w:sz w:val="22"/>
        </w:rPr>
        <w:t>Gonzalo.</w:t>
      </w:r>
      <w:r w:rsidRPr="007458ED">
        <w:rPr>
          <w:rFonts w:cs="Times New Roman"/>
          <w:sz w:val="22"/>
        </w:rPr>
        <w:t xml:space="preserve"> 2013a. “Export Diversification in Twelve Countries from Eastern</w:t>
      </w:r>
      <w:r w:rsidRPr="00044647">
        <w:rPr>
          <w:rFonts w:cs="Times New Roman"/>
          <w:sz w:val="22"/>
        </w:rPr>
        <w:t xml:space="preserve"> Europe and Central Asia and the Role of the Commodity Boom.” Mimeographed, World Bank, Washington, DC. </w:t>
      </w:r>
    </w:p>
    <w:p w:rsidR="004C38D3" w:rsidRPr="00044647" w:rsidRDefault="004C38D3" w:rsidP="00EA3DE0">
      <w:pPr>
        <w:autoSpaceDE w:val="0"/>
        <w:autoSpaceDN w:val="0"/>
        <w:adjustRightInd w:val="0"/>
        <w:spacing w:line="240" w:lineRule="auto"/>
        <w:ind w:left="504" w:hanging="504"/>
        <w:jc w:val="left"/>
        <w:rPr>
          <w:rFonts w:cs="Times New Roman"/>
          <w:sz w:val="22"/>
        </w:rPr>
      </w:pPr>
      <w:r w:rsidRPr="00044647">
        <w:rPr>
          <w:rFonts w:cs="Times New Roman"/>
          <w:sz w:val="22"/>
        </w:rPr>
        <w:t>_____. 2013b. “</w:t>
      </w:r>
      <w:r w:rsidRPr="00A71CC4">
        <w:rPr>
          <w:rFonts w:cs="Times New Roman"/>
          <w:sz w:val="22"/>
        </w:rPr>
        <w:t>How</w:t>
      </w:r>
      <w:r w:rsidRPr="00044647">
        <w:rPr>
          <w:rFonts w:cs="Times New Roman"/>
          <w:sz w:val="22"/>
        </w:rPr>
        <w:t xml:space="preserve"> do ECA countries do in diversifying export destinations?” Mimeographed prepared as background for the ECA Diversification Flagship, World Bank, Washington, DC.</w:t>
      </w:r>
    </w:p>
    <w:p w:rsidR="004C38D3" w:rsidRPr="00044647" w:rsidRDefault="004C38D3" w:rsidP="00EA3DE0">
      <w:pPr>
        <w:autoSpaceDE w:val="0"/>
        <w:autoSpaceDN w:val="0"/>
        <w:adjustRightInd w:val="0"/>
        <w:spacing w:line="240" w:lineRule="auto"/>
        <w:ind w:left="720" w:hanging="720"/>
        <w:jc w:val="left"/>
        <w:rPr>
          <w:rFonts w:cs="Times New Roman"/>
          <w:sz w:val="22"/>
        </w:rPr>
      </w:pPr>
      <w:r w:rsidRPr="00044647">
        <w:rPr>
          <w:rFonts w:cs="Times New Roman"/>
          <w:sz w:val="22"/>
        </w:rPr>
        <w:t>World Bank. 2012.</w:t>
      </w:r>
      <w:r w:rsidR="00786508">
        <w:rPr>
          <w:rFonts w:cs="Times New Roman"/>
          <w:sz w:val="22"/>
        </w:rPr>
        <w:t xml:space="preserve"> </w:t>
      </w:r>
      <w:r w:rsidRPr="00044647">
        <w:rPr>
          <w:rFonts w:cs="Times New Roman"/>
          <w:sz w:val="22"/>
        </w:rPr>
        <w:t>Kazakhstan:</w:t>
      </w:r>
      <w:r w:rsidR="00786508">
        <w:rPr>
          <w:rFonts w:cs="Times New Roman"/>
          <w:sz w:val="22"/>
        </w:rPr>
        <w:t xml:space="preserve"> </w:t>
      </w:r>
      <w:r w:rsidRPr="00044647">
        <w:rPr>
          <w:rFonts w:cs="Times New Roman"/>
          <w:sz w:val="22"/>
        </w:rPr>
        <w:t>Taking Advantage of Trade and Openness for Development.</w:t>
      </w:r>
    </w:p>
    <w:p w:rsidR="00C15EE2" w:rsidRPr="00F44F2C" w:rsidRDefault="00D857DA" w:rsidP="00EA3DE0">
      <w:pPr>
        <w:autoSpaceDE w:val="0"/>
        <w:autoSpaceDN w:val="0"/>
        <w:adjustRightInd w:val="0"/>
        <w:spacing w:line="240" w:lineRule="auto"/>
        <w:ind w:left="720" w:hanging="720"/>
        <w:jc w:val="left"/>
        <w:rPr>
          <w:rFonts w:cs="Times New Roman"/>
          <w:sz w:val="22"/>
        </w:rPr>
      </w:pPr>
      <w:r w:rsidRPr="00044647">
        <w:rPr>
          <w:rFonts w:cs="Times New Roman"/>
          <w:sz w:val="22"/>
        </w:rPr>
        <w:t>_____</w:t>
      </w:r>
      <w:r w:rsidR="004C38D3" w:rsidRPr="00044647">
        <w:rPr>
          <w:rFonts w:cs="Times New Roman"/>
          <w:sz w:val="22"/>
        </w:rPr>
        <w:t>. 2013.</w:t>
      </w:r>
      <w:r w:rsidR="00786508">
        <w:rPr>
          <w:rFonts w:cs="Times New Roman"/>
          <w:sz w:val="22"/>
        </w:rPr>
        <w:t xml:space="preserve"> </w:t>
      </w:r>
      <w:r w:rsidR="004C38D3" w:rsidRPr="00044647">
        <w:rPr>
          <w:rFonts w:cs="Times New Roman"/>
          <w:sz w:val="22"/>
        </w:rPr>
        <w:t>Kazakhstan –Beyond Oil: Kazakhstan’s path to greater prosperity through diversifying.</w:t>
      </w:r>
      <w:r w:rsidR="00786508">
        <w:rPr>
          <w:rFonts w:cs="Times New Roman"/>
          <w:sz w:val="22"/>
        </w:rPr>
        <w:t xml:space="preserve"> </w:t>
      </w:r>
    </w:p>
    <w:p w:rsidR="00C15EE2" w:rsidRDefault="00C15EE2" w:rsidP="0013345E"/>
    <w:p w:rsidR="00EE6DD0" w:rsidRDefault="00EE6DD0">
      <w:pPr>
        <w:spacing w:line="276" w:lineRule="auto"/>
        <w:jc w:val="left"/>
        <w:rPr>
          <w:rFonts w:ascii="Times New Roman Bold" w:hAnsi="Times New Roman Bold"/>
          <w:b/>
          <w:bCs/>
          <w:szCs w:val="24"/>
        </w:rPr>
      </w:pPr>
      <w:r>
        <w:rPr>
          <w:szCs w:val="24"/>
        </w:rPr>
        <w:br w:type="page"/>
      </w:r>
    </w:p>
    <w:p w:rsidR="00682E8F" w:rsidRPr="00893E3D" w:rsidRDefault="00682E8F" w:rsidP="000F35A7">
      <w:pPr>
        <w:pStyle w:val="Caption"/>
        <w:tabs>
          <w:tab w:val="left" w:pos="504"/>
        </w:tabs>
        <w:spacing w:after="240"/>
        <w:rPr>
          <w:sz w:val="24"/>
          <w:szCs w:val="24"/>
        </w:rPr>
      </w:pPr>
      <w:bookmarkStart w:id="43" w:name="_Toc378151247"/>
      <w:r w:rsidRPr="00893E3D">
        <w:rPr>
          <w:sz w:val="24"/>
          <w:szCs w:val="24"/>
        </w:rPr>
        <w:lastRenderedPageBreak/>
        <w:t xml:space="preserve">Annex </w:t>
      </w:r>
      <w:r w:rsidR="00893E3D">
        <w:rPr>
          <w:sz w:val="24"/>
          <w:szCs w:val="24"/>
        </w:rPr>
        <w:fldChar w:fldCharType="begin"/>
      </w:r>
      <w:r w:rsidR="00893E3D">
        <w:rPr>
          <w:sz w:val="24"/>
          <w:szCs w:val="24"/>
        </w:rPr>
        <w:instrText xml:space="preserve"> SEQ Annex \* ROMAN </w:instrText>
      </w:r>
      <w:r w:rsidR="00893E3D">
        <w:rPr>
          <w:sz w:val="24"/>
          <w:szCs w:val="24"/>
        </w:rPr>
        <w:fldChar w:fldCharType="separate"/>
      </w:r>
      <w:r w:rsidR="00CE6F8C">
        <w:rPr>
          <w:noProof/>
          <w:sz w:val="24"/>
          <w:szCs w:val="24"/>
        </w:rPr>
        <w:t>I</w:t>
      </w:r>
      <w:r w:rsidR="00893E3D">
        <w:rPr>
          <w:sz w:val="24"/>
          <w:szCs w:val="24"/>
        </w:rPr>
        <w:fldChar w:fldCharType="end"/>
      </w:r>
      <w:r w:rsidRPr="00893E3D">
        <w:rPr>
          <w:sz w:val="24"/>
          <w:szCs w:val="24"/>
        </w:rPr>
        <w:t>:</w:t>
      </w:r>
      <w:r w:rsidR="002C4538" w:rsidRPr="00893E3D">
        <w:rPr>
          <w:sz w:val="24"/>
          <w:szCs w:val="24"/>
        </w:rPr>
        <w:t xml:space="preserve"> Kazakhstan Exports and Imports Patterns</w:t>
      </w:r>
      <w:bookmarkEnd w:id="43"/>
      <w:r w:rsidR="002C4538" w:rsidRPr="00893E3D">
        <w:rPr>
          <w:sz w:val="24"/>
          <w:szCs w:val="24"/>
        </w:rPr>
        <w:t xml:space="preserve"> </w:t>
      </w:r>
    </w:p>
    <w:tbl>
      <w:tblPr>
        <w:tblW w:w="0" w:type="auto"/>
        <w:jc w:val="center"/>
        <w:tblLayout w:type="fixed"/>
        <w:tblLook w:val="04A0" w:firstRow="1" w:lastRow="0" w:firstColumn="1" w:lastColumn="0" w:noHBand="0" w:noVBand="1"/>
      </w:tblPr>
      <w:tblGrid>
        <w:gridCol w:w="648"/>
        <w:gridCol w:w="2574"/>
        <w:gridCol w:w="900"/>
        <w:gridCol w:w="1134"/>
        <w:gridCol w:w="1080"/>
        <w:gridCol w:w="1530"/>
        <w:gridCol w:w="1296"/>
      </w:tblGrid>
      <w:tr w:rsidR="002C4538" w:rsidRPr="00990B12" w:rsidTr="00AD2AF3">
        <w:trPr>
          <w:trHeight w:val="144"/>
          <w:jc w:val="center"/>
        </w:trPr>
        <w:tc>
          <w:tcPr>
            <w:tcW w:w="9162" w:type="dxa"/>
            <w:gridSpan w:val="7"/>
            <w:tcBorders>
              <w:bottom w:val="single" w:sz="4" w:space="0" w:color="auto"/>
            </w:tcBorders>
            <w:shd w:val="clear" w:color="auto" w:fill="auto"/>
            <w:vAlign w:val="center"/>
          </w:tcPr>
          <w:p w:rsidR="002C4538" w:rsidRPr="007C011C" w:rsidRDefault="002C4538" w:rsidP="009E7F84">
            <w:pPr>
              <w:pStyle w:val="Caption"/>
            </w:pPr>
            <w:r w:rsidRPr="007C011C">
              <w:t xml:space="preserve">Table </w:t>
            </w:r>
            <w:r>
              <w:t>A1</w:t>
            </w:r>
            <w:r w:rsidRPr="007C011C">
              <w:t xml:space="preserve">: Main </w:t>
            </w:r>
            <w:r w:rsidR="00FC3281">
              <w:t>Destinations f</w:t>
            </w:r>
            <w:r w:rsidR="00946D71" w:rsidRPr="007C011C">
              <w:t xml:space="preserve">or </w:t>
            </w:r>
            <w:r w:rsidRPr="007C011C">
              <w:t xml:space="preserve">Kazakhstan’s </w:t>
            </w:r>
            <w:r w:rsidR="00946D71" w:rsidRPr="007C011C">
              <w:t xml:space="preserve">Top </w:t>
            </w:r>
            <w:r w:rsidR="00786508">
              <w:t>10</w:t>
            </w:r>
            <w:r w:rsidR="00946D71" w:rsidRPr="007C011C">
              <w:t xml:space="preserve"> Export Products</w:t>
            </w:r>
            <w:r w:rsidRPr="007C011C">
              <w:t>, 2008-10</w:t>
            </w:r>
          </w:p>
          <w:p w:rsidR="002C4538" w:rsidRPr="00990B12" w:rsidRDefault="002C4538" w:rsidP="009E7F84">
            <w:pPr>
              <w:spacing w:after="60" w:line="240" w:lineRule="auto"/>
              <w:jc w:val="center"/>
              <w:rPr>
                <w:rFonts w:cs="Times New Roman"/>
                <w:sz w:val="18"/>
                <w:szCs w:val="18"/>
                <w:lang w:eastAsia="hi-IN" w:bidi="hi-IN"/>
              </w:rPr>
            </w:pPr>
            <w:r w:rsidRPr="00990B12">
              <w:rPr>
                <w:rFonts w:cs="Times New Roman"/>
                <w:sz w:val="18"/>
                <w:szCs w:val="18"/>
                <w:lang w:eastAsia="hi-IN" w:bidi="hi-IN"/>
              </w:rPr>
              <w:t>(In percent, unless otherwise indicated)</w:t>
            </w:r>
          </w:p>
        </w:tc>
      </w:tr>
      <w:tr w:rsidR="002C4538" w:rsidRPr="00990B12" w:rsidTr="00AD2AF3">
        <w:trPr>
          <w:trHeight w:val="144"/>
          <w:jc w:val="center"/>
        </w:trPr>
        <w:tc>
          <w:tcPr>
            <w:tcW w:w="648" w:type="dxa"/>
            <w:tcBorders>
              <w:top w:val="single" w:sz="4" w:space="0" w:color="auto"/>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rPr>
                <w:rFonts w:eastAsia="SimSun" w:cs="Times New Roman"/>
                <w:kern w:val="1"/>
                <w:sz w:val="18"/>
                <w:szCs w:val="18"/>
                <w:lang w:eastAsia="hi-IN" w:bidi="hi-IN"/>
              </w:rPr>
            </w:pPr>
            <w:r w:rsidRPr="00AD2AF3">
              <w:rPr>
                <w:rFonts w:eastAsia="SimSun" w:cs="Times New Roman"/>
                <w:kern w:val="1"/>
                <w:sz w:val="18"/>
                <w:szCs w:val="18"/>
                <w:lang w:eastAsia="hi-IN" w:bidi="hi-IN"/>
              </w:rPr>
              <w:t>HS4</w:t>
            </w:r>
          </w:p>
        </w:tc>
        <w:tc>
          <w:tcPr>
            <w:tcW w:w="2574" w:type="dxa"/>
            <w:tcBorders>
              <w:top w:val="single" w:sz="4" w:space="0" w:color="auto"/>
              <w:left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rPr>
                <w:rFonts w:eastAsia="SimSun" w:cs="Times New Roman"/>
                <w:kern w:val="1"/>
                <w:sz w:val="18"/>
                <w:szCs w:val="18"/>
                <w:lang w:eastAsia="hi-IN" w:bidi="hi-IN"/>
              </w:rPr>
            </w:pPr>
            <w:r w:rsidRPr="00AD2AF3">
              <w:rPr>
                <w:rFonts w:eastAsia="SimSun" w:cs="Times New Roman"/>
                <w:kern w:val="1"/>
                <w:sz w:val="18"/>
                <w:szCs w:val="18"/>
                <w:lang w:eastAsia="hi-IN" w:bidi="hi-IN"/>
              </w:rPr>
              <w:t>Product</w:t>
            </w:r>
          </w:p>
        </w:tc>
        <w:tc>
          <w:tcPr>
            <w:tcW w:w="900" w:type="dxa"/>
            <w:tcBorders>
              <w:top w:val="single" w:sz="4" w:space="0" w:color="auto"/>
              <w:left w:val="single" w:sz="4" w:space="0" w:color="auto"/>
              <w:right w:val="single" w:sz="4" w:space="0" w:color="auto"/>
            </w:tcBorders>
            <w:shd w:val="clear" w:color="auto" w:fill="auto"/>
            <w:vAlign w:val="center"/>
          </w:tcPr>
          <w:p w:rsidR="002C4538" w:rsidRPr="00AD2AF3" w:rsidRDefault="002C4538" w:rsidP="002C43CF">
            <w:pPr>
              <w:widowControl w:val="0"/>
              <w:suppressAutoHyphens/>
              <w:spacing w:before="60" w:after="60" w:line="240" w:lineRule="auto"/>
              <w:jc w:val="center"/>
              <w:rPr>
                <w:rFonts w:eastAsia="SimSun" w:cs="Times New Roman"/>
                <w:kern w:val="1"/>
                <w:sz w:val="18"/>
                <w:szCs w:val="18"/>
                <w:lang w:eastAsia="hi-IN" w:bidi="hi-IN"/>
              </w:rPr>
            </w:pPr>
            <w:r w:rsidRPr="00AD2AF3">
              <w:rPr>
                <w:rFonts w:eastAsia="SimSun" w:cs="Times New Roman"/>
                <w:kern w:val="1"/>
                <w:sz w:val="18"/>
                <w:szCs w:val="18"/>
                <w:lang w:eastAsia="hi-IN" w:bidi="hi-IN"/>
              </w:rPr>
              <w:t>Rank in 08/10</w:t>
            </w:r>
          </w:p>
        </w:tc>
        <w:tc>
          <w:tcPr>
            <w:tcW w:w="37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4538" w:rsidRPr="00AD2AF3" w:rsidRDefault="002C4538" w:rsidP="002C43CF">
            <w:pPr>
              <w:widowControl w:val="0"/>
              <w:suppressAutoHyphens/>
              <w:spacing w:before="60" w:after="60" w:line="240" w:lineRule="auto"/>
              <w:jc w:val="center"/>
              <w:rPr>
                <w:rFonts w:eastAsia="SimSun" w:cs="Times New Roman"/>
                <w:kern w:val="1"/>
                <w:sz w:val="18"/>
                <w:szCs w:val="18"/>
                <w:lang w:eastAsia="hi-IN" w:bidi="hi-IN"/>
              </w:rPr>
            </w:pPr>
            <w:r w:rsidRPr="00AD2AF3">
              <w:rPr>
                <w:rFonts w:eastAsia="SimSun" w:cs="Times New Roman"/>
                <w:kern w:val="1"/>
                <w:sz w:val="18"/>
                <w:szCs w:val="18"/>
                <w:lang w:eastAsia="hi-IN" w:bidi="hi-IN"/>
              </w:rPr>
              <w:t xml:space="preserve">Top 3 </w:t>
            </w:r>
            <w:r w:rsidR="002C43CF">
              <w:rPr>
                <w:rFonts w:eastAsia="SimSun" w:cs="Times New Roman"/>
                <w:kern w:val="1"/>
                <w:sz w:val="18"/>
                <w:szCs w:val="18"/>
                <w:lang w:eastAsia="hi-IN" w:bidi="hi-IN"/>
              </w:rPr>
              <w:t>D</w:t>
            </w:r>
            <w:r w:rsidRPr="00AD2AF3">
              <w:rPr>
                <w:rFonts w:eastAsia="SimSun" w:cs="Times New Roman"/>
                <w:kern w:val="1"/>
                <w:sz w:val="18"/>
                <w:szCs w:val="18"/>
                <w:lang w:eastAsia="hi-IN" w:bidi="hi-IN"/>
              </w:rPr>
              <w:t>estinations</w:t>
            </w:r>
            <w:r w:rsidR="002C43CF">
              <w:rPr>
                <w:rFonts w:eastAsia="SimSun" w:cs="Times New Roman"/>
                <w:kern w:val="1"/>
                <w:sz w:val="18"/>
                <w:szCs w:val="18"/>
                <w:lang w:eastAsia="hi-IN" w:bidi="hi-IN"/>
              </w:rPr>
              <w:t xml:space="preserve"> </w:t>
            </w:r>
            <w:r w:rsidR="002C43CF">
              <w:rPr>
                <w:rFonts w:eastAsia="SimSun" w:cs="Times New Roman"/>
                <w:kern w:val="1"/>
                <w:sz w:val="18"/>
                <w:szCs w:val="18"/>
                <w:lang w:eastAsia="hi-IN" w:bidi="hi-IN"/>
              </w:rPr>
              <w:br/>
            </w:r>
            <w:r w:rsidRPr="00AD2AF3">
              <w:rPr>
                <w:rFonts w:eastAsia="SimSun" w:cs="Times New Roman"/>
                <w:kern w:val="1"/>
                <w:sz w:val="18"/>
                <w:szCs w:val="18"/>
                <w:lang w:eastAsia="hi-IN" w:bidi="hi-IN"/>
              </w:rPr>
              <w:t>(product exports for 08/10 in brackets)</w:t>
            </w:r>
          </w:p>
        </w:tc>
        <w:tc>
          <w:tcPr>
            <w:tcW w:w="1296" w:type="dxa"/>
            <w:tcBorders>
              <w:top w:val="single" w:sz="4" w:space="0" w:color="auto"/>
              <w:left w:val="single" w:sz="4" w:space="0" w:color="auto"/>
              <w:bottom w:val="single" w:sz="4" w:space="0" w:color="auto"/>
            </w:tcBorders>
            <w:shd w:val="clear" w:color="auto" w:fill="auto"/>
            <w:vAlign w:val="center"/>
          </w:tcPr>
          <w:p w:rsidR="002C4538" w:rsidRPr="00AD2AF3" w:rsidRDefault="00AD2AF3" w:rsidP="002C43CF">
            <w:pPr>
              <w:widowControl w:val="0"/>
              <w:suppressAutoHyphens/>
              <w:spacing w:before="60" w:after="60" w:line="240" w:lineRule="auto"/>
              <w:jc w:val="center"/>
              <w:rPr>
                <w:rFonts w:eastAsia="SimSun" w:cs="Times New Roman"/>
                <w:kern w:val="1"/>
                <w:sz w:val="18"/>
                <w:szCs w:val="18"/>
                <w:lang w:eastAsia="hi-IN" w:bidi="hi-IN"/>
              </w:rPr>
            </w:pPr>
            <w:r>
              <w:rPr>
                <w:rFonts w:eastAsia="SimSun" w:cs="Times New Roman"/>
                <w:kern w:val="1"/>
                <w:sz w:val="18"/>
                <w:szCs w:val="18"/>
                <w:lang w:eastAsia="hi-IN" w:bidi="hi-IN"/>
              </w:rPr>
              <w:t>E</w:t>
            </w:r>
            <w:r w:rsidR="002C43CF">
              <w:rPr>
                <w:rFonts w:eastAsia="SimSun" w:cs="Times New Roman"/>
                <w:kern w:val="1"/>
                <w:sz w:val="18"/>
                <w:szCs w:val="18"/>
                <w:lang w:eastAsia="hi-IN" w:bidi="hi-IN"/>
              </w:rPr>
              <w:t>xports in T</w:t>
            </w:r>
            <w:r w:rsidR="002C4538" w:rsidRPr="00AD2AF3">
              <w:rPr>
                <w:rFonts w:eastAsia="SimSun" w:cs="Times New Roman"/>
                <w:kern w:val="1"/>
                <w:sz w:val="18"/>
                <w:szCs w:val="18"/>
                <w:lang w:eastAsia="hi-IN" w:bidi="hi-IN"/>
              </w:rPr>
              <w:t xml:space="preserve">op </w:t>
            </w:r>
            <w:r w:rsidR="002C4538" w:rsidRPr="00AD2AF3">
              <w:rPr>
                <w:rFonts w:eastAsia="SimSun" w:cs="Times New Roman"/>
                <w:kern w:val="1"/>
                <w:sz w:val="18"/>
                <w:szCs w:val="18"/>
                <w:lang w:eastAsia="hi-IN" w:bidi="hi-IN"/>
              </w:rPr>
              <w:br/>
              <w:t xml:space="preserve">3 </w:t>
            </w:r>
            <w:r w:rsidR="002C43CF">
              <w:rPr>
                <w:rFonts w:eastAsia="SimSun" w:cs="Times New Roman"/>
                <w:kern w:val="1"/>
                <w:sz w:val="18"/>
                <w:szCs w:val="18"/>
                <w:lang w:eastAsia="hi-IN" w:bidi="hi-IN"/>
              </w:rPr>
              <w:t>M</w:t>
            </w:r>
            <w:r w:rsidR="002C4538" w:rsidRPr="00AD2AF3">
              <w:rPr>
                <w:rFonts w:eastAsia="SimSun" w:cs="Times New Roman"/>
                <w:kern w:val="1"/>
                <w:sz w:val="18"/>
                <w:szCs w:val="18"/>
                <w:lang w:eastAsia="hi-IN" w:bidi="hi-IN"/>
              </w:rPr>
              <w:t>arkets</w:t>
            </w:r>
          </w:p>
        </w:tc>
      </w:tr>
      <w:tr w:rsidR="002C4538" w:rsidRPr="00990B12" w:rsidTr="00AD2AF3">
        <w:trPr>
          <w:trHeight w:val="144"/>
          <w:jc w:val="center"/>
        </w:trPr>
        <w:tc>
          <w:tcPr>
            <w:tcW w:w="648" w:type="dxa"/>
            <w:vMerge w:val="restart"/>
            <w:tcBorders>
              <w:top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2709</w:t>
            </w:r>
          </w:p>
        </w:tc>
        <w:tc>
          <w:tcPr>
            <w:tcW w:w="2574"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Petroleum oils</w:t>
            </w:r>
          </w:p>
        </w:tc>
        <w:tc>
          <w:tcPr>
            <w:tcW w:w="900"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r w:rsidRPr="00AD2AF3">
              <w:rPr>
                <w:rFonts w:eastAsia="SimSun" w:cs="Times New Roman"/>
                <w:kern w:val="1"/>
                <w:sz w:val="18"/>
                <w:szCs w:val="18"/>
                <w:lang w:eastAsia="hi-IN" w:bidi="hi-IN"/>
              </w:rPr>
              <w:t>1</w:t>
            </w:r>
          </w:p>
        </w:tc>
        <w:tc>
          <w:tcPr>
            <w:tcW w:w="1134"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EU27</w:t>
            </w:r>
          </w:p>
        </w:tc>
        <w:tc>
          <w:tcPr>
            <w:tcW w:w="1080" w:type="dxa"/>
            <w:tcBorders>
              <w:top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China</w:t>
            </w:r>
          </w:p>
        </w:tc>
        <w:tc>
          <w:tcPr>
            <w:tcW w:w="1530" w:type="dxa"/>
            <w:tcBorders>
              <w:top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Canada</w:t>
            </w:r>
          </w:p>
        </w:tc>
        <w:tc>
          <w:tcPr>
            <w:tcW w:w="1296"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jc w:val="right"/>
              <w:rPr>
                <w:rFonts w:eastAsia="SimSun" w:cs="Times New Roman"/>
                <w:color w:val="000000"/>
                <w:kern w:val="1"/>
                <w:sz w:val="18"/>
                <w:szCs w:val="18"/>
                <w:lang w:eastAsia="hi-IN" w:bidi="hi-IN"/>
              </w:rPr>
            </w:pPr>
          </w:p>
        </w:tc>
      </w:tr>
      <w:tr w:rsidR="002C4538" w:rsidRPr="00990B12" w:rsidTr="00AD2AF3">
        <w:trPr>
          <w:trHeight w:val="144"/>
          <w:jc w:val="center"/>
        </w:trPr>
        <w:tc>
          <w:tcPr>
            <w:tcW w:w="648" w:type="dxa"/>
            <w:vMerge/>
            <w:tcBorders>
              <w:bottom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p>
        </w:tc>
        <w:tc>
          <w:tcPr>
            <w:tcW w:w="2574"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kern w:val="1"/>
                <w:sz w:val="18"/>
                <w:szCs w:val="18"/>
                <w:lang w:eastAsia="hi-IN" w:bidi="hi-IN"/>
              </w:rPr>
            </w:pPr>
          </w:p>
        </w:tc>
        <w:tc>
          <w:tcPr>
            <w:tcW w:w="900"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p>
        </w:tc>
        <w:tc>
          <w:tcPr>
            <w:tcW w:w="1134"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[66.8]</w:t>
            </w:r>
          </w:p>
        </w:tc>
        <w:tc>
          <w:tcPr>
            <w:tcW w:w="1080" w:type="dxa"/>
            <w:tcBorders>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[16.3]</w:t>
            </w:r>
          </w:p>
        </w:tc>
        <w:tc>
          <w:tcPr>
            <w:tcW w:w="1530" w:type="dxa"/>
            <w:tcBorders>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[4.6]</w:t>
            </w:r>
          </w:p>
        </w:tc>
        <w:tc>
          <w:tcPr>
            <w:tcW w:w="1296"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87.7</w:t>
            </w:r>
          </w:p>
        </w:tc>
      </w:tr>
      <w:tr w:rsidR="002C4538" w:rsidRPr="00990B12" w:rsidTr="00AD2AF3">
        <w:trPr>
          <w:trHeight w:val="144"/>
          <w:jc w:val="center"/>
        </w:trPr>
        <w:tc>
          <w:tcPr>
            <w:tcW w:w="648" w:type="dxa"/>
            <w:vMerge w:val="restart"/>
            <w:tcBorders>
              <w:top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7202</w:t>
            </w:r>
          </w:p>
        </w:tc>
        <w:tc>
          <w:tcPr>
            <w:tcW w:w="2574"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Ferro-alloys</w:t>
            </w:r>
          </w:p>
        </w:tc>
        <w:tc>
          <w:tcPr>
            <w:tcW w:w="900"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r w:rsidRPr="00AD2AF3">
              <w:rPr>
                <w:rFonts w:eastAsia="SimSun" w:cs="Times New Roman"/>
                <w:kern w:val="1"/>
                <w:sz w:val="18"/>
                <w:szCs w:val="18"/>
                <w:lang w:eastAsia="hi-IN" w:bidi="hi-IN"/>
              </w:rPr>
              <w:t>2</w:t>
            </w:r>
          </w:p>
        </w:tc>
        <w:tc>
          <w:tcPr>
            <w:tcW w:w="1134"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China</w:t>
            </w:r>
          </w:p>
        </w:tc>
        <w:tc>
          <w:tcPr>
            <w:tcW w:w="1080" w:type="dxa"/>
            <w:tcBorders>
              <w:top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Japan</w:t>
            </w:r>
          </w:p>
        </w:tc>
        <w:tc>
          <w:tcPr>
            <w:tcW w:w="1530" w:type="dxa"/>
            <w:tcBorders>
              <w:top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EU27</w:t>
            </w:r>
          </w:p>
        </w:tc>
        <w:tc>
          <w:tcPr>
            <w:tcW w:w="1296"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p>
        </w:tc>
      </w:tr>
      <w:tr w:rsidR="002C4538" w:rsidRPr="00990B12" w:rsidTr="00AD2AF3">
        <w:trPr>
          <w:trHeight w:val="144"/>
          <w:jc w:val="center"/>
        </w:trPr>
        <w:tc>
          <w:tcPr>
            <w:tcW w:w="648" w:type="dxa"/>
            <w:vMerge/>
            <w:tcBorders>
              <w:bottom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p>
        </w:tc>
        <w:tc>
          <w:tcPr>
            <w:tcW w:w="2574"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kern w:val="1"/>
                <w:sz w:val="18"/>
                <w:szCs w:val="18"/>
                <w:lang w:eastAsia="hi-IN" w:bidi="hi-IN"/>
              </w:rPr>
            </w:pPr>
          </w:p>
        </w:tc>
        <w:tc>
          <w:tcPr>
            <w:tcW w:w="900"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p>
        </w:tc>
        <w:tc>
          <w:tcPr>
            <w:tcW w:w="1134"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[28.2]</w:t>
            </w:r>
          </w:p>
        </w:tc>
        <w:tc>
          <w:tcPr>
            <w:tcW w:w="1080" w:type="dxa"/>
            <w:tcBorders>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[23.1]</w:t>
            </w:r>
          </w:p>
        </w:tc>
        <w:tc>
          <w:tcPr>
            <w:tcW w:w="1530" w:type="dxa"/>
            <w:tcBorders>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[18.0]</w:t>
            </w:r>
          </w:p>
        </w:tc>
        <w:tc>
          <w:tcPr>
            <w:tcW w:w="1296"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69.3</w:t>
            </w:r>
          </w:p>
        </w:tc>
      </w:tr>
      <w:tr w:rsidR="002C4538" w:rsidRPr="00990B12" w:rsidTr="00AD2AF3">
        <w:trPr>
          <w:trHeight w:val="144"/>
          <w:jc w:val="center"/>
        </w:trPr>
        <w:tc>
          <w:tcPr>
            <w:tcW w:w="648" w:type="dxa"/>
            <w:vMerge w:val="restart"/>
            <w:tcBorders>
              <w:top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7403</w:t>
            </w:r>
          </w:p>
        </w:tc>
        <w:tc>
          <w:tcPr>
            <w:tcW w:w="2574"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Refined copper</w:t>
            </w:r>
          </w:p>
        </w:tc>
        <w:tc>
          <w:tcPr>
            <w:tcW w:w="900"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r w:rsidRPr="00AD2AF3">
              <w:rPr>
                <w:rFonts w:eastAsia="SimSun" w:cs="Times New Roman"/>
                <w:kern w:val="1"/>
                <w:sz w:val="18"/>
                <w:szCs w:val="18"/>
                <w:lang w:eastAsia="hi-IN" w:bidi="hi-IN"/>
              </w:rPr>
              <w:t>3</w:t>
            </w:r>
          </w:p>
        </w:tc>
        <w:tc>
          <w:tcPr>
            <w:tcW w:w="1134"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China</w:t>
            </w:r>
          </w:p>
        </w:tc>
        <w:tc>
          <w:tcPr>
            <w:tcW w:w="1080" w:type="dxa"/>
            <w:tcBorders>
              <w:top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Turkey</w:t>
            </w:r>
          </w:p>
        </w:tc>
        <w:tc>
          <w:tcPr>
            <w:tcW w:w="1530" w:type="dxa"/>
            <w:tcBorders>
              <w:top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EU27</w:t>
            </w:r>
          </w:p>
        </w:tc>
        <w:tc>
          <w:tcPr>
            <w:tcW w:w="1296"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p>
        </w:tc>
      </w:tr>
      <w:tr w:rsidR="002C4538" w:rsidRPr="00990B12" w:rsidTr="00AD2AF3">
        <w:trPr>
          <w:trHeight w:val="144"/>
          <w:jc w:val="center"/>
        </w:trPr>
        <w:tc>
          <w:tcPr>
            <w:tcW w:w="648" w:type="dxa"/>
            <w:vMerge/>
            <w:tcBorders>
              <w:bottom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p>
        </w:tc>
        <w:tc>
          <w:tcPr>
            <w:tcW w:w="2574"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kern w:val="1"/>
                <w:sz w:val="18"/>
                <w:szCs w:val="18"/>
                <w:lang w:eastAsia="hi-IN" w:bidi="hi-IN"/>
              </w:rPr>
            </w:pPr>
          </w:p>
        </w:tc>
        <w:tc>
          <w:tcPr>
            <w:tcW w:w="900"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p>
        </w:tc>
        <w:tc>
          <w:tcPr>
            <w:tcW w:w="1134"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[50.2]</w:t>
            </w:r>
          </w:p>
        </w:tc>
        <w:tc>
          <w:tcPr>
            <w:tcW w:w="1080" w:type="dxa"/>
            <w:tcBorders>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[30.4]</w:t>
            </w:r>
          </w:p>
        </w:tc>
        <w:tc>
          <w:tcPr>
            <w:tcW w:w="1530" w:type="dxa"/>
            <w:tcBorders>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[13.7]</w:t>
            </w:r>
          </w:p>
        </w:tc>
        <w:tc>
          <w:tcPr>
            <w:tcW w:w="1296"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94.4</w:t>
            </w:r>
          </w:p>
        </w:tc>
      </w:tr>
      <w:tr w:rsidR="002C4538" w:rsidRPr="00990B12" w:rsidTr="00AD2AF3">
        <w:trPr>
          <w:trHeight w:val="144"/>
          <w:jc w:val="center"/>
        </w:trPr>
        <w:tc>
          <w:tcPr>
            <w:tcW w:w="648" w:type="dxa"/>
            <w:vMerge w:val="restart"/>
            <w:tcBorders>
              <w:top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2711</w:t>
            </w:r>
          </w:p>
        </w:tc>
        <w:tc>
          <w:tcPr>
            <w:tcW w:w="2574"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Petroleum gases</w:t>
            </w:r>
          </w:p>
        </w:tc>
        <w:tc>
          <w:tcPr>
            <w:tcW w:w="900"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r w:rsidRPr="00AD2AF3">
              <w:rPr>
                <w:rFonts w:eastAsia="SimSun" w:cs="Times New Roman"/>
                <w:kern w:val="1"/>
                <w:sz w:val="18"/>
                <w:szCs w:val="18"/>
                <w:lang w:eastAsia="hi-IN" w:bidi="hi-IN"/>
              </w:rPr>
              <w:t>4</w:t>
            </w:r>
          </w:p>
        </w:tc>
        <w:tc>
          <w:tcPr>
            <w:tcW w:w="1134"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Ukraine</w:t>
            </w:r>
          </w:p>
        </w:tc>
        <w:tc>
          <w:tcPr>
            <w:tcW w:w="1080" w:type="dxa"/>
            <w:tcBorders>
              <w:top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EU27</w:t>
            </w:r>
          </w:p>
        </w:tc>
        <w:tc>
          <w:tcPr>
            <w:tcW w:w="1530" w:type="dxa"/>
            <w:tcBorders>
              <w:top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Turkey</w:t>
            </w:r>
          </w:p>
        </w:tc>
        <w:tc>
          <w:tcPr>
            <w:tcW w:w="1296"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p>
        </w:tc>
      </w:tr>
      <w:tr w:rsidR="002C4538" w:rsidRPr="00990B12" w:rsidTr="00AD2AF3">
        <w:trPr>
          <w:trHeight w:val="144"/>
          <w:jc w:val="center"/>
        </w:trPr>
        <w:tc>
          <w:tcPr>
            <w:tcW w:w="648" w:type="dxa"/>
            <w:vMerge/>
            <w:tcBorders>
              <w:bottom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p>
        </w:tc>
        <w:tc>
          <w:tcPr>
            <w:tcW w:w="2574"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kern w:val="1"/>
                <w:sz w:val="18"/>
                <w:szCs w:val="18"/>
                <w:lang w:eastAsia="hi-IN" w:bidi="hi-IN"/>
              </w:rPr>
            </w:pPr>
          </w:p>
        </w:tc>
        <w:tc>
          <w:tcPr>
            <w:tcW w:w="900"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p>
        </w:tc>
        <w:tc>
          <w:tcPr>
            <w:tcW w:w="1134"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[54.7]</w:t>
            </w:r>
          </w:p>
        </w:tc>
        <w:tc>
          <w:tcPr>
            <w:tcW w:w="1080" w:type="dxa"/>
            <w:tcBorders>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[25.7]</w:t>
            </w:r>
          </w:p>
        </w:tc>
        <w:tc>
          <w:tcPr>
            <w:tcW w:w="1530" w:type="dxa"/>
            <w:tcBorders>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[14.6]</w:t>
            </w:r>
          </w:p>
        </w:tc>
        <w:tc>
          <w:tcPr>
            <w:tcW w:w="1296"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95.0</w:t>
            </w:r>
          </w:p>
        </w:tc>
      </w:tr>
      <w:tr w:rsidR="002C4538" w:rsidRPr="00990B12" w:rsidTr="00AD2AF3">
        <w:trPr>
          <w:trHeight w:val="144"/>
          <w:jc w:val="center"/>
        </w:trPr>
        <w:tc>
          <w:tcPr>
            <w:tcW w:w="648" w:type="dxa"/>
            <w:vMerge w:val="restart"/>
            <w:tcBorders>
              <w:top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2710</w:t>
            </w:r>
          </w:p>
        </w:tc>
        <w:tc>
          <w:tcPr>
            <w:tcW w:w="2574"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Petroleum oils</w:t>
            </w:r>
          </w:p>
        </w:tc>
        <w:tc>
          <w:tcPr>
            <w:tcW w:w="900"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r w:rsidRPr="00AD2AF3">
              <w:rPr>
                <w:rFonts w:eastAsia="SimSun" w:cs="Times New Roman"/>
                <w:kern w:val="1"/>
                <w:sz w:val="18"/>
                <w:szCs w:val="18"/>
                <w:lang w:eastAsia="hi-IN" w:bidi="hi-IN"/>
              </w:rPr>
              <w:t>5</w:t>
            </w:r>
          </w:p>
        </w:tc>
        <w:tc>
          <w:tcPr>
            <w:tcW w:w="1134"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USA</w:t>
            </w:r>
          </w:p>
        </w:tc>
        <w:tc>
          <w:tcPr>
            <w:tcW w:w="1080" w:type="dxa"/>
            <w:tcBorders>
              <w:top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EU27</w:t>
            </w:r>
          </w:p>
        </w:tc>
        <w:tc>
          <w:tcPr>
            <w:tcW w:w="1530" w:type="dxa"/>
            <w:tcBorders>
              <w:top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Ukraine</w:t>
            </w:r>
          </w:p>
        </w:tc>
        <w:tc>
          <w:tcPr>
            <w:tcW w:w="1296"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p>
        </w:tc>
      </w:tr>
      <w:tr w:rsidR="002C4538" w:rsidRPr="00990B12" w:rsidTr="00AD2AF3">
        <w:trPr>
          <w:trHeight w:val="144"/>
          <w:jc w:val="center"/>
        </w:trPr>
        <w:tc>
          <w:tcPr>
            <w:tcW w:w="648" w:type="dxa"/>
            <w:vMerge/>
            <w:tcBorders>
              <w:bottom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p>
        </w:tc>
        <w:tc>
          <w:tcPr>
            <w:tcW w:w="2574"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kern w:val="1"/>
                <w:sz w:val="18"/>
                <w:szCs w:val="18"/>
                <w:lang w:eastAsia="hi-IN" w:bidi="hi-IN"/>
              </w:rPr>
            </w:pPr>
          </w:p>
        </w:tc>
        <w:tc>
          <w:tcPr>
            <w:tcW w:w="900"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p>
        </w:tc>
        <w:tc>
          <w:tcPr>
            <w:tcW w:w="1134"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[31.2]</w:t>
            </w:r>
          </w:p>
        </w:tc>
        <w:tc>
          <w:tcPr>
            <w:tcW w:w="1080" w:type="dxa"/>
            <w:tcBorders>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[28.4]</w:t>
            </w:r>
          </w:p>
        </w:tc>
        <w:tc>
          <w:tcPr>
            <w:tcW w:w="1530" w:type="dxa"/>
            <w:tcBorders>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[19.1]</w:t>
            </w:r>
          </w:p>
        </w:tc>
        <w:tc>
          <w:tcPr>
            <w:tcW w:w="1296"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78.6</w:t>
            </w:r>
          </w:p>
        </w:tc>
      </w:tr>
      <w:tr w:rsidR="002C4538" w:rsidRPr="00990B12" w:rsidTr="00AD2AF3">
        <w:trPr>
          <w:trHeight w:val="144"/>
          <w:jc w:val="center"/>
        </w:trPr>
        <w:tc>
          <w:tcPr>
            <w:tcW w:w="648" w:type="dxa"/>
            <w:vMerge w:val="restart"/>
            <w:tcBorders>
              <w:top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2601</w:t>
            </w:r>
          </w:p>
        </w:tc>
        <w:tc>
          <w:tcPr>
            <w:tcW w:w="2574"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Iron ores and concentrates</w:t>
            </w:r>
          </w:p>
        </w:tc>
        <w:tc>
          <w:tcPr>
            <w:tcW w:w="900"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r w:rsidRPr="00AD2AF3">
              <w:rPr>
                <w:rFonts w:eastAsia="SimSun" w:cs="Times New Roman"/>
                <w:kern w:val="1"/>
                <w:sz w:val="18"/>
                <w:szCs w:val="18"/>
                <w:lang w:eastAsia="hi-IN" w:bidi="hi-IN"/>
              </w:rPr>
              <w:t>6</w:t>
            </w:r>
          </w:p>
        </w:tc>
        <w:tc>
          <w:tcPr>
            <w:tcW w:w="1134"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Russia</w:t>
            </w:r>
          </w:p>
        </w:tc>
        <w:tc>
          <w:tcPr>
            <w:tcW w:w="1080" w:type="dxa"/>
            <w:tcBorders>
              <w:top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China</w:t>
            </w:r>
          </w:p>
        </w:tc>
        <w:tc>
          <w:tcPr>
            <w:tcW w:w="1530" w:type="dxa"/>
            <w:tcBorders>
              <w:top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Kyrgyz Republic</w:t>
            </w:r>
          </w:p>
        </w:tc>
        <w:tc>
          <w:tcPr>
            <w:tcW w:w="1296"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p>
        </w:tc>
      </w:tr>
      <w:tr w:rsidR="002C4538" w:rsidRPr="00990B12" w:rsidTr="00AD2AF3">
        <w:trPr>
          <w:trHeight w:val="144"/>
          <w:jc w:val="center"/>
        </w:trPr>
        <w:tc>
          <w:tcPr>
            <w:tcW w:w="648" w:type="dxa"/>
            <w:vMerge/>
            <w:tcBorders>
              <w:bottom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p>
        </w:tc>
        <w:tc>
          <w:tcPr>
            <w:tcW w:w="2574"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kern w:val="1"/>
                <w:sz w:val="18"/>
                <w:szCs w:val="18"/>
                <w:lang w:eastAsia="hi-IN" w:bidi="hi-IN"/>
              </w:rPr>
            </w:pPr>
          </w:p>
        </w:tc>
        <w:tc>
          <w:tcPr>
            <w:tcW w:w="900"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p>
        </w:tc>
        <w:tc>
          <w:tcPr>
            <w:tcW w:w="1134"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i/>
                <w:color w:val="000000"/>
                <w:kern w:val="1"/>
                <w:sz w:val="18"/>
                <w:szCs w:val="18"/>
                <w:lang w:eastAsia="hi-IN" w:bidi="hi-IN"/>
              </w:rPr>
            </w:pPr>
            <w:r w:rsidRPr="00AD2AF3">
              <w:rPr>
                <w:rFonts w:eastAsia="SimSun" w:cs="Times New Roman"/>
                <w:i/>
                <w:color w:val="000000"/>
                <w:kern w:val="1"/>
                <w:sz w:val="18"/>
                <w:szCs w:val="18"/>
                <w:lang w:eastAsia="hi-IN" w:bidi="hi-IN"/>
              </w:rPr>
              <w:t>[55.5]</w:t>
            </w:r>
          </w:p>
        </w:tc>
        <w:tc>
          <w:tcPr>
            <w:tcW w:w="1080" w:type="dxa"/>
            <w:tcBorders>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[44.4]</w:t>
            </w:r>
          </w:p>
        </w:tc>
        <w:tc>
          <w:tcPr>
            <w:tcW w:w="1530" w:type="dxa"/>
            <w:tcBorders>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[0.1]</w:t>
            </w:r>
          </w:p>
        </w:tc>
        <w:tc>
          <w:tcPr>
            <w:tcW w:w="1296"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&lt;100</w:t>
            </w:r>
          </w:p>
        </w:tc>
      </w:tr>
      <w:tr w:rsidR="002C4538" w:rsidRPr="00990B12" w:rsidTr="00AD2AF3">
        <w:trPr>
          <w:trHeight w:val="144"/>
          <w:jc w:val="center"/>
        </w:trPr>
        <w:tc>
          <w:tcPr>
            <w:tcW w:w="648" w:type="dxa"/>
            <w:vMerge w:val="restart"/>
            <w:tcBorders>
              <w:top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2844</w:t>
            </w:r>
          </w:p>
        </w:tc>
        <w:tc>
          <w:tcPr>
            <w:tcW w:w="2574"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Radioactive chemical elements</w:t>
            </w:r>
          </w:p>
        </w:tc>
        <w:tc>
          <w:tcPr>
            <w:tcW w:w="900"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r w:rsidRPr="00AD2AF3">
              <w:rPr>
                <w:rFonts w:eastAsia="SimSun" w:cs="Times New Roman"/>
                <w:kern w:val="1"/>
                <w:sz w:val="18"/>
                <w:szCs w:val="18"/>
                <w:lang w:eastAsia="hi-IN" w:bidi="hi-IN"/>
              </w:rPr>
              <w:t>7</w:t>
            </w:r>
          </w:p>
        </w:tc>
        <w:tc>
          <w:tcPr>
            <w:tcW w:w="1134"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China</w:t>
            </w:r>
          </w:p>
        </w:tc>
        <w:tc>
          <w:tcPr>
            <w:tcW w:w="1080" w:type="dxa"/>
            <w:tcBorders>
              <w:top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EU27</w:t>
            </w:r>
          </w:p>
        </w:tc>
        <w:tc>
          <w:tcPr>
            <w:tcW w:w="1530" w:type="dxa"/>
            <w:tcBorders>
              <w:top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Russia</w:t>
            </w:r>
          </w:p>
        </w:tc>
        <w:tc>
          <w:tcPr>
            <w:tcW w:w="1296"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p>
        </w:tc>
      </w:tr>
      <w:tr w:rsidR="002C4538" w:rsidRPr="00990B12" w:rsidTr="00AD2AF3">
        <w:trPr>
          <w:trHeight w:val="144"/>
          <w:jc w:val="center"/>
        </w:trPr>
        <w:tc>
          <w:tcPr>
            <w:tcW w:w="648" w:type="dxa"/>
            <w:vMerge/>
            <w:tcBorders>
              <w:bottom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p>
        </w:tc>
        <w:tc>
          <w:tcPr>
            <w:tcW w:w="2574"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kern w:val="1"/>
                <w:sz w:val="18"/>
                <w:szCs w:val="18"/>
                <w:lang w:eastAsia="hi-IN" w:bidi="hi-IN"/>
              </w:rPr>
            </w:pPr>
          </w:p>
        </w:tc>
        <w:tc>
          <w:tcPr>
            <w:tcW w:w="900"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p>
        </w:tc>
        <w:tc>
          <w:tcPr>
            <w:tcW w:w="1134"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[49.0]</w:t>
            </w:r>
          </w:p>
        </w:tc>
        <w:tc>
          <w:tcPr>
            <w:tcW w:w="1080" w:type="dxa"/>
            <w:tcBorders>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[15.3]</w:t>
            </w:r>
          </w:p>
        </w:tc>
        <w:tc>
          <w:tcPr>
            <w:tcW w:w="1530" w:type="dxa"/>
            <w:tcBorders>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[13.4]</w:t>
            </w:r>
          </w:p>
        </w:tc>
        <w:tc>
          <w:tcPr>
            <w:tcW w:w="1296"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77.7</w:t>
            </w:r>
          </w:p>
        </w:tc>
      </w:tr>
      <w:tr w:rsidR="002C4538" w:rsidRPr="00990B12" w:rsidTr="00AD2AF3">
        <w:trPr>
          <w:trHeight w:val="144"/>
          <w:jc w:val="center"/>
        </w:trPr>
        <w:tc>
          <w:tcPr>
            <w:tcW w:w="648" w:type="dxa"/>
            <w:vMerge w:val="restart"/>
            <w:tcBorders>
              <w:top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1001</w:t>
            </w:r>
          </w:p>
        </w:tc>
        <w:tc>
          <w:tcPr>
            <w:tcW w:w="2574"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Wheat and meslin</w:t>
            </w:r>
          </w:p>
        </w:tc>
        <w:tc>
          <w:tcPr>
            <w:tcW w:w="900"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r w:rsidRPr="00AD2AF3">
              <w:rPr>
                <w:rFonts w:eastAsia="SimSun" w:cs="Times New Roman"/>
                <w:kern w:val="1"/>
                <w:sz w:val="18"/>
                <w:szCs w:val="18"/>
                <w:lang w:eastAsia="hi-IN" w:bidi="hi-IN"/>
              </w:rPr>
              <w:t>8</w:t>
            </w:r>
          </w:p>
        </w:tc>
        <w:tc>
          <w:tcPr>
            <w:tcW w:w="1134"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Turkey</w:t>
            </w:r>
          </w:p>
        </w:tc>
        <w:tc>
          <w:tcPr>
            <w:tcW w:w="1080" w:type="dxa"/>
            <w:tcBorders>
              <w:top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Azerbaijan</w:t>
            </w:r>
          </w:p>
        </w:tc>
        <w:tc>
          <w:tcPr>
            <w:tcW w:w="1530" w:type="dxa"/>
            <w:tcBorders>
              <w:top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EU27</w:t>
            </w:r>
          </w:p>
        </w:tc>
        <w:tc>
          <w:tcPr>
            <w:tcW w:w="1296"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p>
        </w:tc>
      </w:tr>
      <w:tr w:rsidR="002C4538" w:rsidRPr="00990B12" w:rsidTr="00AD2AF3">
        <w:trPr>
          <w:trHeight w:val="144"/>
          <w:jc w:val="center"/>
        </w:trPr>
        <w:tc>
          <w:tcPr>
            <w:tcW w:w="648" w:type="dxa"/>
            <w:vMerge/>
            <w:tcBorders>
              <w:bottom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p>
        </w:tc>
        <w:tc>
          <w:tcPr>
            <w:tcW w:w="2574"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kern w:val="1"/>
                <w:sz w:val="18"/>
                <w:szCs w:val="18"/>
                <w:lang w:eastAsia="hi-IN" w:bidi="hi-IN"/>
              </w:rPr>
            </w:pPr>
          </w:p>
        </w:tc>
        <w:tc>
          <w:tcPr>
            <w:tcW w:w="900"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p>
        </w:tc>
        <w:tc>
          <w:tcPr>
            <w:tcW w:w="1134"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[23.7]</w:t>
            </w:r>
          </w:p>
        </w:tc>
        <w:tc>
          <w:tcPr>
            <w:tcW w:w="1080" w:type="dxa"/>
            <w:tcBorders>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[17.1]</w:t>
            </w:r>
          </w:p>
        </w:tc>
        <w:tc>
          <w:tcPr>
            <w:tcW w:w="1530" w:type="dxa"/>
            <w:tcBorders>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[15.7]</w:t>
            </w:r>
          </w:p>
        </w:tc>
        <w:tc>
          <w:tcPr>
            <w:tcW w:w="1296"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56.5</w:t>
            </w:r>
          </w:p>
        </w:tc>
      </w:tr>
      <w:tr w:rsidR="002C4538" w:rsidRPr="00990B12" w:rsidTr="00AD2AF3">
        <w:trPr>
          <w:trHeight w:val="144"/>
          <w:jc w:val="center"/>
        </w:trPr>
        <w:tc>
          <w:tcPr>
            <w:tcW w:w="648" w:type="dxa"/>
            <w:vMerge w:val="restart"/>
            <w:tcBorders>
              <w:top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2701</w:t>
            </w:r>
          </w:p>
        </w:tc>
        <w:tc>
          <w:tcPr>
            <w:tcW w:w="2574"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Coal</w:t>
            </w:r>
          </w:p>
        </w:tc>
        <w:tc>
          <w:tcPr>
            <w:tcW w:w="900"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r w:rsidRPr="00AD2AF3">
              <w:rPr>
                <w:rFonts w:eastAsia="SimSun" w:cs="Times New Roman"/>
                <w:kern w:val="1"/>
                <w:sz w:val="18"/>
                <w:szCs w:val="18"/>
                <w:lang w:eastAsia="hi-IN" w:bidi="hi-IN"/>
              </w:rPr>
              <w:t>9</w:t>
            </w:r>
          </w:p>
        </w:tc>
        <w:tc>
          <w:tcPr>
            <w:tcW w:w="1134"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Russia</w:t>
            </w:r>
          </w:p>
        </w:tc>
        <w:tc>
          <w:tcPr>
            <w:tcW w:w="1080" w:type="dxa"/>
            <w:tcBorders>
              <w:top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Ukraine</w:t>
            </w:r>
          </w:p>
        </w:tc>
        <w:tc>
          <w:tcPr>
            <w:tcW w:w="1530" w:type="dxa"/>
            <w:tcBorders>
              <w:top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EU27</w:t>
            </w:r>
          </w:p>
        </w:tc>
        <w:tc>
          <w:tcPr>
            <w:tcW w:w="1296"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p>
        </w:tc>
      </w:tr>
      <w:tr w:rsidR="002C4538" w:rsidRPr="00990B12" w:rsidTr="00AD2AF3">
        <w:trPr>
          <w:trHeight w:val="144"/>
          <w:jc w:val="center"/>
        </w:trPr>
        <w:tc>
          <w:tcPr>
            <w:tcW w:w="648" w:type="dxa"/>
            <w:vMerge/>
            <w:tcBorders>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rPr>
                <w:rFonts w:eastAsia="SimSun" w:cs="Times New Roman"/>
                <w:color w:val="000000"/>
                <w:kern w:val="1"/>
                <w:sz w:val="18"/>
                <w:szCs w:val="18"/>
                <w:lang w:eastAsia="hi-IN" w:bidi="hi-IN"/>
              </w:rPr>
            </w:pPr>
          </w:p>
        </w:tc>
        <w:tc>
          <w:tcPr>
            <w:tcW w:w="2574" w:type="dxa"/>
            <w:vMerge/>
            <w:tcBorders>
              <w:left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rPr>
                <w:rFonts w:eastAsia="SimSun" w:cs="Times New Roman"/>
                <w:kern w:val="1"/>
                <w:sz w:val="18"/>
                <w:szCs w:val="18"/>
                <w:lang w:eastAsia="hi-IN" w:bidi="hi-IN"/>
              </w:rPr>
            </w:pPr>
          </w:p>
        </w:tc>
        <w:tc>
          <w:tcPr>
            <w:tcW w:w="900" w:type="dxa"/>
            <w:vMerge/>
            <w:tcBorders>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p>
        </w:tc>
        <w:tc>
          <w:tcPr>
            <w:tcW w:w="1134"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[67.2]</w:t>
            </w:r>
          </w:p>
        </w:tc>
        <w:tc>
          <w:tcPr>
            <w:tcW w:w="1080" w:type="dxa"/>
            <w:tcBorders>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[22.7]</w:t>
            </w:r>
          </w:p>
        </w:tc>
        <w:tc>
          <w:tcPr>
            <w:tcW w:w="1530" w:type="dxa"/>
            <w:tcBorders>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[6.3]</w:t>
            </w:r>
          </w:p>
        </w:tc>
        <w:tc>
          <w:tcPr>
            <w:tcW w:w="1296"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96.1</w:t>
            </w:r>
          </w:p>
        </w:tc>
      </w:tr>
      <w:tr w:rsidR="002C4538" w:rsidRPr="00990B12" w:rsidTr="00AD2AF3">
        <w:trPr>
          <w:trHeight w:val="144"/>
          <w:jc w:val="center"/>
        </w:trPr>
        <w:tc>
          <w:tcPr>
            <w:tcW w:w="648" w:type="dxa"/>
            <w:vMerge w:val="restart"/>
            <w:tcBorders>
              <w:top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7901</w:t>
            </w:r>
          </w:p>
        </w:tc>
        <w:tc>
          <w:tcPr>
            <w:tcW w:w="2574"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lef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Unwrought zinc</w:t>
            </w:r>
          </w:p>
        </w:tc>
        <w:tc>
          <w:tcPr>
            <w:tcW w:w="900" w:type="dxa"/>
            <w:vMerge w:val="restart"/>
            <w:tcBorders>
              <w:top w:val="single" w:sz="4" w:space="0" w:color="auto"/>
              <w:left w:val="single" w:sz="4" w:space="0" w:color="auto"/>
              <w:right w:val="single" w:sz="4" w:space="0" w:color="auto"/>
            </w:tcBorders>
            <w:shd w:val="clear" w:color="auto" w:fill="auto"/>
          </w:tcPr>
          <w:p w:rsidR="002C4538" w:rsidRPr="00AD2AF3" w:rsidRDefault="002C4538" w:rsidP="009E7F84">
            <w:pPr>
              <w:widowControl w:val="0"/>
              <w:suppressAutoHyphens/>
              <w:spacing w:after="0" w:line="240" w:lineRule="auto"/>
              <w:jc w:val="center"/>
              <w:rPr>
                <w:rFonts w:eastAsia="SimSun" w:cs="Times New Roman"/>
                <w:kern w:val="1"/>
                <w:sz w:val="18"/>
                <w:szCs w:val="18"/>
                <w:lang w:eastAsia="hi-IN" w:bidi="hi-IN"/>
              </w:rPr>
            </w:pPr>
            <w:r w:rsidRPr="00AD2AF3">
              <w:rPr>
                <w:rFonts w:eastAsia="SimSun" w:cs="Times New Roman"/>
                <w:kern w:val="1"/>
                <w:sz w:val="18"/>
                <w:szCs w:val="18"/>
                <w:lang w:eastAsia="hi-IN" w:bidi="hi-IN"/>
              </w:rPr>
              <w:t>10</w:t>
            </w:r>
          </w:p>
        </w:tc>
        <w:tc>
          <w:tcPr>
            <w:tcW w:w="1134"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EU27</w:t>
            </w:r>
          </w:p>
        </w:tc>
        <w:tc>
          <w:tcPr>
            <w:tcW w:w="1080" w:type="dxa"/>
            <w:tcBorders>
              <w:top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China</w:t>
            </w:r>
          </w:p>
        </w:tc>
        <w:tc>
          <w:tcPr>
            <w:tcW w:w="1530" w:type="dxa"/>
            <w:tcBorders>
              <w:top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Turkey</w:t>
            </w:r>
          </w:p>
        </w:tc>
        <w:tc>
          <w:tcPr>
            <w:tcW w:w="1296" w:type="dxa"/>
            <w:tcBorders>
              <w:top w:val="single" w:sz="4" w:space="0" w:color="auto"/>
              <w:left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p>
        </w:tc>
      </w:tr>
      <w:tr w:rsidR="002C4538" w:rsidRPr="00990B12" w:rsidTr="00AD2AF3">
        <w:trPr>
          <w:trHeight w:val="144"/>
          <w:jc w:val="center"/>
        </w:trPr>
        <w:tc>
          <w:tcPr>
            <w:tcW w:w="648" w:type="dxa"/>
            <w:vMerge/>
            <w:tcBorders>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rPr>
                <w:rFonts w:eastAsia="SimSun" w:cs="Times New Roman"/>
                <w:color w:val="000000"/>
                <w:kern w:val="1"/>
                <w:sz w:val="18"/>
                <w:szCs w:val="18"/>
                <w:lang w:eastAsia="hi-IN" w:bidi="hi-IN"/>
              </w:rPr>
            </w:pPr>
          </w:p>
        </w:tc>
        <w:tc>
          <w:tcPr>
            <w:tcW w:w="2574" w:type="dxa"/>
            <w:vMerge/>
            <w:tcBorders>
              <w:left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rPr>
                <w:rFonts w:eastAsia="SimSun" w:cs="Times New Roman"/>
                <w:kern w:val="1"/>
                <w:sz w:val="18"/>
                <w:szCs w:val="18"/>
                <w:lang w:eastAsia="hi-IN" w:bidi="hi-IN"/>
              </w:rPr>
            </w:pPr>
          </w:p>
        </w:tc>
        <w:tc>
          <w:tcPr>
            <w:tcW w:w="900" w:type="dxa"/>
            <w:vMerge/>
            <w:tcBorders>
              <w:left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rPr>
                <w:rFonts w:eastAsia="SimSun" w:cs="Times New Roman"/>
                <w:kern w:val="1"/>
                <w:sz w:val="18"/>
                <w:szCs w:val="18"/>
                <w:lang w:eastAsia="hi-IN" w:bidi="hi-IN"/>
              </w:rPr>
            </w:pPr>
          </w:p>
        </w:tc>
        <w:tc>
          <w:tcPr>
            <w:tcW w:w="1134"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[27.5]</w:t>
            </w:r>
          </w:p>
        </w:tc>
        <w:tc>
          <w:tcPr>
            <w:tcW w:w="1080" w:type="dxa"/>
            <w:tcBorders>
              <w:bottom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[22.6]</w:t>
            </w:r>
          </w:p>
        </w:tc>
        <w:tc>
          <w:tcPr>
            <w:tcW w:w="1530" w:type="dxa"/>
            <w:tcBorders>
              <w:bottom w:val="single" w:sz="4" w:space="0" w:color="auto"/>
              <w:right w:val="single" w:sz="4" w:space="0" w:color="auto"/>
            </w:tcBorders>
            <w:shd w:val="clear" w:color="auto" w:fill="auto"/>
            <w:vAlign w:val="center"/>
          </w:tcPr>
          <w:p w:rsidR="002C4538" w:rsidRPr="00AD2AF3" w:rsidRDefault="002C4538" w:rsidP="009E7F84">
            <w:pPr>
              <w:widowControl w:val="0"/>
              <w:suppressAutoHyphens/>
              <w:spacing w:after="0" w:line="240" w:lineRule="auto"/>
              <w:jc w:val="center"/>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[19.4]</w:t>
            </w:r>
          </w:p>
        </w:tc>
        <w:tc>
          <w:tcPr>
            <w:tcW w:w="1296" w:type="dxa"/>
            <w:tcBorders>
              <w:left w:val="single" w:sz="4" w:space="0" w:color="auto"/>
              <w:bottom w:val="single" w:sz="4" w:space="0" w:color="auto"/>
            </w:tcBorders>
            <w:shd w:val="clear" w:color="auto" w:fill="auto"/>
            <w:vAlign w:val="center"/>
          </w:tcPr>
          <w:p w:rsidR="002C4538" w:rsidRPr="00AD2AF3" w:rsidRDefault="002C4538" w:rsidP="009E7F84">
            <w:pPr>
              <w:widowControl w:val="0"/>
              <w:suppressAutoHyphens/>
              <w:spacing w:after="0" w:line="240" w:lineRule="auto"/>
              <w:ind w:right="288"/>
              <w:jc w:val="right"/>
              <w:rPr>
                <w:rFonts w:eastAsia="SimSun" w:cs="Times New Roman"/>
                <w:color w:val="000000"/>
                <w:kern w:val="1"/>
                <w:sz w:val="18"/>
                <w:szCs w:val="18"/>
                <w:lang w:eastAsia="hi-IN" w:bidi="hi-IN"/>
              </w:rPr>
            </w:pPr>
            <w:r w:rsidRPr="00AD2AF3">
              <w:rPr>
                <w:rFonts w:eastAsia="SimSun" w:cs="Times New Roman"/>
                <w:color w:val="000000"/>
                <w:kern w:val="1"/>
                <w:sz w:val="18"/>
                <w:szCs w:val="18"/>
                <w:lang w:eastAsia="hi-IN" w:bidi="hi-IN"/>
              </w:rPr>
              <w:t>69.6</w:t>
            </w:r>
          </w:p>
        </w:tc>
      </w:tr>
      <w:tr w:rsidR="002C4538" w:rsidRPr="00990B12" w:rsidTr="00AD2AF3">
        <w:trPr>
          <w:trHeight w:val="179"/>
          <w:jc w:val="center"/>
        </w:trPr>
        <w:tc>
          <w:tcPr>
            <w:tcW w:w="9162" w:type="dxa"/>
            <w:gridSpan w:val="7"/>
            <w:tcBorders>
              <w:top w:val="single" w:sz="4" w:space="0" w:color="auto"/>
            </w:tcBorders>
            <w:shd w:val="clear" w:color="auto" w:fill="auto"/>
            <w:vAlign w:val="bottom"/>
          </w:tcPr>
          <w:p w:rsidR="002C4538" w:rsidRPr="00990B12" w:rsidRDefault="002C4538" w:rsidP="009E7F84">
            <w:pPr>
              <w:widowControl w:val="0"/>
              <w:suppressAutoHyphens/>
              <w:spacing w:before="120" w:after="0" w:line="240" w:lineRule="auto"/>
              <w:rPr>
                <w:rFonts w:eastAsia="SimSun" w:cs="Times New Roman"/>
                <w:kern w:val="1"/>
                <w:szCs w:val="24"/>
                <w:lang w:eastAsia="hi-IN" w:bidi="hi-IN"/>
              </w:rPr>
            </w:pPr>
            <w:r w:rsidRPr="00990B12">
              <w:rPr>
                <w:rFonts w:eastAsia="SimSun" w:cs="Times New Roman"/>
                <w:i/>
                <w:kern w:val="1"/>
                <w:sz w:val="18"/>
                <w:szCs w:val="18"/>
                <w:lang w:eastAsia="hi-IN" w:bidi="hi-IN"/>
              </w:rPr>
              <w:t>Source:</w:t>
            </w:r>
            <w:r w:rsidRPr="00990B12">
              <w:rPr>
                <w:rFonts w:eastAsia="SimSun" w:cs="Times New Roman"/>
                <w:kern w:val="1"/>
                <w:sz w:val="18"/>
                <w:szCs w:val="18"/>
                <w:lang w:eastAsia="hi-IN" w:bidi="hi-IN"/>
              </w:rPr>
              <w:t xml:space="preserve"> UN-COMTRADE mirror data</w:t>
            </w:r>
            <w:r w:rsidR="00A95294">
              <w:rPr>
                <w:rFonts w:eastAsia="SimSun" w:cs="Times New Roman"/>
                <w:kern w:val="1"/>
                <w:sz w:val="18"/>
                <w:szCs w:val="18"/>
                <w:lang w:eastAsia="hi-IN" w:bidi="hi-IN"/>
              </w:rPr>
              <w:t>, World Bank Staff calculations.</w:t>
            </w:r>
          </w:p>
        </w:tc>
      </w:tr>
    </w:tbl>
    <w:p w:rsidR="00BA1B5B" w:rsidRDefault="00BA1B5B">
      <w:pPr>
        <w:spacing w:line="276" w:lineRule="auto"/>
        <w:jc w:val="lef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864"/>
      </w:tblGrid>
      <w:tr w:rsidR="00BA1B5B" w:rsidRPr="000E2592" w:rsidTr="00893E3D">
        <w:tc>
          <w:tcPr>
            <w:tcW w:w="4968" w:type="dxa"/>
          </w:tcPr>
          <w:p w:rsidR="00BA1B5B" w:rsidRDefault="00BA1B5B" w:rsidP="006F0A8E">
            <w:pPr>
              <w:pStyle w:val="Caption"/>
            </w:pPr>
            <w:r>
              <w:t xml:space="preserve">Figure </w:t>
            </w:r>
            <w:r w:rsidR="002350D4">
              <w:t>A</w:t>
            </w:r>
            <w:r w:rsidR="006F0A8E">
              <w:t>1</w:t>
            </w:r>
            <w:r>
              <w:t xml:space="preserve">: China </w:t>
            </w:r>
            <w:r w:rsidR="00946D71">
              <w:t>Gained Grounds i</w:t>
            </w:r>
            <w:r w:rsidR="00FC3281">
              <w:t>n t</w:t>
            </w:r>
            <w:r w:rsidR="00946D71">
              <w:t xml:space="preserve">he </w:t>
            </w:r>
            <w:r w:rsidR="0046751F">
              <w:t xml:space="preserve">Kazakhstani </w:t>
            </w:r>
            <w:r w:rsidR="00946D71">
              <w:t xml:space="preserve">Market Despite the </w:t>
            </w:r>
            <w:r>
              <w:t xml:space="preserve">CU </w:t>
            </w:r>
            <w:r w:rsidR="00946D71">
              <w:t>Induced Tariff Rises</w:t>
            </w:r>
          </w:p>
        </w:tc>
        <w:tc>
          <w:tcPr>
            <w:tcW w:w="4878" w:type="dxa"/>
          </w:tcPr>
          <w:p w:rsidR="00BA1B5B" w:rsidRDefault="00BA1B5B" w:rsidP="006F0A8E">
            <w:pPr>
              <w:pStyle w:val="Caption"/>
            </w:pPr>
            <w:r>
              <w:t>Figure</w:t>
            </w:r>
            <w:r w:rsidR="006F0A8E">
              <w:t>A2</w:t>
            </w:r>
            <w:r>
              <w:t>:</w:t>
            </w:r>
            <w:r w:rsidRPr="000E2592">
              <w:t xml:space="preserve"> </w:t>
            </w:r>
            <w:r>
              <w:t xml:space="preserve">EU </w:t>
            </w:r>
            <w:r w:rsidR="00946D71">
              <w:t xml:space="preserve">Lost Ground in Almost Mirror Image, Especially in Machinery and Electronics and Transport </w:t>
            </w:r>
          </w:p>
        </w:tc>
      </w:tr>
      <w:tr w:rsidR="00BA1B5B" w:rsidRPr="000E2592" w:rsidTr="00893E3D">
        <w:trPr>
          <w:trHeight w:val="3393"/>
        </w:trPr>
        <w:tc>
          <w:tcPr>
            <w:tcW w:w="4968" w:type="dxa"/>
          </w:tcPr>
          <w:p w:rsidR="00BA1B5B" w:rsidRPr="00FE175D" w:rsidRDefault="00BA1B5B" w:rsidP="00DF62AB">
            <w:pPr>
              <w:spacing w:line="240" w:lineRule="auto"/>
              <w:rPr>
                <w:rFonts w:cs="Times New Roman"/>
                <w:sz w:val="16"/>
                <w:szCs w:val="16"/>
              </w:rPr>
            </w:pPr>
            <w:r w:rsidRPr="00F44F2C">
              <w:rPr>
                <w:rFonts w:cs="Times New Roman"/>
                <w:noProof/>
                <w:sz w:val="16"/>
                <w:szCs w:val="16"/>
              </w:rPr>
              <w:drawing>
                <wp:inline distT="0" distB="0" distL="0" distR="0" wp14:anchorId="6DFEC90A" wp14:editId="62737493">
                  <wp:extent cx="3040565" cy="2103863"/>
                  <wp:effectExtent l="0" t="0" r="26670" b="107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878" w:type="dxa"/>
          </w:tcPr>
          <w:p w:rsidR="00BA1B5B" w:rsidRPr="00FE175D" w:rsidRDefault="00BA1B5B" w:rsidP="00DF62AB">
            <w:pPr>
              <w:spacing w:line="240" w:lineRule="auto"/>
              <w:rPr>
                <w:rFonts w:cs="Times New Roman"/>
                <w:sz w:val="16"/>
                <w:szCs w:val="16"/>
              </w:rPr>
            </w:pPr>
            <w:r w:rsidRPr="00F44F2C">
              <w:rPr>
                <w:rFonts w:cs="Times New Roman"/>
                <w:noProof/>
                <w:sz w:val="16"/>
                <w:szCs w:val="16"/>
              </w:rPr>
              <w:drawing>
                <wp:inline distT="0" distB="0" distL="0" distR="0" wp14:anchorId="024C211E" wp14:editId="3D9F3D16">
                  <wp:extent cx="2981093" cy="2103863"/>
                  <wp:effectExtent l="0" t="0" r="10160" b="1079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BA1B5B" w:rsidRPr="000E2592" w:rsidTr="00893E3D">
        <w:tc>
          <w:tcPr>
            <w:tcW w:w="4968" w:type="dxa"/>
          </w:tcPr>
          <w:p w:rsidR="00BA1B5B" w:rsidRPr="00893E3D" w:rsidRDefault="00BA1B5B" w:rsidP="00DF62AB">
            <w:pPr>
              <w:spacing w:before="120" w:line="240" w:lineRule="auto"/>
              <w:rPr>
                <w:rFonts w:cs="Times New Roman"/>
                <w:sz w:val="18"/>
                <w:szCs w:val="18"/>
              </w:rPr>
            </w:pPr>
            <w:r w:rsidRPr="00893E3D">
              <w:rPr>
                <w:rFonts w:cs="Times New Roman"/>
                <w:i/>
                <w:sz w:val="18"/>
                <w:szCs w:val="18"/>
              </w:rPr>
              <w:t xml:space="preserve">Source: </w:t>
            </w:r>
            <w:r w:rsidR="00A95294" w:rsidRPr="00893E3D">
              <w:rPr>
                <w:rFonts w:cs="Times New Roman"/>
                <w:sz w:val="18"/>
                <w:szCs w:val="18"/>
              </w:rPr>
              <w:t xml:space="preserve">Official data and </w:t>
            </w:r>
            <w:r w:rsidRPr="00893E3D">
              <w:rPr>
                <w:rFonts w:cs="Times New Roman"/>
                <w:sz w:val="18"/>
                <w:szCs w:val="18"/>
              </w:rPr>
              <w:t>World Bank staff.</w:t>
            </w:r>
          </w:p>
        </w:tc>
        <w:tc>
          <w:tcPr>
            <w:tcW w:w="4878" w:type="dxa"/>
          </w:tcPr>
          <w:p w:rsidR="00BA1B5B" w:rsidRPr="00893E3D" w:rsidRDefault="00BA1B5B" w:rsidP="00DF62AB">
            <w:pPr>
              <w:tabs>
                <w:tab w:val="left" w:pos="1177"/>
                <w:tab w:val="center" w:pos="2278"/>
              </w:tabs>
              <w:spacing w:before="120" w:line="240" w:lineRule="auto"/>
              <w:jc w:val="left"/>
              <w:rPr>
                <w:sz w:val="18"/>
                <w:szCs w:val="18"/>
              </w:rPr>
            </w:pPr>
            <w:r w:rsidRPr="00893E3D">
              <w:rPr>
                <w:rFonts w:cs="Times New Roman"/>
                <w:i/>
                <w:sz w:val="18"/>
                <w:szCs w:val="18"/>
              </w:rPr>
              <w:t xml:space="preserve">Source: </w:t>
            </w:r>
            <w:r w:rsidR="00A95294" w:rsidRPr="00893E3D">
              <w:rPr>
                <w:rFonts w:cs="Times New Roman"/>
                <w:sz w:val="18"/>
                <w:szCs w:val="18"/>
              </w:rPr>
              <w:t>Official data and World Bank staff.</w:t>
            </w:r>
          </w:p>
        </w:tc>
      </w:tr>
    </w:tbl>
    <w:p w:rsidR="00BA1B5B" w:rsidRDefault="00BA1B5B">
      <w:pPr>
        <w:spacing w:line="276" w:lineRule="auto"/>
        <w:jc w:val="left"/>
        <w:rPr>
          <w:b/>
          <w:sz w:val="20"/>
          <w:szCs w:val="20"/>
        </w:rPr>
      </w:pPr>
      <w:r>
        <w:rPr>
          <w:b/>
          <w:sz w:val="20"/>
          <w:szCs w:val="20"/>
        </w:rPr>
        <w:t xml:space="preserve"> </w:t>
      </w:r>
      <w:r w:rsidR="00FC4060">
        <w:rPr>
          <w:b/>
          <w:sz w:val="20"/>
          <w:szCs w:val="20"/>
        </w:rPr>
        <w:br w:type="page"/>
      </w:r>
    </w:p>
    <w:p w:rsidR="00C96CE6" w:rsidRPr="00893E3D" w:rsidRDefault="00893E3D" w:rsidP="00893E3D">
      <w:pPr>
        <w:pStyle w:val="Caption"/>
        <w:rPr>
          <w:b w:val="0"/>
          <w:sz w:val="24"/>
          <w:szCs w:val="24"/>
        </w:rPr>
      </w:pPr>
      <w:bookmarkStart w:id="44" w:name="_Toc378151248"/>
      <w:r w:rsidRPr="00893E3D">
        <w:rPr>
          <w:sz w:val="24"/>
          <w:szCs w:val="24"/>
        </w:rPr>
        <w:lastRenderedPageBreak/>
        <w:t xml:space="preserve">Annex </w:t>
      </w:r>
      <w:r w:rsidRPr="00893E3D">
        <w:rPr>
          <w:sz w:val="24"/>
          <w:szCs w:val="24"/>
        </w:rPr>
        <w:fldChar w:fldCharType="begin"/>
      </w:r>
      <w:r w:rsidRPr="00893E3D">
        <w:rPr>
          <w:sz w:val="24"/>
          <w:szCs w:val="24"/>
        </w:rPr>
        <w:instrText xml:space="preserve"> SEQ Annex \* ROMAN </w:instrText>
      </w:r>
      <w:r w:rsidRPr="00893E3D">
        <w:rPr>
          <w:sz w:val="24"/>
          <w:szCs w:val="24"/>
        </w:rPr>
        <w:fldChar w:fldCharType="separate"/>
      </w:r>
      <w:r w:rsidR="00CE6F8C">
        <w:rPr>
          <w:noProof/>
          <w:sz w:val="24"/>
          <w:szCs w:val="24"/>
        </w:rPr>
        <w:t>II</w:t>
      </w:r>
      <w:r w:rsidRPr="00893E3D">
        <w:rPr>
          <w:sz w:val="24"/>
          <w:szCs w:val="24"/>
        </w:rPr>
        <w:fldChar w:fldCharType="end"/>
      </w:r>
      <w:r w:rsidRPr="00893E3D">
        <w:rPr>
          <w:sz w:val="24"/>
          <w:szCs w:val="24"/>
        </w:rPr>
        <w:t>:</w:t>
      </w:r>
      <w:r w:rsidR="00C96CE6" w:rsidRPr="00893E3D">
        <w:rPr>
          <w:b w:val="0"/>
          <w:sz w:val="24"/>
          <w:szCs w:val="24"/>
        </w:rPr>
        <w:t xml:space="preserve"> Impact of Accession to the WTO with the </w:t>
      </w:r>
      <w:r w:rsidR="00AD2AF3">
        <w:rPr>
          <w:b w:val="0"/>
          <w:sz w:val="24"/>
          <w:szCs w:val="24"/>
        </w:rPr>
        <w:t>S</w:t>
      </w:r>
      <w:r w:rsidR="00C96CE6" w:rsidRPr="00893E3D">
        <w:rPr>
          <w:b w:val="0"/>
          <w:sz w:val="24"/>
          <w:szCs w:val="24"/>
        </w:rPr>
        <w:t>ame Schedule as Russia.</w:t>
      </w:r>
      <w:bookmarkEnd w:id="44"/>
      <w:r w:rsidR="00C96CE6" w:rsidRPr="00893E3D">
        <w:rPr>
          <w:b w:val="0"/>
          <w:sz w:val="24"/>
          <w:szCs w:val="24"/>
        </w:rPr>
        <w:t xml:space="preserve"> </w:t>
      </w:r>
    </w:p>
    <w:p w:rsidR="006F3934" w:rsidRDefault="00EE4F28" w:rsidP="00C46B01">
      <w:pPr>
        <w:spacing w:after="120" w:line="240" w:lineRule="auto"/>
        <w:ind w:right="317"/>
        <w:jc w:val="center"/>
        <w:rPr>
          <w:b/>
          <w:sz w:val="20"/>
          <w:szCs w:val="20"/>
        </w:rPr>
      </w:pPr>
      <w:r w:rsidRPr="00C46B01">
        <w:rPr>
          <w:b/>
          <w:sz w:val="20"/>
          <w:szCs w:val="20"/>
        </w:rPr>
        <w:t>Table A</w:t>
      </w:r>
      <w:r w:rsidR="00C46B01" w:rsidRPr="00C46B01">
        <w:rPr>
          <w:b/>
          <w:sz w:val="20"/>
          <w:szCs w:val="20"/>
        </w:rPr>
        <w:t>2</w:t>
      </w:r>
      <w:r w:rsidRPr="00C46B01">
        <w:rPr>
          <w:b/>
          <w:sz w:val="20"/>
          <w:szCs w:val="20"/>
        </w:rPr>
        <w:t xml:space="preserve">: </w:t>
      </w:r>
      <w:r w:rsidRPr="00C46B01">
        <w:rPr>
          <w:rFonts w:eastAsia="Times New Roman" w:cs="Times New Roman"/>
          <w:b/>
          <w:color w:val="000000"/>
          <w:sz w:val="20"/>
          <w:szCs w:val="20"/>
        </w:rPr>
        <w:t>Change</w:t>
      </w:r>
      <w:r w:rsidRPr="00C46B01">
        <w:rPr>
          <w:b/>
          <w:sz w:val="20"/>
          <w:szCs w:val="20"/>
        </w:rPr>
        <w:t xml:space="preserve"> </w:t>
      </w:r>
      <w:r w:rsidR="00946D71" w:rsidRPr="00C46B01">
        <w:rPr>
          <w:b/>
          <w:sz w:val="20"/>
          <w:szCs w:val="20"/>
        </w:rPr>
        <w:t xml:space="preserve">to Import Values by Region </w:t>
      </w:r>
      <w:r w:rsidR="00EC2468" w:rsidRPr="00C46B01">
        <w:rPr>
          <w:b/>
          <w:sz w:val="20"/>
          <w:szCs w:val="20"/>
        </w:rPr>
        <w:t xml:space="preserve">– 2020 </w:t>
      </w:r>
    </w:p>
    <w:p w:rsidR="00EE4F28" w:rsidRPr="006F3934" w:rsidRDefault="00EC2468" w:rsidP="00C46B01">
      <w:pPr>
        <w:spacing w:after="120" w:line="240" w:lineRule="auto"/>
        <w:ind w:right="317"/>
        <w:jc w:val="center"/>
        <w:rPr>
          <w:sz w:val="20"/>
          <w:szCs w:val="20"/>
        </w:rPr>
      </w:pPr>
      <w:r w:rsidRPr="006F3934">
        <w:rPr>
          <w:sz w:val="20"/>
          <w:szCs w:val="20"/>
        </w:rPr>
        <w:t>(</w:t>
      </w:r>
      <w:r w:rsidR="00946D71" w:rsidRPr="006F3934">
        <w:rPr>
          <w:sz w:val="20"/>
          <w:szCs w:val="20"/>
        </w:rPr>
        <w:t>Billion</w:t>
      </w:r>
      <w:r w:rsidR="006F3934">
        <w:rPr>
          <w:sz w:val="20"/>
          <w:szCs w:val="20"/>
        </w:rPr>
        <w:t xml:space="preserve"> T</w:t>
      </w:r>
      <w:r w:rsidRPr="006F3934">
        <w:rPr>
          <w:sz w:val="20"/>
          <w:szCs w:val="20"/>
        </w:rPr>
        <w:t>enge)</w:t>
      </w:r>
    </w:p>
    <w:tbl>
      <w:tblPr>
        <w:tblW w:w="0" w:type="auto"/>
        <w:jc w:val="center"/>
        <w:tblLayout w:type="fixed"/>
        <w:tblLook w:val="04A0" w:firstRow="1" w:lastRow="0" w:firstColumn="1" w:lastColumn="0" w:noHBand="0" w:noVBand="1"/>
      </w:tblPr>
      <w:tblGrid>
        <w:gridCol w:w="2605"/>
        <w:gridCol w:w="1170"/>
        <w:gridCol w:w="1170"/>
        <w:gridCol w:w="1170"/>
        <w:gridCol w:w="1170"/>
        <w:gridCol w:w="1170"/>
      </w:tblGrid>
      <w:tr w:rsidR="00EE4F28" w:rsidRPr="00365C67" w:rsidTr="00C46B01">
        <w:trPr>
          <w:trHeight w:val="20"/>
          <w:jc w:val="center"/>
        </w:trPr>
        <w:tc>
          <w:tcPr>
            <w:tcW w:w="2605" w:type="dxa"/>
            <w:tcBorders>
              <w:top w:val="single" w:sz="4" w:space="0" w:color="auto"/>
              <w:bottom w:val="single" w:sz="4" w:space="0" w:color="auto"/>
            </w:tcBorders>
            <w:shd w:val="clear" w:color="auto" w:fill="auto"/>
            <w:noWrap/>
            <w:vAlign w:val="center"/>
            <w:hideMark/>
          </w:tcPr>
          <w:p w:rsidR="00EE4F28" w:rsidRPr="00C46B01" w:rsidRDefault="00EE4F28" w:rsidP="00A73380">
            <w:pPr>
              <w:spacing w:before="60" w:after="60" w:line="240" w:lineRule="auto"/>
              <w:jc w:val="center"/>
              <w:rPr>
                <w:rFonts w:eastAsia="Times New Roman" w:cs="Times New Roman"/>
                <w:color w:val="000000"/>
                <w:sz w:val="20"/>
                <w:szCs w:val="20"/>
              </w:rPr>
            </w:pPr>
            <w:r w:rsidRPr="00C46B01">
              <w:rPr>
                <w:rFonts w:eastAsia="Times New Roman" w:cs="Times New Roman"/>
                <w:color w:val="000000"/>
                <w:sz w:val="20"/>
                <w:szCs w:val="20"/>
              </w:rPr>
              <w:t>Item</w:t>
            </w:r>
          </w:p>
        </w:tc>
        <w:tc>
          <w:tcPr>
            <w:tcW w:w="1170" w:type="dxa"/>
            <w:tcBorders>
              <w:top w:val="single" w:sz="4" w:space="0" w:color="auto"/>
              <w:bottom w:val="single" w:sz="4" w:space="0" w:color="auto"/>
            </w:tcBorders>
            <w:shd w:val="clear" w:color="000000" w:fill="FFFFFF"/>
            <w:vAlign w:val="center"/>
            <w:hideMark/>
          </w:tcPr>
          <w:p w:rsidR="00EE4F28" w:rsidRPr="00C46B01" w:rsidRDefault="00EE4F28" w:rsidP="00A73380">
            <w:pPr>
              <w:spacing w:before="60" w:after="60" w:line="240" w:lineRule="auto"/>
              <w:jc w:val="center"/>
              <w:rPr>
                <w:rFonts w:eastAsia="Times New Roman" w:cs="Times New Roman"/>
                <w:sz w:val="20"/>
                <w:szCs w:val="20"/>
              </w:rPr>
            </w:pPr>
            <w:r w:rsidRPr="00C46B01">
              <w:rPr>
                <w:rFonts w:eastAsia="Times New Roman" w:cs="Times New Roman"/>
                <w:sz w:val="20"/>
                <w:szCs w:val="20"/>
              </w:rPr>
              <w:t>European Union</w:t>
            </w:r>
          </w:p>
        </w:tc>
        <w:tc>
          <w:tcPr>
            <w:tcW w:w="1170" w:type="dxa"/>
            <w:tcBorders>
              <w:top w:val="single" w:sz="4" w:space="0" w:color="auto"/>
              <w:bottom w:val="single" w:sz="4" w:space="0" w:color="auto"/>
            </w:tcBorders>
            <w:shd w:val="clear" w:color="000000" w:fill="FFFFFF"/>
            <w:vAlign w:val="center"/>
            <w:hideMark/>
          </w:tcPr>
          <w:p w:rsidR="00EE4F28" w:rsidRPr="00C46B01" w:rsidRDefault="00EE4F28" w:rsidP="00A73380">
            <w:pPr>
              <w:spacing w:before="60" w:after="60" w:line="240" w:lineRule="auto"/>
              <w:jc w:val="center"/>
              <w:rPr>
                <w:rFonts w:eastAsia="Times New Roman" w:cs="Times New Roman"/>
                <w:sz w:val="20"/>
                <w:szCs w:val="20"/>
              </w:rPr>
            </w:pPr>
            <w:r w:rsidRPr="00C46B01">
              <w:rPr>
                <w:rFonts w:eastAsia="Times New Roman" w:cs="Times New Roman"/>
                <w:sz w:val="20"/>
                <w:szCs w:val="20"/>
              </w:rPr>
              <w:t>Customs Union</w:t>
            </w:r>
          </w:p>
        </w:tc>
        <w:tc>
          <w:tcPr>
            <w:tcW w:w="1170" w:type="dxa"/>
            <w:tcBorders>
              <w:top w:val="single" w:sz="4" w:space="0" w:color="auto"/>
              <w:bottom w:val="single" w:sz="4" w:space="0" w:color="auto"/>
            </w:tcBorders>
            <w:shd w:val="clear" w:color="000000" w:fill="FFFFFF"/>
            <w:vAlign w:val="center"/>
            <w:hideMark/>
          </w:tcPr>
          <w:p w:rsidR="00EE4F28" w:rsidRPr="00C46B01" w:rsidRDefault="00EE4F28" w:rsidP="00A73380">
            <w:pPr>
              <w:spacing w:before="60" w:after="60" w:line="240" w:lineRule="auto"/>
              <w:jc w:val="center"/>
              <w:rPr>
                <w:rFonts w:eastAsia="Times New Roman" w:cs="Times New Roman"/>
                <w:sz w:val="20"/>
                <w:szCs w:val="20"/>
              </w:rPr>
            </w:pPr>
            <w:r w:rsidRPr="00C46B01">
              <w:rPr>
                <w:rFonts w:eastAsia="Times New Roman" w:cs="Times New Roman"/>
                <w:sz w:val="20"/>
                <w:szCs w:val="20"/>
              </w:rPr>
              <w:t>Other CIS</w:t>
            </w:r>
          </w:p>
        </w:tc>
        <w:tc>
          <w:tcPr>
            <w:tcW w:w="1170" w:type="dxa"/>
            <w:tcBorders>
              <w:top w:val="single" w:sz="4" w:space="0" w:color="auto"/>
              <w:bottom w:val="single" w:sz="4" w:space="0" w:color="auto"/>
            </w:tcBorders>
            <w:shd w:val="clear" w:color="000000" w:fill="FFFFFF"/>
            <w:vAlign w:val="center"/>
            <w:hideMark/>
          </w:tcPr>
          <w:p w:rsidR="00EE4F28" w:rsidRPr="00C46B01" w:rsidRDefault="00EE4F28" w:rsidP="00A73380">
            <w:pPr>
              <w:spacing w:before="60" w:after="60" w:line="240" w:lineRule="auto"/>
              <w:jc w:val="center"/>
              <w:rPr>
                <w:rFonts w:eastAsia="Times New Roman" w:cs="Times New Roman"/>
                <w:sz w:val="20"/>
                <w:szCs w:val="20"/>
              </w:rPr>
            </w:pPr>
            <w:r w:rsidRPr="00C46B01">
              <w:rPr>
                <w:rFonts w:eastAsia="Times New Roman" w:cs="Times New Roman"/>
                <w:sz w:val="20"/>
                <w:szCs w:val="20"/>
              </w:rPr>
              <w:t>Rest of the World</w:t>
            </w:r>
          </w:p>
        </w:tc>
        <w:tc>
          <w:tcPr>
            <w:tcW w:w="1170" w:type="dxa"/>
            <w:tcBorders>
              <w:top w:val="single" w:sz="4" w:space="0" w:color="auto"/>
              <w:bottom w:val="single" w:sz="4" w:space="0" w:color="auto"/>
            </w:tcBorders>
            <w:shd w:val="clear" w:color="000000" w:fill="FFFFFF"/>
            <w:vAlign w:val="center"/>
            <w:hideMark/>
          </w:tcPr>
          <w:p w:rsidR="00EE4F28" w:rsidRPr="00C46B01" w:rsidRDefault="00EE4F28" w:rsidP="00A73380">
            <w:pPr>
              <w:spacing w:before="60" w:after="60" w:line="240" w:lineRule="auto"/>
              <w:jc w:val="center"/>
              <w:rPr>
                <w:rFonts w:eastAsia="Times New Roman" w:cs="Times New Roman"/>
                <w:sz w:val="20"/>
                <w:szCs w:val="20"/>
              </w:rPr>
            </w:pPr>
            <w:r w:rsidRPr="00C46B01">
              <w:rPr>
                <w:rFonts w:eastAsia="Times New Roman" w:cs="Times New Roman"/>
                <w:sz w:val="20"/>
                <w:szCs w:val="20"/>
              </w:rPr>
              <w:t>Net Import Change</w:t>
            </w:r>
          </w:p>
        </w:tc>
      </w:tr>
      <w:tr w:rsidR="00EE4F28" w:rsidRPr="00365C67" w:rsidTr="00C46B01">
        <w:trPr>
          <w:trHeight w:val="20"/>
          <w:jc w:val="center"/>
        </w:trPr>
        <w:tc>
          <w:tcPr>
            <w:tcW w:w="2605" w:type="dxa"/>
            <w:tcBorders>
              <w:top w:val="single" w:sz="4" w:space="0" w:color="auto"/>
            </w:tcBorders>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Food and beverages</w:t>
            </w:r>
          </w:p>
        </w:tc>
        <w:tc>
          <w:tcPr>
            <w:tcW w:w="1170" w:type="dxa"/>
            <w:tcBorders>
              <w:top w:val="single" w:sz="4" w:space="0" w:color="auto"/>
            </w:tcBorders>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14.69</w:t>
            </w:r>
          </w:p>
        </w:tc>
        <w:tc>
          <w:tcPr>
            <w:tcW w:w="1170" w:type="dxa"/>
            <w:tcBorders>
              <w:top w:val="single" w:sz="4" w:space="0" w:color="auto"/>
            </w:tcBorders>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-21.11</w:t>
            </w:r>
          </w:p>
        </w:tc>
        <w:tc>
          <w:tcPr>
            <w:tcW w:w="1170" w:type="dxa"/>
            <w:tcBorders>
              <w:top w:val="single" w:sz="4" w:space="0" w:color="auto"/>
            </w:tcBorders>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-6.8</w:t>
            </w:r>
          </w:p>
        </w:tc>
        <w:tc>
          <w:tcPr>
            <w:tcW w:w="1170" w:type="dxa"/>
            <w:tcBorders>
              <w:top w:val="single" w:sz="4" w:space="0" w:color="auto"/>
            </w:tcBorders>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33.33</w:t>
            </w:r>
          </w:p>
        </w:tc>
        <w:tc>
          <w:tcPr>
            <w:tcW w:w="1170" w:type="dxa"/>
            <w:tcBorders>
              <w:top w:val="single" w:sz="4" w:space="0" w:color="auto"/>
            </w:tcBorders>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20.12</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Chemical Industry</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13.92</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-18.03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-2.25</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8.49</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2.12</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Metal products</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13.7</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-11.2</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-2.73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9.37</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9.15</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Pulp and paper</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6.81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-5.93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-1.78</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1.66</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0.76</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Electrical machinery</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6.52</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-7.18</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-2.77</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4.56</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1.12</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Motor vehicles and trailers</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5.96</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-11.4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-1.21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9.92</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3.28</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Rubber and plastic</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5.59</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-10.21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-1.18</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8.12</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2.31</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Other transport equipment</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3.79</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-2.78</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-2.23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2.25</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1.02</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Metallurgical industry</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3.4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-5.3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-4.64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11.38</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4.84</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Other mineral products</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3.21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-5.81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6.67</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2.67</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Machinery and equipment</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2.93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-4.53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-1.16</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2.51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-0.25</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Wood products</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2.49</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-3.93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-0.25</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1.53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-0.16</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Furniture and other products</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1.74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-2.68</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-0.85</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2.5</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0.7</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Textiles</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1.03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-1.24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-0.36</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1.85</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1.28</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Agriculture and hunting</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0.84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-1.2</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-0.44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5.03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4.23</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Precision instruments</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0.77</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-1.33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0.77</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0.11</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Radio and television</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0.71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-1.13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1.95</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1.23</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 xml:space="preserve">Leather products </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-0.57</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-0.2</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1.18</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0.8</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Wearing apparel</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0.28</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-0.34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-0.02</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0.65</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0.58</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Publishing and printing</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0.16</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0.13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-0.16</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Tobacco products</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0.14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-1.3</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1.66</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0.5</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 xml:space="preserve">Refined petroleum </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-0.25</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-0.24</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Fishing</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0.01</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Mining of coal and lignite</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-0.02</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-0.02</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Crude oil and natural gas</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1.24</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0.18</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1.42</w:t>
            </w:r>
          </w:p>
        </w:tc>
      </w:tr>
      <w:tr w:rsidR="00EE4F28" w:rsidRPr="00365C67" w:rsidTr="00C46B01">
        <w:trPr>
          <w:trHeight w:val="20"/>
          <w:jc w:val="center"/>
        </w:trPr>
        <w:tc>
          <w:tcPr>
            <w:tcW w:w="2605" w:type="dxa"/>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Mining of metals</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0.08</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0.1</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-0.65</w:t>
            </w:r>
          </w:p>
        </w:tc>
        <w:tc>
          <w:tcPr>
            <w:tcW w:w="1170" w:type="dxa"/>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-0.48</w:t>
            </w:r>
          </w:p>
        </w:tc>
      </w:tr>
      <w:tr w:rsidR="00EE4F28" w:rsidRPr="00365C67" w:rsidTr="00C46B01">
        <w:trPr>
          <w:trHeight w:val="20"/>
          <w:jc w:val="center"/>
        </w:trPr>
        <w:tc>
          <w:tcPr>
            <w:tcW w:w="2605" w:type="dxa"/>
            <w:tcBorders>
              <w:bottom w:val="single" w:sz="4" w:space="0" w:color="auto"/>
            </w:tcBorders>
            <w:shd w:val="clear" w:color="auto" w:fill="auto"/>
            <w:noWrap/>
            <w:vAlign w:val="bottom"/>
            <w:hideMark/>
          </w:tcPr>
          <w:p w:rsidR="00EE4F28" w:rsidRPr="00C46B01" w:rsidRDefault="00EE4F28" w:rsidP="00A73380">
            <w:pPr>
              <w:spacing w:after="0" w:line="240" w:lineRule="auto"/>
              <w:rPr>
                <w:rFonts w:eastAsia="Times New Roman" w:cs="Times New Roman"/>
                <w:color w:val="000000"/>
                <w:sz w:val="20"/>
                <w:szCs w:val="20"/>
              </w:rPr>
            </w:pPr>
            <w:r w:rsidRPr="00C46B01">
              <w:rPr>
                <w:rFonts w:eastAsia="Times New Roman" w:cs="Times New Roman"/>
                <w:color w:val="000000"/>
                <w:sz w:val="20"/>
                <w:szCs w:val="20"/>
              </w:rPr>
              <w:t>Other mining</w:t>
            </w:r>
          </w:p>
        </w:tc>
        <w:tc>
          <w:tcPr>
            <w:tcW w:w="1170" w:type="dxa"/>
            <w:tcBorders>
              <w:bottom w:val="single" w:sz="4" w:space="0" w:color="auto"/>
            </w:tcBorders>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-0.01</w:t>
            </w:r>
          </w:p>
        </w:tc>
        <w:tc>
          <w:tcPr>
            <w:tcW w:w="1170" w:type="dxa"/>
            <w:tcBorders>
              <w:bottom w:val="single" w:sz="4" w:space="0" w:color="auto"/>
            </w:tcBorders>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-0.05</w:t>
            </w:r>
          </w:p>
        </w:tc>
        <w:tc>
          <w:tcPr>
            <w:tcW w:w="1170" w:type="dxa"/>
            <w:tcBorders>
              <w:bottom w:val="single" w:sz="4" w:space="0" w:color="auto"/>
            </w:tcBorders>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w:t>
            </w:r>
          </w:p>
        </w:tc>
        <w:tc>
          <w:tcPr>
            <w:tcW w:w="1170" w:type="dxa"/>
            <w:tcBorders>
              <w:bottom w:val="single" w:sz="4" w:space="0" w:color="auto"/>
            </w:tcBorders>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-0.02</w:t>
            </w:r>
          </w:p>
        </w:tc>
        <w:tc>
          <w:tcPr>
            <w:tcW w:w="1170" w:type="dxa"/>
            <w:tcBorders>
              <w:bottom w:val="single" w:sz="4" w:space="0" w:color="auto"/>
            </w:tcBorders>
            <w:shd w:val="clear" w:color="auto" w:fill="auto"/>
            <w:noWrap/>
            <w:vAlign w:val="bottom"/>
            <w:hideMark/>
          </w:tcPr>
          <w:p w:rsidR="00EE4F28" w:rsidRPr="00C46B01" w:rsidRDefault="00EE4F28" w:rsidP="00C46B01">
            <w:pPr>
              <w:spacing w:after="0" w:line="240" w:lineRule="auto"/>
              <w:ind w:right="317"/>
              <w:jc w:val="right"/>
              <w:rPr>
                <w:rFonts w:eastAsia="Times New Roman" w:cs="Times New Roman"/>
                <w:color w:val="000000"/>
                <w:sz w:val="20"/>
                <w:szCs w:val="20"/>
              </w:rPr>
            </w:pPr>
            <w:r w:rsidRPr="00C46B01">
              <w:rPr>
                <w:rFonts w:eastAsia="Times New Roman" w:cs="Times New Roman"/>
                <w:color w:val="000000"/>
                <w:sz w:val="20"/>
                <w:szCs w:val="20"/>
              </w:rPr>
              <w:t>-0.08</w:t>
            </w:r>
          </w:p>
        </w:tc>
      </w:tr>
      <w:tr w:rsidR="00893E3D" w:rsidRPr="00365C67" w:rsidTr="007F278B">
        <w:trPr>
          <w:trHeight w:val="20"/>
          <w:jc w:val="center"/>
        </w:trPr>
        <w:tc>
          <w:tcPr>
            <w:tcW w:w="8455" w:type="dxa"/>
            <w:gridSpan w:val="6"/>
            <w:tcBorders>
              <w:top w:val="single" w:sz="4" w:space="0" w:color="auto"/>
            </w:tcBorders>
            <w:shd w:val="clear" w:color="auto" w:fill="auto"/>
            <w:noWrap/>
            <w:vAlign w:val="bottom"/>
          </w:tcPr>
          <w:p w:rsidR="00893E3D" w:rsidRPr="00EF11C6" w:rsidRDefault="00893E3D" w:rsidP="00946D71">
            <w:pPr>
              <w:spacing w:before="120" w:after="0" w:line="240" w:lineRule="auto"/>
              <w:ind w:right="317"/>
              <w:jc w:val="left"/>
              <w:rPr>
                <w:rFonts w:eastAsia="Times New Roman" w:cs="Times New Roman"/>
                <w:color w:val="000000"/>
                <w:sz w:val="18"/>
                <w:szCs w:val="18"/>
              </w:rPr>
            </w:pPr>
            <w:r w:rsidRPr="008113CE">
              <w:rPr>
                <w:rFonts w:eastAsia="Times New Roman" w:cs="Times New Roman"/>
                <w:i/>
                <w:color w:val="000000"/>
                <w:sz w:val="18"/>
                <w:szCs w:val="18"/>
              </w:rPr>
              <w:t>Source:</w:t>
            </w:r>
            <w:r w:rsidR="008113CE" w:rsidRPr="008113CE">
              <w:rPr>
                <w:rFonts w:eastAsia="Times New Roman" w:cs="Times New Roman"/>
                <w:i/>
                <w:color w:val="000000"/>
                <w:sz w:val="17"/>
                <w:szCs w:val="17"/>
              </w:rPr>
              <w:t xml:space="preserve"> </w:t>
            </w:r>
            <w:r w:rsidR="008113CE" w:rsidRPr="008113CE">
              <w:rPr>
                <w:rFonts w:eastAsia="Times New Roman" w:cs="Times New Roman"/>
                <w:color w:val="000000"/>
                <w:sz w:val="17"/>
                <w:szCs w:val="17"/>
              </w:rPr>
              <w:t>Official data, World Bank calculations.</w:t>
            </w:r>
          </w:p>
        </w:tc>
      </w:tr>
    </w:tbl>
    <w:p w:rsidR="00BA1B5B" w:rsidRDefault="00BA1B5B" w:rsidP="00946D71">
      <w:pPr>
        <w:spacing w:before="120" w:after="0" w:line="276" w:lineRule="auto"/>
        <w:jc w:val="left"/>
        <w:rPr>
          <w:rFonts w:cs="Times New Roman"/>
          <w:b/>
          <w:sz w:val="22"/>
        </w:rPr>
      </w:pPr>
    </w:p>
    <w:p w:rsidR="00DD76D9" w:rsidRDefault="00DD76D9">
      <w:pPr>
        <w:spacing w:line="276" w:lineRule="auto"/>
        <w:jc w:val="left"/>
        <w:rPr>
          <w:rFonts w:cs="Times New Roman"/>
          <w:b/>
          <w:sz w:val="22"/>
        </w:rPr>
      </w:pPr>
    </w:p>
    <w:p w:rsidR="00DD76D9" w:rsidRDefault="00DD76D9">
      <w:pPr>
        <w:spacing w:line="276" w:lineRule="auto"/>
        <w:jc w:val="left"/>
        <w:rPr>
          <w:rFonts w:cs="Times New Roman"/>
          <w:b/>
          <w:sz w:val="22"/>
        </w:rPr>
      </w:pPr>
    </w:p>
    <w:p w:rsidR="00DD76D9" w:rsidRDefault="00DD76D9">
      <w:pPr>
        <w:spacing w:line="276" w:lineRule="auto"/>
        <w:jc w:val="left"/>
        <w:rPr>
          <w:rFonts w:cs="Times New Roman"/>
          <w:b/>
          <w:sz w:val="22"/>
        </w:rPr>
      </w:pPr>
    </w:p>
    <w:p w:rsidR="00FC3281" w:rsidRDefault="00FC3281">
      <w:pPr>
        <w:spacing w:line="276" w:lineRule="auto"/>
        <w:jc w:val="left"/>
        <w:rPr>
          <w:rFonts w:cs="Times New Roman"/>
          <w:b/>
          <w:sz w:val="22"/>
        </w:rPr>
        <w:sectPr w:rsidR="00FC3281" w:rsidSect="004D0E0A">
          <w:footerReference w:type="default" r:id="rId24"/>
          <w:pgSz w:w="12240" w:h="15840"/>
          <w:pgMar w:top="1170" w:right="1440" w:bottom="1440" w:left="1170" w:header="720" w:footer="720" w:gutter="0"/>
          <w:pgNumType w:start="1"/>
          <w:cols w:space="720"/>
          <w:docGrid w:linePitch="360"/>
        </w:sectPr>
      </w:pPr>
    </w:p>
    <w:p w:rsidR="0086382D" w:rsidRDefault="0086382D" w:rsidP="00893E3D">
      <w:pPr>
        <w:spacing w:after="120" w:line="240" w:lineRule="auto"/>
        <w:jc w:val="center"/>
        <w:rPr>
          <w:b/>
          <w:sz w:val="20"/>
          <w:szCs w:val="20"/>
        </w:rPr>
      </w:pPr>
      <w:r w:rsidRPr="00893E3D">
        <w:rPr>
          <w:b/>
          <w:sz w:val="20"/>
          <w:szCs w:val="20"/>
        </w:rPr>
        <w:lastRenderedPageBreak/>
        <w:t xml:space="preserve">Table A3 Weighted </w:t>
      </w:r>
      <w:r w:rsidR="00946D71" w:rsidRPr="00893E3D">
        <w:rPr>
          <w:b/>
          <w:sz w:val="20"/>
          <w:szCs w:val="20"/>
        </w:rPr>
        <w:t xml:space="preserve">Mean </w:t>
      </w:r>
      <w:r w:rsidR="00946D71">
        <w:rPr>
          <w:b/>
          <w:sz w:val="20"/>
          <w:szCs w:val="20"/>
        </w:rPr>
        <w:t>o</w:t>
      </w:r>
      <w:r w:rsidR="00946D71" w:rsidRPr="00893E3D">
        <w:rPr>
          <w:b/>
          <w:sz w:val="20"/>
          <w:szCs w:val="20"/>
        </w:rPr>
        <w:t>f Applied Tariffs under the WTO Accession Scenario for Sectors</w:t>
      </w:r>
    </w:p>
    <w:p w:rsidR="006F3934" w:rsidRPr="006F3934" w:rsidRDefault="006F3934" w:rsidP="00893E3D">
      <w:pPr>
        <w:spacing w:after="120" w:line="240" w:lineRule="auto"/>
        <w:jc w:val="center"/>
        <w:rPr>
          <w:sz w:val="20"/>
          <w:szCs w:val="20"/>
        </w:rPr>
      </w:pPr>
      <w:r w:rsidRPr="006F3934">
        <w:rPr>
          <w:sz w:val="20"/>
          <w:szCs w:val="20"/>
        </w:rPr>
        <w:t>(</w:t>
      </w:r>
      <w:r w:rsidR="00946D71" w:rsidRPr="006F3934">
        <w:rPr>
          <w:sz w:val="20"/>
          <w:szCs w:val="20"/>
        </w:rPr>
        <w:t>Percent</w:t>
      </w:r>
      <w:r w:rsidRPr="006F3934">
        <w:rPr>
          <w:sz w:val="20"/>
          <w:szCs w:val="20"/>
        </w:rPr>
        <w:t>)</w:t>
      </w:r>
    </w:p>
    <w:tbl>
      <w:tblPr>
        <w:tblW w:w="10649" w:type="dxa"/>
        <w:jc w:val="center"/>
        <w:tblLayout w:type="fixed"/>
        <w:tblLook w:val="04A0" w:firstRow="1" w:lastRow="0" w:firstColumn="1" w:lastColumn="0" w:noHBand="0" w:noVBand="1"/>
      </w:tblPr>
      <w:tblGrid>
        <w:gridCol w:w="735"/>
        <w:gridCol w:w="4298"/>
        <w:gridCol w:w="624"/>
        <w:gridCol w:w="624"/>
        <w:gridCol w:w="624"/>
        <w:gridCol w:w="624"/>
        <w:gridCol w:w="624"/>
        <w:gridCol w:w="624"/>
        <w:gridCol w:w="624"/>
        <w:gridCol w:w="624"/>
        <w:gridCol w:w="624"/>
      </w:tblGrid>
      <w:tr w:rsidR="00786508" w:rsidRPr="00893E3D" w:rsidTr="00786508">
        <w:trPr>
          <w:trHeight w:val="255"/>
          <w:jc w:val="center"/>
        </w:trPr>
        <w:tc>
          <w:tcPr>
            <w:tcW w:w="735" w:type="dxa"/>
            <w:vMerge w:val="restart"/>
            <w:tcBorders>
              <w:top w:val="single" w:sz="4" w:space="0" w:color="auto"/>
              <w:left w:val="nil"/>
              <w:right w:val="nil"/>
            </w:tcBorders>
            <w:shd w:val="clear" w:color="auto" w:fill="auto"/>
            <w:noWrap/>
            <w:vAlign w:val="center"/>
            <w:hideMark/>
          </w:tcPr>
          <w:p w:rsidR="00786508" w:rsidRPr="00893E3D" w:rsidRDefault="00786508" w:rsidP="00786508">
            <w:pPr>
              <w:spacing w:before="60" w:after="60" w:line="240" w:lineRule="auto"/>
              <w:jc w:val="left"/>
              <w:rPr>
                <w:rFonts w:eastAsia="Times New Roman" w:cs="Times New Roman"/>
                <w:color w:val="000000"/>
                <w:sz w:val="17"/>
                <w:szCs w:val="17"/>
              </w:rPr>
            </w:pPr>
            <w:r w:rsidRPr="00893E3D">
              <w:rPr>
                <w:rFonts w:eastAsia="Times New Roman" w:cs="Times New Roman"/>
                <w:color w:val="000000"/>
                <w:sz w:val="17"/>
                <w:szCs w:val="17"/>
              </w:rPr>
              <w:t>Sector</w:t>
            </w:r>
          </w:p>
        </w:tc>
        <w:tc>
          <w:tcPr>
            <w:tcW w:w="4298" w:type="dxa"/>
            <w:vMerge w:val="restart"/>
            <w:tcBorders>
              <w:top w:val="single" w:sz="4" w:space="0" w:color="auto"/>
              <w:left w:val="nil"/>
              <w:right w:val="nil"/>
            </w:tcBorders>
            <w:shd w:val="clear" w:color="auto" w:fill="auto"/>
            <w:noWrap/>
            <w:vAlign w:val="center"/>
            <w:hideMark/>
          </w:tcPr>
          <w:p w:rsidR="00786508" w:rsidRPr="00893E3D" w:rsidRDefault="00786508" w:rsidP="00786508">
            <w:pPr>
              <w:spacing w:before="60" w:after="60" w:line="240" w:lineRule="auto"/>
              <w:jc w:val="left"/>
              <w:rPr>
                <w:rFonts w:eastAsia="Times New Roman" w:cs="Times New Roman"/>
                <w:color w:val="000000"/>
                <w:sz w:val="17"/>
                <w:szCs w:val="17"/>
              </w:rPr>
            </w:pPr>
            <w:r w:rsidRPr="00893E3D">
              <w:rPr>
                <w:rFonts w:eastAsia="Times New Roman" w:cs="Times New Roman"/>
                <w:color w:val="000000"/>
                <w:sz w:val="17"/>
                <w:szCs w:val="17"/>
              </w:rPr>
              <w:t xml:space="preserve">Sector </w:t>
            </w:r>
            <w:r>
              <w:rPr>
                <w:rFonts w:eastAsia="Times New Roman" w:cs="Times New Roman"/>
                <w:color w:val="000000"/>
                <w:sz w:val="17"/>
                <w:szCs w:val="17"/>
              </w:rPr>
              <w:t>D</w:t>
            </w:r>
            <w:r w:rsidRPr="00893E3D">
              <w:rPr>
                <w:rFonts w:eastAsia="Times New Roman" w:cs="Times New Roman"/>
                <w:color w:val="000000"/>
                <w:sz w:val="17"/>
                <w:szCs w:val="17"/>
              </w:rPr>
              <w:t>escription</w:t>
            </w:r>
          </w:p>
        </w:tc>
        <w:tc>
          <w:tcPr>
            <w:tcW w:w="5616" w:type="dxa"/>
            <w:gridSpan w:val="9"/>
            <w:tcBorders>
              <w:top w:val="single" w:sz="4" w:space="0" w:color="auto"/>
              <w:left w:val="nil"/>
              <w:bottom w:val="nil"/>
              <w:right w:val="nil"/>
            </w:tcBorders>
            <w:shd w:val="clear" w:color="auto" w:fill="auto"/>
            <w:noWrap/>
            <w:hideMark/>
          </w:tcPr>
          <w:p w:rsidR="00786508" w:rsidRPr="00893E3D" w:rsidRDefault="00786508" w:rsidP="0045398C">
            <w:pPr>
              <w:spacing w:before="60" w:after="60" w:line="240" w:lineRule="auto"/>
              <w:jc w:val="center"/>
              <w:rPr>
                <w:rFonts w:eastAsia="Times New Roman" w:cs="Times New Roman"/>
                <w:color w:val="000000"/>
                <w:sz w:val="17"/>
                <w:szCs w:val="17"/>
              </w:rPr>
            </w:pPr>
            <w:r w:rsidRPr="00893E3D">
              <w:rPr>
                <w:rFonts w:eastAsia="Times New Roman" w:cs="Times New Roman"/>
                <w:color w:val="000000"/>
                <w:sz w:val="17"/>
                <w:szCs w:val="17"/>
              </w:rPr>
              <w:t>Year</w:t>
            </w:r>
          </w:p>
        </w:tc>
      </w:tr>
      <w:tr w:rsidR="00786508" w:rsidRPr="00893E3D" w:rsidTr="004E4926">
        <w:trPr>
          <w:trHeight w:val="255"/>
          <w:jc w:val="center"/>
        </w:trPr>
        <w:tc>
          <w:tcPr>
            <w:tcW w:w="735" w:type="dxa"/>
            <w:vMerge/>
            <w:tcBorders>
              <w:left w:val="nil"/>
              <w:bottom w:val="single" w:sz="4" w:space="0" w:color="auto"/>
              <w:right w:val="nil"/>
            </w:tcBorders>
            <w:shd w:val="clear" w:color="auto" w:fill="auto"/>
            <w:noWrap/>
            <w:hideMark/>
          </w:tcPr>
          <w:p w:rsidR="00786508" w:rsidRPr="00893E3D" w:rsidRDefault="00786508" w:rsidP="0045398C">
            <w:pPr>
              <w:spacing w:before="60" w:after="60" w:line="240" w:lineRule="auto"/>
              <w:jc w:val="center"/>
              <w:rPr>
                <w:rFonts w:eastAsia="Times New Roman" w:cs="Times New Roman"/>
                <w:color w:val="000000"/>
                <w:sz w:val="17"/>
                <w:szCs w:val="17"/>
              </w:rPr>
            </w:pPr>
          </w:p>
        </w:tc>
        <w:tc>
          <w:tcPr>
            <w:tcW w:w="4298" w:type="dxa"/>
            <w:vMerge/>
            <w:tcBorders>
              <w:left w:val="nil"/>
              <w:bottom w:val="single" w:sz="4" w:space="0" w:color="auto"/>
              <w:right w:val="nil"/>
            </w:tcBorders>
            <w:shd w:val="clear" w:color="auto" w:fill="auto"/>
            <w:noWrap/>
            <w:hideMark/>
          </w:tcPr>
          <w:p w:rsidR="00786508" w:rsidRPr="00893E3D" w:rsidRDefault="00786508" w:rsidP="0045398C">
            <w:pPr>
              <w:spacing w:before="60" w:after="60" w:line="240" w:lineRule="auto"/>
              <w:jc w:val="left"/>
              <w:rPr>
                <w:rFonts w:eastAsia="Times New Roman" w:cs="Times New Roman"/>
                <w:color w:val="000000"/>
                <w:sz w:val="17"/>
                <w:szCs w:val="17"/>
              </w:rPr>
            </w:pPr>
          </w:p>
        </w:tc>
        <w:tc>
          <w:tcPr>
            <w:tcW w:w="624" w:type="dxa"/>
            <w:tcBorders>
              <w:top w:val="single" w:sz="4" w:space="0" w:color="auto"/>
              <w:left w:val="nil"/>
              <w:bottom w:val="single" w:sz="4" w:space="0" w:color="auto"/>
              <w:right w:val="nil"/>
            </w:tcBorders>
            <w:shd w:val="clear" w:color="auto" w:fill="auto"/>
            <w:noWrap/>
            <w:hideMark/>
          </w:tcPr>
          <w:p w:rsidR="00786508" w:rsidRPr="00893E3D" w:rsidRDefault="00786508" w:rsidP="0045398C">
            <w:pPr>
              <w:spacing w:before="60" w:after="60" w:line="240" w:lineRule="auto"/>
              <w:jc w:val="center"/>
              <w:rPr>
                <w:rFonts w:eastAsia="Times New Roman" w:cs="Times New Roman"/>
                <w:color w:val="000000"/>
                <w:sz w:val="17"/>
                <w:szCs w:val="17"/>
              </w:rPr>
            </w:pPr>
            <w:r w:rsidRPr="00893E3D">
              <w:rPr>
                <w:rFonts w:eastAsia="Times New Roman" w:cs="Times New Roman"/>
                <w:color w:val="000000"/>
                <w:sz w:val="17"/>
                <w:szCs w:val="17"/>
              </w:rPr>
              <w:t>2012</w:t>
            </w:r>
          </w:p>
        </w:tc>
        <w:tc>
          <w:tcPr>
            <w:tcW w:w="624" w:type="dxa"/>
            <w:tcBorders>
              <w:top w:val="single" w:sz="4" w:space="0" w:color="auto"/>
              <w:left w:val="nil"/>
              <w:bottom w:val="single" w:sz="4" w:space="0" w:color="auto"/>
              <w:right w:val="nil"/>
            </w:tcBorders>
            <w:shd w:val="clear" w:color="auto" w:fill="auto"/>
            <w:noWrap/>
            <w:hideMark/>
          </w:tcPr>
          <w:p w:rsidR="00786508" w:rsidRPr="00893E3D" w:rsidRDefault="00786508" w:rsidP="0045398C">
            <w:pPr>
              <w:spacing w:before="60" w:after="60" w:line="240" w:lineRule="auto"/>
              <w:jc w:val="center"/>
              <w:rPr>
                <w:rFonts w:eastAsia="Times New Roman" w:cs="Times New Roman"/>
                <w:color w:val="000000"/>
                <w:sz w:val="17"/>
                <w:szCs w:val="17"/>
              </w:rPr>
            </w:pPr>
            <w:r w:rsidRPr="00893E3D">
              <w:rPr>
                <w:rFonts w:eastAsia="Times New Roman" w:cs="Times New Roman"/>
                <w:color w:val="000000"/>
                <w:sz w:val="17"/>
                <w:szCs w:val="17"/>
              </w:rPr>
              <w:t>2013</w:t>
            </w:r>
          </w:p>
        </w:tc>
        <w:tc>
          <w:tcPr>
            <w:tcW w:w="624" w:type="dxa"/>
            <w:tcBorders>
              <w:top w:val="single" w:sz="4" w:space="0" w:color="auto"/>
              <w:left w:val="nil"/>
              <w:bottom w:val="single" w:sz="4" w:space="0" w:color="auto"/>
              <w:right w:val="nil"/>
            </w:tcBorders>
            <w:shd w:val="clear" w:color="auto" w:fill="auto"/>
            <w:noWrap/>
            <w:hideMark/>
          </w:tcPr>
          <w:p w:rsidR="00786508" w:rsidRPr="00893E3D" w:rsidRDefault="00786508" w:rsidP="0045398C">
            <w:pPr>
              <w:spacing w:before="60" w:after="60" w:line="240" w:lineRule="auto"/>
              <w:jc w:val="center"/>
              <w:rPr>
                <w:rFonts w:eastAsia="Times New Roman" w:cs="Times New Roman"/>
                <w:color w:val="000000"/>
                <w:sz w:val="17"/>
                <w:szCs w:val="17"/>
              </w:rPr>
            </w:pPr>
            <w:r w:rsidRPr="00893E3D">
              <w:rPr>
                <w:rFonts w:eastAsia="Times New Roman" w:cs="Times New Roman"/>
                <w:color w:val="000000"/>
                <w:sz w:val="17"/>
                <w:szCs w:val="17"/>
              </w:rPr>
              <w:t>2014</w:t>
            </w:r>
          </w:p>
        </w:tc>
        <w:tc>
          <w:tcPr>
            <w:tcW w:w="624" w:type="dxa"/>
            <w:tcBorders>
              <w:top w:val="single" w:sz="4" w:space="0" w:color="auto"/>
              <w:left w:val="nil"/>
              <w:bottom w:val="single" w:sz="4" w:space="0" w:color="auto"/>
              <w:right w:val="nil"/>
            </w:tcBorders>
            <w:shd w:val="clear" w:color="auto" w:fill="auto"/>
            <w:noWrap/>
            <w:hideMark/>
          </w:tcPr>
          <w:p w:rsidR="00786508" w:rsidRPr="00893E3D" w:rsidRDefault="00786508" w:rsidP="0045398C">
            <w:pPr>
              <w:spacing w:before="60" w:after="60" w:line="240" w:lineRule="auto"/>
              <w:jc w:val="center"/>
              <w:rPr>
                <w:rFonts w:eastAsia="Times New Roman" w:cs="Times New Roman"/>
                <w:color w:val="000000"/>
                <w:sz w:val="17"/>
                <w:szCs w:val="17"/>
              </w:rPr>
            </w:pPr>
            <w:r w:rsidRPr="00893E3D">
              <w:rPr>
                <w:rFonts w:eastAsia="Times New Roman" w:cs="Times New Roman"/>
                <w:color w:val="000000"/>
                <w:sz w:val="17"/>
                <w:szCs w:val="17"/>
              </w:rPr>
              <w:t>2015</w:t>
            </w:r>
          </w:p>
        </w:tc>
        <w:tc>
          <w:tcPr>
            <w:tcW w:w="624" w:type="dxa"/>
            <w:tcBorders>
              <w:top w:val="single" w:sz="4" w:space="0" w:color="auto"/>
              <w:left w:val="nil"/>
              <w:bottom w:val="single" w:sz="4" w:space="0" w:color="auto"/>
              <w:right w:val="nil"/>
            </w:tcBorders>
            <w:shd w:val="clear" w:color="auto" w:fill="auto"/>
            <w:noWrap/>
            <w:hideMark/>
          </w:tcPr>
          <w:p w:rsidR="00786508" w:rsidRPr="00893E3D" w:rsidRDefault="00786508" w:rsidP="0045398C">
            <w:pPr>
              <w:spacing w:before="60" w:after="60" w:line="240" w:lineRule="auto"/>
              <w:jc w:val="center"/>
              <w:rPr>
                <w:rFonts w:eastAsia="Times New Roman" w:cs="Times New Roman"/>
                <w:color w:val="000000"/>
                <w:sz w:val="17"/>
                <w:szCs w:val="17"/>
              </w:rPr>
            </w:pPr>
            <w:r w:rsidRPr="00893E3D">
              <w:rPr>
                <w:rFonts w:eastAsia="Times New Roman" w:cs="Times New Roman"/>
                <w:color w:val="000000"/>
                <w:sz w:val="17"/>
                <w:szCs w:val="17"/>
              </w:rPr>
              <w:t>2016</w:t>
            </w:r>
          </w:p>
        </w:tc>
        <w:tc>
          <w:tcPr>
            <w:tcW w:w="624" w:type="dxa"/>
            <w:tcBorders>
              <w:top w:val="single" w:sz="4" w:space="0" w:color="auto"/>
              <w:left w:val="nil"/>
              <w:bottom w:val="single" w:sz="4" w:space="0" w:color="auto"/>
              <w:right w:val="nil"/>
            </w:tcBorders>
            <w:shd w:val="clear" w:color="auto" w:fill="auto"/>
            <w:noWrap/>
            <w:hideMark/>
          </w:tcPr>
          <w:p w:rsidR="00786508" w:rsidRPr="00893E3D" w:rsidRDefault="00786508" w:rsidP="0045398C">
            <w:pPr>
              <w:spacing w:before="60" w:after="60" w:line="240" w:lineRule="auto"/>
              <w:jc w:val="center"/>
              <w:rPr>
                <w:rFonts w:eastAsia="Times New Roman" w:cs="Times New Roman"/>
                <w:color w:val="000000"/>
                <w:sz w:val="17"/>
                <w:szCs w:val="17"/>
              </w:rPr>
            </w:pPr>
            <w:r w:rsidRPr="00893E3D">
              <w:rPr>
                <w:rFonts w:eastAsia="Times New Roman" w:cs="Times New Roman"/>
                <w:color w:val="000000"/>
                <w:sz w:val="17"/>
                <w:szCs w:val="17"/>
              </w:rPr>
              <w:t>2017</w:t>
            </w:r>
          </w:p>
        </w:tc>
        <w:tc>
          <w:tcPr>
            <w:tcW w:w="624" w:type="dxa"/>
            <w:tcBorders>
              <w:top w:val="single" w:sz="4" w:space="0" w:color="auto"/>
              <w:left w:val="nil"/>
              <w:bottom w:val="single" w:sz="4" w:space="0" w:color="auto"/>
              <w:right w:val="nil"/>
            </w:tcBorders>
            <w:shd w:val="clear" w:color="auto" w:fill="auto"/>
            <w:noWrap/>
            <w:hideMark/>
          </w:tcPr>
          <w:p w:rsidR="00786508" w:rsidRPr="00893E3D" w:rsidRDefault="00786508" w:rsidP="0045398C">
            <w:pPr>
              <w:spacing w:before="60" w:after="60" w:line="240" w:lineRule="auto"/>
              <w:jc w:val="center"/>
              <w:rPr>
                <w:rFonts w:eastAsia="Times New Roman" w:cs="Times New Roman"/>
                <w:color w:val="000000"/>
                <w:sz w:val="17"/>
                <w:szCs w:val="17"/>
              </w:rPr>
            </w:pPr>
            <w:r w:rsidRPr="00893E3D">
              <w:rPr>
                <w:rFonts w:eastAsia="Times New Roman" w:cs="Times New Roman"/>
                <w:color w:val="000000"/>
                <w:sz w:val="17"/>
                <w:szCs w:val="17"/>
              </w:rPr>
              <w:t>2018</w:t>
            </w:r>
          </w:p>
        </w:tc>
        <w:tc>
          <w:tcPr>
            <w:tcW w:w="624" w:type="dxa"/>
            <w:tcBorders>
              <w:top w:val="single" w:sz="4" w:space="0" w:color="auto"/>
              <w:left w:val="nil"/>
              <w:bottom w:val="single" w:sz="4" w:space="0" w:color="auto"/>
              <w:right w:val="nil"/>
            </w:tcBorders>
            <w:shd w:val="clear" w:color="auto" w:fill="auto"/>
            <w:noWrap/>
            <w:hideMark/>
          </w:tcPr>
          <w:p w:rsidR="00786508" w:rsidRPr="00893E3D" w:rsidRDefault="00786508" w:rsidP="0045398C">
            <w:pPr>
              <w:spacing w:before="60" w:after="60" w:line="240" w:lineRule="auto"/>
              <w:jc w:val="center"/>
              <w:rPr>
                <w:rFonts w:eastAsia="Times New Roman" w:cs="Times New Roman"/>
                <w:color w:val="000000"/>
                <w:sz w:val="17"/>
                <w:szCs w:val="17"/>
              </w:rPr>
            </w:pPr>
            <w:r w:rsidRPr="00893E3D">
              <w:rPr>
                <w:rFonts w:eastAsia="Times New Roman" w:cs="Times New Roman"/>
                <w:color w:val="000000"/>
                <w:sz w:val="17"/>
                <w:szCs w:val="17"/>
              </w:rPr>
              <w:t>2019</w:t>
            </w:r>
          </w:p>
        </w:tc>
        <w:tc>
          <w:tcPr>
            <w:tcW w:w="624" w:type="dxa"/>
            <w:tcBorders>
              <w:top w:val="single" w:sz="4" w:space="0" w:color="auto"/>
              <w:left w:val="nil"/>
              <w:bottom w:val="single" w:sz="4" w:space="0" w:color="auto"/>
              <w:right w:val="nil"/>
            </w:tcBorders>
            <w:shd w:val="clear" w:color="auto" w:fill="auto"/>
            <w:noWrap/>
            <w:hideMark/>
          </w:tcPr>
          <w:p w:rsidR="00786508" w:rsidRPr="00893E3D" w:rsidRDefault="00786508" w:rsidP="0045398C">
            <w:pPr>
              <w:spacing w:before="60" w:after="60" w:line="240" w:lineRule="auto"/>
              <w:jc w:val="center"/>
              <w:rPr>
                <w:rFonts w:eastAsia="Times New Roman" w:cs="Times New Roman"/>
                <w:color w:val="000000"/>
                <w:sz w:val="17"/>
                <w:szCs w:val="17"/>
              </w:rPr>
            </w:pPr>
            <w:r w:rsidRPr="00893E3D">
              <w:rPr>
                <w:rFonts w:eastAsia="Times New Roman" w:cs="Times New Roman"/>
                <w:color w:val="000000"/>
                <w:sz w:val="17"/>
                <w:szCs w:val="17"/>
              </w:rPr>
              <w:t>2020</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1</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Agriculture</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5.37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4.84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4.49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4.19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4.02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3.73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3.73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3.73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3.73</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2</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Forestry</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5.22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5.14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5.07</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3</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Fishing</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10.00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8.17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7.56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6.58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6.48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6.48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6.48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6.48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6.48</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4</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Mining of coal and lignite; extraction of peat</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4.98</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5</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Extraction of crude petroleum and natural gas; service activities incidental to oil and gas extraction</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5.00</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6</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Mining of metal ores</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1.30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4.94</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7</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Other mining and quarrying</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4.77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4.69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4.69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4.69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4.69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4.69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4.69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4.69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4.69</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8</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food products and beverages</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20.07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13.96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12.76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11.78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11.37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11.30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11.29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11.29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11.17</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9</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tobacco products</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27.77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23.25</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20.19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16.63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16.22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16.11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16.11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16.11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16.11</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10</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textiles</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14.71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12.61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11.46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9.80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9.53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9.26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9.25</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9.25</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9.25</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11</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wearing apparel; dressing and dyeing of fur</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15.22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14.66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14.47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12.01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11.97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11.93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11.93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11.93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11.93</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12</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Tanning and dressing of leather; manufacture of luggage</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17.31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16.51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14.78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11.64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8.55</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8.52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8.52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8.52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8.52</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13</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wood and of products of wood and cork</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16.30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15.10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12.74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10.42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9.79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9.74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9.74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9.74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9.74</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14</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pulp</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12.21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9.52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8.24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6.84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6.02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5.98</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15</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Publishing</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1.02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0.72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0.61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0.56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0.53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0.53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0.53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0.53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0.53</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16</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coke</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4.96</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17</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chemicals and chemical products</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8.53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7.28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6.30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5.57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5.12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4.96</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18</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rubber and plastic products</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12.94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11.08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9.86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8.63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7.84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7.08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7.03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7.03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7.03</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19</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other non-metallic mineral products</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14.97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13.61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12.31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11.10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10.41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10.11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10.11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10.11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10.11</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20</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basic metals</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10.94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9.83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8.68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7.57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7.54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7.54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7.54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7.54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7.54</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21</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fabricated metal products</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13.76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11.48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9.22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7.98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7.43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7.36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7.36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7.36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7.36</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22</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machinery and equipment n.e.c.</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3.94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4.03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3.84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3.53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3.31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3.28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3.28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3.28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3.28</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23</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office machinery and computers</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0.04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0.15</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0.05</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0.00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0.00</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24</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electrical machinery and apparatus n.e.c.</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7.47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6.23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5.21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4.38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4.21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4.13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4.13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4.13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4.13</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25</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radio</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3.81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1.21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0.78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0.43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0.43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0.43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0.43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0.43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0.43</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26</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medical</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3.24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2.74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2.34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1.88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1.85</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1.84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1.84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1.84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1.84</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27</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motor vehicles</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16.14</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13.51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13.15</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12.79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11.67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10.71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9.77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9.15</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9.15</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28</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other transport equipment</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9.22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9.40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8.89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8.61</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8.35</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8.10</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7.89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7.67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7.67</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29</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Manufacture of furniture; manufacturing n.e.c.</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13.79</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15.27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14.63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13.76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12.35</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11.13</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9.97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9.97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9.97</w:t>
            </w:r>
          </w:p>
        </w:tc>
      </w:tr>
      <w:tr w:rsidR="004D0E0A" w:rsidRPr="00893E3D" w:rsidTr="0045398C">
        <w:trPr>
          <w:trHeight w:val="144"/>
          <w:jc w:val="center"/>
        </w:trPr>
        <w:tc>
          <w:tcPr>
            <w:tcW w:w="735" w:type="dxa"/>
            <w:tcBorders>
              <w:top w:val="nil"/>
              <w:left w:val="nil"/>
              <w:bottom w:val="nil"/>
              <w:right w:val="nil"/>
            </w:tcBorders>
            <w:shd w:val="clear" w:color="auto" w:fill="auto"/>
            <w:noWrap/>
            <w:hideMark/>
          </w:tcPr>
          <w:p w:rsidR="004D0E0A" w:rsidRPr="00893E3D" w:rsidRDefault="004D0E0A" w:rsidP="004D0E0A">
            <w:pPr>
              <w:spacing w:after="0" w:line="240" w:lineRule="auto"/>
              <w:jc w:val="center"/>
              <w:rPr>
                <w:rFonts w:eastAsia="Times New Roman" w:cs="Times New Roman"/>
                <w:color w:val="000000"/>
                <w:sz w:val="17"/>
                <w:szCs w:val="17"/>
              </w:rPr>
            </w:pPr>
            <w:r w:rsidRPr="00893E3D">
              <w:rPr>
                <w:rFonts w:eastAsia="Times New Roman" w:cs="Times New Roman"/>
                <w:color w:val="000000"/>
                <w:sz w:val="17"/>
                <w:szCs w:val="17"/>
              </w:rPr>
              <w:t>Total</w:t>
            </w:r>
          </w:p>
        </w:tc>
        <w:tc>
          <w:tcPr>
            <w:tcW w:w="4298" w:type="dxa"/>
            <w:tcBorders>
              <w:top w:val="nil"/>
              <w:left w:val="nil"/>
              <w:bottom w:val="nil"/>
              <w:right w:val="nil"/>
            </w:tcBorders>
            <w:shd w:val="clear" w:color="auto" w:fill="auto"/>
            <w:hideMark/>
          </w:tcPr>
          <w:p w:rsidR="004D0E0A" w:rsidRPr="00893E3D" w:rsidRDefault="004D0E0A" w:rsidP="004D0E0A">
            <w:pPr>
              <w:spacing w:after="0" w:line="240" w:lineRule="auto"/>
              <w:jc w:val="left"/>
              <w:rPr>
                <w:rFonts w:eastAsia="Times New Roman" w:cs="Times New Roman"/>
                <w:color w:val="000000"/>
                <w:sz w:val="17"/>
                <w:szCs w:val="17"/>
              </w:rPr>
            </w:pPr>
            <w:r w:rsidRPr="00893E3D">
              <w:rPr>
                <w:rFonts w:eastAsia="Times New Roman" w:cs="Times New Roman"/>
                <w:color w:val="000000"/>
                <w:sz w:val="17"/>
                <w:szCs w:val="17"/>
              </w:rPr>
              <w:t> </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8.92</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7.67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6.96</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6.27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5.87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5.67</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5.55</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5.48</w:t>
            </w:r>
          </w:p>
        </w:tc>
        <w:tc>
          <w:tcPr>
            <w:tcW w:w="624" w:type="dxa"/>
            <w:tcBorders>
              <w:top w:val="nil"/>
              <w:left w:val="nil"/>
              <w:bottom w:val="nil"/>
              <w:right w:val="nil"/>
            </w:tcBorders>
            <w:shd w:val="clear" w:color="auto" w:fill="auto"/>
            <w:noWrap/>
            <w:hideMark/>
          </w:tcPr>
          <w:p w:rsidR="004D0E0A" w:rsidRPr="00893E3D" w:rsidRDefault="004D0E0A" w:rsidP="0013345E">
            <w:pPr>
              <w:spacing w:after="0" w:line="240" w:lineRule="auto"/>
              <w:jc w:val="right"/>
              <w:rPr>
                <w:rFonts w:eastAsia="Times New Roman" w:cs="Times New Roman"/>
                <w:color w:val="000000"/>
                <w:sz w:val="17"/>
                <w:szCs w:val="17"/>
              </w:rPr>
            </w:pPr>
            <w:r w:rsidRPr="00893E3D">
              <w:rPr>
                <w:rFonts w:eastAsia="Times New Roman" w:cs="Times New Roman"/>
                <w:color w:val="000000"/>
                <w:sz w:val="17"/>
                <w:szCs w:val="17"/>
              </w:rPr>
              <w:t>5.48</w:t>
            </w:r>
          </w:p>
        </w:tc>
      </w:tr>
      <w:tr w:rsidR="0045398C" w:rsidRPr="00893E3D" w:rsidTr="0045398C">
        <w:trPr>
          <w:trHeight w:val="144"/>
          <w:jc w:val="center"/>
        </w:trPr>
        <w:tc>
          <w:tcPr>
            <w:tcW w:w="10649" w:type="dxa"/>
            <w:gridSpan w:val="11"/>
            <w:tcBorders>
              <w:top w:val="nil"/>
              <w:left w:val="nil"/>
              <w:bottom w:val="single" w:sz="4" w:space="0" w:color="auto"/>
              <w:right w:val="nil"/>
            </w:tcBorders>
            <w:shd w:val="clear" w:color="auto" w:fill="auto"/>
            <w:noWrap/>
          </w:tcPr>
          <w:p w:rsidR="0045398C" w:rsidRPr="00946D71" w:rsidRDefault="00946D71" w:rsidP="00946D71">
            <w:pPr>
              <w:spacing w:before="120" w:after="0" w:line="240" w:lineRule="auto"/>
            </w:pPr>
            <w:r w:rsidRPr="008113CE">
              <w:rPr>
                <w:rFonts w:eastAsia="Times New Roman" w:cs="Times New Roman"/>
                <w:i/>
                <w:color w:val="000000"/>
                <w:sz w:val="17"/>
                <w:szCs w:val="17"/>
              </w:rPr>
              <w:t>Source</w:t>
            </w:r>
            <w:r w:rsidRPr="008113CE">
              <w:rPr>
                <w:rFonts w:eastAsia="Times New Roman" w:cs="Times New Roman"/>
                <w:color w:val="000000"/>
                <w:sz w:val="17"/>
                <w:szCs w:val="17"/>
              </w:rPr>
              <w:t>:</w:t>
            </w:r>
            <w:r w:rsidR="00786508">
              <w:rPr>
                <w:rFonts w:eastAsia="Times New Roman" w:cs="Times New Roman"/>
                <w:color w:val="000000"/>
                <w:sz w:val="17"/>
                <w:szCs w:val="17"/>
              </w:rPr>
              <w:t xml:space="preserve"> </w:t>
            </w:r>
            <w:r w:rsidRPr="008113CE">
              <w:rPr>
                <w:rFonts w:eastAsia="Times New Roman" w:cs="Times New Roman"/>
                <w:color w:val="000000"/>
                <w:sz w:val="17"/>
                <w:szCs w:val="17"/>
              </w:rPr>
              <w:t>Official data, World Bank calculations</w:t>
            </w:r>
          </w:p>
        </w:tc>
      </w:tr>
    </w:tbl>
    <w:p w:rsidR="0086382D" w:rsidRDefault="0086382D" w:rsidP="0086382D"/>
    <w:p w:rsidR="00FC3281" w:rsidRDefault="00FC3281">
      <w:pPr>
        <w:spacing w:line="276" w:lineRule="auto"/>
        <w:jc w:val="left"/>
        <w:sectPr w:rsidR="00FC3281" w:rsidSect="00FC7BCA">
          <w:pgSz w:w="12240" w:h="15840"/>
          <w:pgMar w:top="1170" w:right="1440" w:bottom="1440" w:left="1170" w:header="720" w:footer="720" w:gutter="0"/>
          <w:cols w:space="720"/>
          <w:docGrid w:linePitch="360"/>
        </w:sectPr>
      </w:pPr>
    </w:p>
    <w:p w:rsidR="0045398C" w:rsidRDefault="0045398C">
      <w:pPr>
        <w:spacing w:line="276" w:lineRule="auto"/>
        <w:jc w:val="left"/>
      </w:pPr>
    </w:p>
    <w:p w:rsidR="0086382D" w:rsidRDefault="0086382D" w:rsidP="0045398C">
      <w:pPr>
        <w:spacing w:after="120" w:line="240" w:lineRule="auto"/>
        <w:jc w:val="center"/>
        <w:rPr>
          <w:b/>
          <w:sz w:val="20"/>
          <w:szCs w:val="20"/>
        </w:rPr>
      </w:pPr>
      <w:r w:rsidRPr="0045398C">
        <w:rPr>
          <w:b/>
          <w:sz w:val="20"/>
          <w:szCs w:val="20"/>
        </w:rPr>
        <w:t>Table A4</w:t>
      </w:r>
      <w:r w:rsidR="0013345E">
        <w:rPr>
          <w:b/>
          <w:sz w:val="20"/>
          <w:szCs w:val="20"/>
        </w:rPr>
        <w:t xml:space="preserve">: </w:t>
      </w:r>
      <w:r w:rsidRPr="0045398C">
        <w:rPr>
          <w:b/>
          <w:sz w:val="20"/>
          <w:szCs w:val="20"/>
        </w:rPr>
        <w:t xml:space="preserve">Weighted </w:t>
      </w:r>
      <w:r w:rsidR="00946D71" w:rsidRPr="0045398C">
        <w:rPr>
          <w:b/>
          <w:sz w:val="20"/>
          <w:szCs w:val="20"/>
        </w:rPr>
        <w:t xml:space="preserve">Mean of Bound Tariffs under the </w:t>
      </w:r>
      <w:r w:rsidRPr="0045398C">
        <w:rPr>
          <w:b/>
          <w:sz w:val="20"/>
          <w:szCs w:val="20"/>
        </w:rPr>
        <w:t xml:space="preserve">WTO </w:t>
      </w:r>
      <w:r w:rsidR="00946D71" w:rsidRPr="0045398C">
        <w:rPr>
          <w:b/>
          <w:sz w:val="20"/>
          <w:szCs w:val="20"/>
        </w:rPr>
        <w:t>Accession Scenario</w:t>
      </w:r>
    </w:p>
    <w:p w:rsidR="008113CE" w:rsidRPr="006F3934" w:rsidRDefault="008113CE" w:rsidP="0045398C">
      <w:pPr>
        <w:spacing w:after="120" w:line="240" w:lineRule="auto"/>
        <w:jc w:val="center"/>
        <w:rPr>
          <w:sz w:val="20"/>
          <w:szCs w:val="20"/>
        </w:rPr>
      </w:pPr>
      <w:r w:rsidRPr="006F3934">
        <w:rPr>
          <w:sz w:val="20"/>
          <w:szCs w:val="20"/>
        </w:rPr>
        <w:t>(</w:t>
      </w:r>
      <w:r w:rsidR="00946D71" w:rsidRPr="006F3934">
        <w:rPr>
          <w:sz w:val="20"/>
          <w:szCs w:val="20"/>
        </w:rPr>
        <w:t>Percent</w:t>
      </w:r>
      <w:r w:rsidRPr="006F3934">
        <w:rPr>
          <w:sz w:val="20"/>
          <w:szCs w:val="20"/>
        </w:rPr>
        <w:t>)</w:t>
      </w:r>
    </w:p>
    <w:tbl>
      <w:tblPr>
        <w:tblW w:w="10561" w:type="dxa"/>
        <w:jc w:val="center"/>
        <w:tblLayout w:type="fixed"/>
        <w:tblLook w:val="04A0" w:firstRow="1" w:lastRow="0" w:firstColumn="1" w:lastColumn="0" w:noHBand="0" w:noVBand="1"/>
      </w:tblPr>
      <w:tblGrid>
        <w:gridCol w:w="735"/>
        <w:gridCol w:w="4298"/>
        <w:gridCol w:w="599"/>
        <w:gridCol w:w="15"/>
        <w:gridCol w:w="590"/>
        <w:gridCol w:w="24"/>
        <w:gridCol w:w="606"/>
        <w:gridCol w:w="8"/>
        <w:gridCol w:w="591"/>
        <w:gridCol w:w="23"/>
        <w:gridCol w:w="576"/>
        <w:gridCol w:w="39"/>
        <w:gridCol w:w="569"/>
        <w:gridCol w:w="45"/>
        <w:gridCol w:w="585"/>
        <w:gridCol w:w="29"/>
        <w:gridCol w:w="570"/>
        <w:gridCol w:w="44"/>
        <w:gridCol w:w="615"/>
      </w:tblGrid>
      <w:tr w:rsidR="004D0E0A" w:rsidRPr="0045398C" w:rsidTr="00934ADE">
        <w:trPr>
          <w:trHeight w:val="144"/>
          <w:jc w:val="center"/>
        </w:trPr>
        <w:tc>
          <w:tcPr>
            <w:tcW w:w="735" w:type="dxa"/>
            <w:tcBorders>
              <w:top w:val="single" w:sz="4" w:space="0" w:color="auto"/>
              <w:left w:val="nil"/>
              <w:bottom w:val="nil"/>
              <w:right w:val="nil"/>
            </w:tcBorders>
            <w:shd w:val="clear" w:color="auto" w:fill="auto"/>
            <w:noWrap/>
            <w:hideMark/>
          </w:tcPr>
          <w:p w:rsidR="004D0E0A" w:rsidRPr="0045398C" w:rsidRDefault="004D0E0A" w:rsidP="0045398C">
            <w:pPr>
              <w:spacing w:before="60" w:after="60" w:line="240" w:lineRule="auto"/>
              <w:jc w:val="center"/>
              <w:rPr>
                <w:rFonts w:eastAsia="Times New Roman" w:cs="Times New Roman"/>
                <w:color w:val="000000"/>
                <w:sz w:val="17"/>
                <w:szCs w:val="17"/>
              </w:rPr>
            </w:pPr>
            <w:r w:rsidRPr="0045398C">
              <w:rPr>
                <w:rFonts w:eastAsia="Times New Roman" w:cs="Times New Roman"/>
                <w:color w:val="000000"/>
                <w:sz w:val="17"/>
                <w:szCs w:val="17"/>
              </w:rPr>
              <w:t>Sector</w:t>
            </w:r>
          </w:p>
        </w:tc>
        <w:tc>
          <w:tcPr>
            <w:tcW w:w="4298" w:type="dxa"/>
            <w:tcBorders>
              <w:top w:val="single" w:sz="4" w:space="0" w:color="auto"/>
              <w:left w:val="nil"/>
              <w:bottom w:val="nil"/>
              <w:right w:val="nil"/>
            </w:tcBorders>
            <w:shd w:val="clear" w:color="auto" w:fill="auto"/>
            <w:noWrap/>
            <w:hideMark/>
          </w:tcPr>
          <w:p w:rsidR="004D0E0A" w:rsidRPr="0045398C" w:rsidRDefault="00934ADE" w:rsidP="0045398C">
            <w:pPr>
              <w:spacing w:before="60" w:after="60" w:line="240" w:lineRule="auto"/>
              <w:jc w:val="left"/>
              <w:rPr>
                <w:rFonts w:eastAsia="Times New Roman" w:cs="Times New Roman"/>
                <w:color w:val="000000"/>
                <w:sz w:val="17"/>
                <w:szCs w:val="17"/>
              </w:rPr>
            </w:pPr>
            <w:r>
              <w:rPr>
                <w:rFonts w:eastAsia="Times New Roman" w:cs="Times New Roman"/>
                <w:color w:val="000000"/>
                <w:sz w:val="17"/>
                <w:szCs w:val="17"/>
              </w:rPr>
              <w:t>Sector D</w:t>
            </w:r>
            <w:r w:rsidR="004D0E0A" w:rsidRPr="0045398C">
              <w:rPr>
                <w:rFonts w:eastAsia="Times New Roman" w:cs="Times New Roman"/>
                <w:color w:val="000000"/>
                <w:sz w:val="17"/>
                <w:szCs w:val="17"/>
              </w:rPr>
              <w:t>escription</w:t>
            </w:r>
          </w:p>
        </w:tc>
        <w:tc>
          <w:tcPr>
            <w:tcW w:w="5528" w:type="dxa"/>
            <w:gridSpan w:val="17"/>
            <w:tcBorders>
              <w:top w:val="single" w:sz="4" w:space="0" w:color="auto"/>
              <w:left w:val="nil"/>
              <w:bottom w:val="nil"/>
              <w:right w:val="nil"/>
            </w:tcBorders>
            <w:shd w:val="clear" w:color="auto" w:fill="auto"/>
            <w:noWrap/>
            <w:hideMark/>
          </w:tcPr>
          <w:p w:rsidR="004D0E0A" w:rsidRPr="0045398C" w:rsidRDefault="004D0E0A" w:rsidP="0045398C">
            <w:pPr>
              <w:spacing w:before="60" w:after="60" w:line="240" w:lineRule="auto"/>
              <w:jc w:val="center"/>
              <w:rPr>
                <w:rFonts w:eastAsia="Times New Roman" w:cs="Times New Roman"/>
                <w:color w:val="000000"/>
                <w:sz w:val="17"/>
                <w:szCs w:val="17"/>
              </w:rPr>
            </w:pPr>
            <w:r w:rsidRPr="0045398C">
              <w:rPr>
                <w:rFonts w:eastAsia="Times New Roman" w:cs="Times New Roman"/>
                <w:color w:val="000000"/>
                <w:sz w:val="17"/>
                <w:szCs w:val="17"/>
              </w:rPr>
              <w:t>Year</w:t>
            </w:r>
          </w:p>
        </w:tc>
      </w:tr>
      <w:tr w:rsidR="00934ADE" w:rsidRPr="0045398C" w:rsidTr="00934ADE">
        <w:trPr>
          <w:trHeight w:val="144"/>
          <w:jc w:val="center"/>
        </w:trPr>
        <w:tc>
          <w:tcPr>
            <w:tcW w:w="735" w:type="dxa"/>
            <w:tcBorders>
              <w:top w:val="nil"/>
              <w:left w:val="nil"/>
              <w:bottom w:val="single" w:sz="4" w:space="0" w:color="auto"/>
              <w:right w:val="nil"/>
            </w:tcBorders>
            <w:shd w:val="clear" w:color="auto" w:fill="auto"/>
            <w:noWrap/>
            <w:hideMark/>
          </w:tcPr>
          <w:p w:rsidR="004D0E0A" w:rsidRPr="0045398C" w:rsidRDefault="004D0E0A" w:rsidP="0045398C">
            <w:pPr>
              <w:spacing w:before="60" w:after="60" w:line="240" w:lineRule="auto"/>
              <w:jc w:val="center"/>
              <w:rPr>
                <w:rFonts w:eastAsia="Times New Roman" w:cs="Times New Roman"/>
                <w:color w:val="000000"/>
                <w:sz w:val="17"/>
                <w:szCs w:val="17"/>
              </w:rPr>
            </w:pPr>
            <w:r w:rsidRPr="0045398C">
              <w:rPr>
                <w:rFonts w:eastAsia="Times New Roman" w:cs="Times New Roman"/>
                <w:color w:val="000000"/>
                <w:sz w:val="17"/>
                <w:szCs w:val="17"/>
              </w:rPr>
              <w:t> </w:t>
            </w:r>
          </w:p>
        </w:tc>
        <w:tc>
          <w:tcPr>
            <w:tcW w:w="4298" w:type="dxa"/>
            <w:tcBorders>
              <w:top w:val="nil"/>
              <w:left w:val="nil"/>
              <w:bottom w:val="single" w:sz="4" w:space="0" w:color="auto"/>
              <w:right w:val="nil"/>
            </w:tcBorders>
            <w:shd w:val="clear" w:color="auto" w:fill="auto"/>
            <w:noWrap/>
            <w:hideMark/>
          </w:tcPr>
          <w:p w:rsidR="004D0E0A" w:rsidRPr="0045398C" w:rsidRDefault="004D0E0A" w:rsidP="0045398C">
            <w:pPr>
              <w:spacing w:before="60" w:after="60" w:line="240" w:lineRule="auto"/>
              <w:jc w:val="left"/>
              <w:rPr>
                <w:rFonts w:eastAsia="Times New Roman" w:cs="Times New Roman"/>
                <w:color w:val="000000"/>
                <w:sz w:val="17"/>
                <w:szCs w:val="17"/>
              </w:rPr>
            </w:pPr>
            <w:r w:rsidRPr="0045398C">
              <w:rPr>
                <w:rFonts w:eastAsia="Times New Roman" w:cs="Times New Roman"/>
                <w:color w:val="000000"/>
                <w:sz w:val="17"/>
                <w:szCs w:val="17"/>
              </w:rPr>
              <w:t> </w:t>
            </w:r>
          </w:p>
        </w:tc>
        <w:tc>
          <w:tcPr>
            <w:tcW w:w="614" w:type="dxa"/>
            <w:gridSpan w:val="2"/>
            <w:tcBorders>
              <w:top w:val="single" w:sz="4" w:space="0" w:color="auto"/>
              <w:left w:val="nil"/>
              <w:bottom w:val="single" w:sz="4" w:space="0" w:color="auto"/>
              <w:right w:val="nil"/>
            </w:tcBorders>
            <w:shd w:val="clear" w:color="auto" w:fill="auto"/>
            <w:noWrap/>
            <w:hideMark/>
          </w:tcPr>
          <w:p w:rsidR="004D0E0A" w:rsidRPr="0045398C" w:rsidRDefault="004D0E0A" w:rsidP="0013345E">
            <w:pPr>
              <w:spacing w:before="60" w:after="60" w:line="240" w:lineRule="auto"/>
              <w:jc w:val="right"/>
              <w:rPr>
                <w:rFonts w:eastAsia="Times New Roman" w:cs="Times New Roman"/>
                <w:color w:val="000000"/>
                <w:sz w:val="17"/>
                <w:szCs w:val="17"/>
              </w:rPr>
            </w:pPr>
            <w:r w:rsidRPr="0045398C">
              <w:rPr>
                <w:rFonts w:eastAsia="Times New Roman" w:cs="Times New Roman"/>
                <w:color w:val="000000"/>
                <w:sz w:val="17"/>
                <w:szCs w:val="17"/>
              </w:rPr>
              <w:t>2012</w:t>
            </w:r>
          </w:p>
        </w:tc>
        <w:tc>
          <w:tcPr>
            <w:tcW w:w="614" w:type="dxa"/>
            <w:gridSpan w:val="2"/>
            <w:tcBorders>
              <w:top w:val="single" w:sz="4" w:space="0" w:color="auto"/>
              <w:left w:val="nil"/>
              <w:bottom w:val="single" w:sz="4" w:space="0" w:color="auto"/>
              <w:right w:val="nil"/>
            </w:tcBorders>
            <w:shd w:val="clear" w:color="auto" w:fill="auto"/>
            <w:noWrap/>
            <w:hideMark/>
          </w:tcPr>
          <w:p w:rsidR="004D0E0A" w:rsidRPr="0045398C" w:rsidRDefault="004D0E0A" w:rsidP="0013345E">
            <w:pPr>
              <w:spacing w:before="60" w:after="60" w:line="240" w:lineRule="auto"/>
              <w:jc w:val="right"/>
              <w:rPr>
                <w:rFonts w:eastAsia="Times New Roman" w:cs="Times New Roman"/>
                <w:color w:val="000000"/>
                <w:sz w:val="17"/>
                <w:szCs w:val="17"/>
              </w:rPr>
            </w:pPr>
            <w:r w:rsidRPr="0045398C">
              <w:rPr>
                <w:rFonts w:eastAsia="Times New Roman" w:cs="Times New Roman"/>
                <w:color w:val="000000"/>
                <w:sz w:val="17"/>
                <w:szCs w:val="17"/>
              </w:rPr>
              <w:t>2013</w:t>
            </w:r>
          </w:p>
        </w:tc>
        <w:tc>
          <w:tcPr>
            <w:tcW w:w="614" w:type="dxa"/>
            <w:gridSpan w:val="2"/>
            <w:tcBorders>
              <w:top w:val="single" w:sz="4" w:space="0" w:color="auto"/>
              <w:left w:val="nil"/>
              <w:bottom w:val="single" w:sz="4" w:space="0" w:color="auto"/>
              <w:right w:val="nil"/>
            </w:tcBorders>
            <w:shd w:val="clear" w:color="auto" w:fill="auto"/>
            <w:noWrap/>
            <w:hideMark/>
          </w:tcPr>
          <w:p w:rsidR="004D0E0A" w:rsidRPr="0045398C" w:rsidRDefault="004D0E0A" w:rsidP="0013345E">
            <w:pPr>
              <w:spacing w:before="60" w:after="60" w:line="240" w:lineRule="auto"/>
              <w:jc w:val="right"/>
              <w:rPr>
                <w:rFonts w:eastAsia="Times New Roman" w:cs="Times New Roman"/>
                <w:color w:val="000000"/>
                <w:sz w:val="17"/>
                <w:szCs w:val="17"/>
              </w:rPr>
            </w:pPr>
            <w:r w:rsidRPr="0045398C">
              <w:rPr>
                <w:rFonts w:eastAsia="Times New Roman" w:cs="Times New Roman"/>
                <w:color w:val="000000"/>
                <w:sz w:val="17"/>
                <w:szCs w:val="17"/>
              </w:rPr>
              <w:t>2014</w:t>
            </w:r>
          </w:p>
        </w:tc>
        <w:tc>
          <w:tcPr>
            <w:tcW w:w="614" w:type="dxa"/>
            <w:gridSpan w:val="2"/>
            <w:tcBorders>
              <w:top w:val="single" w:sz="4" w:space="0" w:color="auto"/>
              <w:left w:val="nil"/>
              <w:bottom w:val="single" w:sz="4" w:space="0" w:color="auto"/>
              <w:right w:val="nil"/>
            </w:tcBorders>
            <w:shd w:val="clear" w:color="auto" w:fill="auto"/>
            <w:noWrap/>
            <w:hideMark/>
          </w:tcPr>
          <w:p w:rsidR="004D0E0A" w:rsidRPr="0045398C" w:rsidRDefault="004D0E0A" w:rsidP="0013345E">
            <w:pPr>
              <w:spacing w:before="60" w:after="60" w:line="240" w:lineRule="auto"/>
              <w:jc w:val="right"/>
              <w:rPr>
                <w:rFonts w:eastAsia="Times New Roman" w:cs="Times New Roman"/>
                <w:color w:val="000000"/>
                <w:sz w:val="17"/>
                <w:szCs w:val="17"/>
              </w:rPr>
            </w:pPr>
            <w:r w:rsidRPr="0045398C">
              <w:rPr>
                <w:rFonts w:eastAsia="Times New Roman" w:cs="Times New Roman"/>
                <w:color w:val="000000"/>
                <w:sz w:val="17"/>
                <w:szCs w:val="17"/>
              </w:rPr>
              <w:t>2015</w:t>
            </w:r>
          </w:p>
        </w:tc>
        <w:tc>
          <w:tcPr>
            <w:tcW w:w="615" w:type="dxa"/>
            <w:gridSpan w:val="2"/>
            <w:tcBorders>
              <w:top w:val="single" w:sz="4" w:space="0" w:color="auto"/>
              <w:left w:val="nil"/>
              <w:bottom w:val="single" w:sz="4" w:space="0" w:color="auto"/>
              <w:right w:val="nil"/>
            </w:tcBorders>
            <w:shd w:val="clear" w:color="auto" w:fill="auto"/>
            <w:noWrap/>
            <w:hideMark/>
          </w:tcPr>
          <w:p w:rsidR="004D0E0A" w:rsidRPr="0045398C" w:rsidRDefault="004D0E0A" w:rsidP="0013345E">
            <w:pPr>
              <w:spacing w:before="60" w:after="60" w:line="240" w:lineRule="auto"/>
              <w:jc w:val="right"/>
              <w:rPr>
                <w:rFonts w:eastAsia="Times New Roman" w:cs="Times New Roman"/>
                <w:color w:val="000000"/>
                <w:sz w:val="17"/>
                <w:szCs w:val="17"/>
              </w:rPr>
            </w:pPr>
            <w:r w:rsidRPr="0045398C">
              <w:rPr>
                <w:rFonts w:eastAsia="Times New Roman" w:cs="Times New Roman"/>
                <w:color w:val="000000"/>
                <w:sz w:val="17"/>
                <w:szCs w:val="17"/>
              </w:rPr>
              <w:t>2016</w:t>
            </w:r>
          </w:p>
        </w:tc>
        <w:tc>
          <w:tcPr>
            <w:tcW w:w="614" w:type="dxa"/>
            <w:gridSpan w:val="2"/>
            <w:tcBorders>
              <w:top w:val="single" w:sz="4" w:space="0" w:color="auto"/>
              <w:left w:val="nil"/>
              <w:bottom w:val="single" w:sz="4" w:space="0" w:color="auto"/>
              <w:right w:val="nil"/>
            </w:tcBorders>
            <w:shd w:val="clear" w:color="auto" w:fill="auto"/>
            <w:noWrap/>
            <w:hideMark/>
          </w:tcPr>
          <w:p w:rsidR="004D0E0A" w:rsidRPr="0045398C" w:rsidRDefault="004D0E0A" w:rsidP="0013345E">
            <w:pPr>
              <w:spacing w:before="60" w:after="60" w:line="240" w:lineRule="auto"/>
              <w:jc w:val="right"/>
              <w:rPr>
                <w:rFonts w:eastAsia="Times New Roman" w:cs="Times New Roman"/>
                <w:color w:val="000000"/>
                <w:sz w:val="17"/>
                <w:szCs w:val="17"/>
              </w:rPr>
            </w:pPr>
            <w:r w:rsidRPr="0045398C">
              <w:rPr>
                <w:rFonts w:eastAsia="Times New Roman" w:cs="Times New Roman"/>
                <w:color w:val="000000"/>
                <w:sz w:val="17"/>
                <w:szCs w:val="17"/>
              </w:rPr>
              <w:t>2017</w:t>
            </w:r>
          </w:p>
        </w:tc>
        <w:tc>
          <w:tcPr>
            <w:tcW w:w="614" w:type="dxa"/>
            <w:gridSpan w:val="2"/>
            <w:tcBorders>
              <w:top w:val="single" w:sz="4" w:space="0" w:color="auto"/>
              <w:left w:val="nil"/>
              <w:bottom w:val="single" w:sz="4" w:space="0" w:color="auto"/>
              <w:right w:val="nil"/>
            </w:tcBorders>
            <w:shd w:val="clear" w:color="auto" w:fill="auto"/>
            <w:noWrap/>
            <w:hideMark/>
          </w:tcPr>
          <w:p w:rsidR="004D0E0A" w:rsidRPr="0045398C" w:rsidRDefault="004D0E0A" w:rsidP="0013345E">
            <w:pPr>
              <w:spacing w:before="60" w:after="60" w:line="240" w:lineRule="auto"/>
              <w:jc w:val="right"/>
              <w:rPr>
                <w:rFonts w:eastAsia="Times New Roman" w:cs="Times New Roman"/>
                <w:color w:val="000000"/>
                <w:sz w:val="17"/>
                <w:szCs w:val="17"/>
              </w:rPr>
            </w:pPr>
            <w:r w:rsidRPr="0045398C">
              <w:rPr>
                <w:rFonts w:eastAsia="Times New Roman" w:cs="Times New Roman"/>
                <w:color w:val="000000"/>
                <w:sz w:val="17"/>
                <w:szCs w:val="17"/>
              </w:rPr>
              <w:t>2018</w:t>
            </w:r>
          </w:p>
        </w:tc>
        <w:tc>
          <w:tcPr>
            <w:tcW w:w="614" w:type="dxa"/>
            <w:gridSpan w:val="2"/>
            <w:tcBorders>
              <w:top w:val="single" w:sz="4" w:space="0" w:color="auto"/>
              <w:left w:val="nil"/>
              <w:bottom w:val="single" w:sz="4" w:space="0" w:color="auto"/>
              <w:right w:val="nil"/>
            </w:tcBorders>
            <w:shd w:val="clear" w:color="auto" w:fill="auto"/>
            <w:noWrap/>
            <w:hideMark/>
          </w:tcPr>
          <w:p w:rsidR="004D0E0A" w:rsidRPr="0045398C" w:rsidRDefault="004D0E0A" w:rsidP="0013345E">
            <w:pPr>
              <w:spacing w:before="60" w:after="60" w:line="240" w:lineRule="auto"/>
              <w:jc w:val="right"/>
              <w:rPr>
                <w:rFonts w:eastAsia="Times New Roman" w:cs="Times New Roman"/>
                <w:color w:val="000000"/>
                <w:sz w:val="17"/>
                <w:szCs w:val="17"/>
              </w:rPr>
            </w:pPr>
            <w:r w:rsidRPr="0045398C">
              <w:rPr>
                <w:rFonts w:eastAsia="Times New Roman" w:cs="Times New Roman"/>
                <w:color w:val="000000"/>
                <w:sz w:val="17"/>
                <w:szCs w:val="17"/>
              </w:rPr>
              <w:t>2019</w:t>
            </w:r>
          </w:p>
        </w:tc>
        <w:tc>
          <w:tcPr>
            <w:tcW w:w="615" w:type="dxa"/>
            <w:tcBorders>
              <w:top w:val="single" w:sz="4" w:space="0" w:color="auto"/>
              <w:left w:val="nil"/>
              <w:bottom w:val="single" w:sz="4" w:space="0" w:color="auto"/>
              <w:right w:val="nil"/>
            </w:tcBorders>
            <w:shd w:val="clear" w:color="auto" w:fill="auto"/>
            <w:noWrap/>
            <w:hideMark/>
          </w:tcPr>
          <w:p w:rsidR="004D0E0A" w:rsidRPr="0045398C" w:rsidRDefault="004D0E0A" w:rsidP="0013345E">
            <w:pPr>
              <w:spacing w:before="60" w:after="60" w:line="240" w:lineRule="auto"/>
              <w:jc w:val="right"/>
              <w:rPr>
                <w:rFonts w:eastAsia="Times New Roman" w:cs="Times New Roman"/>
                <w:color w:val="000000"/>
                <w:sz w:val="17"/>
                <w:szCs w:val="17"/>
              </w:rPr>
            </w:pPr>
            <w:r w:rsidRPr="0045398C">
              <w:rPr>
                <w:rFonts w:eastAsia="Times New Roman" w:cs="Times New Roman"/>
                <w:color w:val="000000"/>
                <w:sz w:val="17"/>
                <w:szCs w:val="17"/>
              </w:rPr>
              <w:t>2020</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1</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Agriculture</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5.37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5.81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5.28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4.88</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4.71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4.42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4.42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4.42</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4.42</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2</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Forestry</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5.22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5.14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5.07</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5.07</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5.07</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3</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Fishing</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8.17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7.56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6.58</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6.48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6.48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6.48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6.48</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6.48</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4</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Mining of coal and lignite; extraction of peat</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5</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Extraction of crude petroleum and natural gas; service activities incidental to oil and gas extraction</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6</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Mining of metal ores</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1.30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7</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Other mining and quarrying</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4.77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4.97</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4.97</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4.97</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8</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food products and beverages</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20.07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14.39</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13.09</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12.03</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11.62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11.55</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11.54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11.54</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11.42</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9</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tobacco products</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27.77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24.03</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20.58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16.63</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16.22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16.11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16.11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16.11</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16.11</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10</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textiles</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14.71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13.54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11.77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9.85</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9.57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9.30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9.29</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9.29</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9.29</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11</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wearing apparel; dressing and dyeing of fur</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15.22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19.04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16.67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12.88</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12.83</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12.79</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12.79</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12.79</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12.79</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12</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Tanning and dressing of leather; manufacture of luggage</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17.31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17.81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14.83</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11.68</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8.58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8.55</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8.55</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8.55</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8.55</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13</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wood and of products of wood and cork</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16.30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15.15</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12.74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10.42</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9.79</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9.75</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9.75</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9.75</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9.75</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14</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pulp</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12.21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9.82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8.45</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6.97</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6.14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6.06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6.06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6.06</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6.06</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15</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Publishing</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0.73</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0.62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0.57</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0.54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0.54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0.54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0.54</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0.54</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16</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coke</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4.96</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17</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chemicals and chemical products</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8.53</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7.80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6.64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5.84</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5.38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5.23</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5.22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5.22</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5.22</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18</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rubber and plastic products</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12.94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11.55</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10.10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8.77</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7.93</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7.17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7.12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7.12</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7.12</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19</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other non-metallic mineral products</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14.97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13.77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12.38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11.15</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10.44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10.14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10.14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10.14</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10.14</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20</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basic metals</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10.94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10.32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9.14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8.01</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7.96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7.96</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7.96</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21</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fabricated metal products</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13.76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12.15</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9.66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8.29</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7.70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7.61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7.61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7.61</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7.61</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22</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machinery and equipment n.e.c.</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3.94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7.75</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6.50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5.80</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5.49</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5.46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5.46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5.46</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5.46</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23</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office machinery and computers</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0.04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5.58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1.67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0.01</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0.01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0.01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0.01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0.01</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0.01</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24</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electrical machinery and apparatus n.e.c.</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7.47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8.88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7.45</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6.34</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6.16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6.08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6.08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6.08</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6.08</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25</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radio</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3.81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1.71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1.03</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0.51</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0.48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0.48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0.48</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0.48</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0.48</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26</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medical</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3.24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5.67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4.91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4.15</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4.12</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4.11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4.11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4.11</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4.11</w:t>
            </w:r>
          </w:p>
        </w:tc>
      </w:tr>
      <w:tr w:rsidR="00934ADE"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27</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motor vehicles</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16.14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15.00</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14.61</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14.22</w:t>
            </w:r>
          </w:p>
        </w:tc>
        <w:tc>
          <w:tcPr>
            <w:tcW w:w="61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13.06</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12.07</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11.14</w:t>
            </w:r>
          </w:p>
        </w:tc>
        <w:tc>
          <w:tcPr>
            <w:tcW w:w="614"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10.51</w:t>
            </w:r>
          </w:p>
        </w:tc>
        <w:tc>
          <w:tcPr>
            <w:tcW w:w="615"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10.51</w:t>
            </w:r>
          </w:p>
        </w:tc>
      </w:tr>
      <w:tr w:rsidR="004D0E0A"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28</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other transport equipment</w:t>
            </w:r>
          </w:p>
        </w:tc>
        <w:tc>
          <w:tcPr>
            <w:tcW w:w="599"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9.22</w:t>
            </w:r>
          </w:p>
        </w:tc>
        <w:tc>
          <w:tcPr>
            <w:tcW w:w="60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11.67</w:t>
            </w:r>
          </w:p>
        </w:tc>
        <w:tc>
          <w:tcPr>
            <w:tcW w:w="630"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10.95</w:t>
            </w:r>
          </w:p>
        </w:tc>
        <w:tc>
          <w:tcPr>
            <w:tcW w:w="599"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10.39</w:t>
            </w:r>
          </w:p>
        </w:tc>
        <w:tc>
          <w:tcPr>
            <w:tcW w:w="599"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9.81</w:t>
            </w:r>
          </w:p>
        </w:tc>
        <w:tc>
          <w:tcPr>
            <w:tcW w:w="608"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9.23</w:t>
            </w:r>
          </w:p>
        </w:tc>
        <w:tc>
          <w:tcPr>
            <w:tcW w:w="630"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9.02</w:t>
            </w:r>
          </w:p>
        </w:tc>
        <w:tc>
          <w:tcPr>
            <w:tcW w:w="599"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8.80</w:t>
            </w:r>
          </w:p>
        </w:tc>
        <w:tc>
          <w:tcPr>
            <w:tcW w:w="659"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8.80</w:t>
            </w:r>
          </w:p>
        </w:tc>
      </w:tr>
      <w:tr w:rsidR="004D0E0A" w:rsidRPr="0045398C" w:rsidTr="00934ADE">
        <w:trPr>
          <w:trHeight w:val="144"/>
          <w:jc w:val="center"/>
        </w:trPr>
        <w:tc>
          <w:tcPr>
            <w:tcW w:w="735" w:type="dxa"/>
            <w:tcBorders>
              <w:top w:val="nil"/>
              <w:left w:val="nil"/>
              <w:bottom w:val="nil"/>
              <w:right w:val="nil"/>
            </w:tcBorders>
            <w:shd w:val="clear" w:color="auto" w:fill="auto"/>
            <w:noWrap/>
            <w:hideMark/>
          </w:tcPr>
          <w:p w:rsidR="004D0E0A" w:rsidRPr="0045398C" w:rsidRDefault="004D0E0A"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29</w:t>
            </w:r>
          </w:p>
        </w:tc>
        <w:tc>
          <w:tcPr>
            <w:tcW w:w="4298" w:type="dxa"/>
            <w:tcBorders>
              <w:top w:val="nil"/>
              <w:left w:val="nil"/>
              <w:bottom w:val="nil"/>
              <w:right w:val="nil"/>
            </w:tcBorders>
            <w:shd w:val="clear" w:color="auto" w:fill="auto"/>
            <w:hideMark/>
          </w:tcPr>
          <w:p w:rsidR="004D0E0A" w:rsidRPr="0045398C" w:rsidRDefault="004D0E0A" w:rsidP="004D0E0A">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Manufacture of furniture; manufacturing n.e.c.</w:t>
            </w:r>
          </w:p>
        </w:tc>
        <w:tc>
          <w:tcPr>
            <w:tcW w:w="599" w:type="dxa"/>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13.79</w:t>
            </w:r>
          </w:p>
        </w:tc>
        <w:tc>
          <w:tcPr>
            <w:tcW w:w="605"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17.72</w:t>
            </w:r>
          </w:p>
        </w:tc>
        <w:tc>
          <w:tcPr>
            <w:tcW w:w="630"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16.03</w:t>
            </w:r>
          </w:p>
        </w:tc>
        <w:tc>
          <w:tcPr>
            <w:tcW w:w="599"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14.31</w:t>
            </w:r>
          </w:p>
        </w:tc>
        <w:tc>
          <w:tcPr>
            <w:tcW w:w="599"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12.82</w:t>
            </w:r>
          </w:p>
        </w:tc>
        <w:tc>
          <w:tcPr>
            <w:tcW w:w="608"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11.55</w:t>
            </w:r>
          </w:p>
        </w:tc>
        <w:tc>
          <w:tcPr>
            <w:tcW w:w="630"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10.40</w:t>
            </w:r>
          </w:p>
        </w:tc>
        <w:tc>
          <w:tcPr>
            <w:tcW w:w="599"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10.40</w:t>
            </w:r>
          </w:p>
        </w:tc>
        <w:tc>
          <w:tcPr>
            <w:tcW w:w="659" w:type="dxa"/>
            <w:gridSpan w:val="2"/>
            <w:tcBorders>
              <w:top w:val="nil"/>
              <w:left w:val="nil"/>
              <w:bottom w:val="nil"/>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10.40</w:t>
            </w:r>
          </w:p>
        </w:tc>
      </w:tr>
      <w:tr w:rsidR="004D0E0A" w:rsidRPr="0045398C" w:rsidTr="00934ADE">
        <w:trPr>
          <w:trHeight w:val="144"/>
          <w:jc w:val="center"/>
        </w:trPr>
        <w:tc>
          <w:tcPr>
            <w:tcW w:w="735" w:type="dxa"/>
            <w:tcBorders>
              <w:top w:val="nil"/>
              <w:left w:val="nil"/>
              <w:bottom w:val="single" w:sz="4" w:space="0" w:color="auto"/>
              <w:right w:val="nil"/>
            </w:tcBorders>
            <w:shd w:val="clear" w:color="auto" w:fill="auto"/>
            <w:noWrap/>
            <w:hideMark/>
          </w:tcPr>
          <w:p w:rsidR="004D0E0A" w:rsidRPr="0045398C" w:rsidRDefault="0045398C" w:rsidP="004D0E0A">
            <w:pPr>
              <w:spacing w:after="0" w:line="240" w:lineRule="auto"/>
              <w:jc w:val="center"/>
              <w:rPr>
                <w:rFonts w:eastAsia="Times New Roman" w:cs="Times New Roman"/>
                <w:color w:val="000000"/>
                <w:sz w:val="17"/>
                <w:szCs w:val="17"/>
              </w:rPr>
            </w:pPr>
            <w:r w:rsidRPr="0045398C">
              <w:rPr>
                <w:rFonts w:eastAsia="Times New Roman" w:cs="Times New Roman"/>
                <w:color w:val="000000"/>
                <w:sz w:val="17"/>
                <w:szCs w:val="17"/>
              </w:rPr>
              <w:t>Total</w:t>
            </w:r>
          </w:p>
        </w:tc>
        <w:tc>
          <w:tcPr>
            <w:tcW w:w="4298" w:type="dxa"/>
            <w:tcBorders>
              <w:top w:val="nil"/>
              <w:left w:val="nil"/>
              <w:bottom w:val="single" w:sz="4" w:space="0" w:color="auto"/>
              <w:right w:val="nil"/>
            </w:tcBorders>
            <w:shd w:val="clear" w:color="auto" w:fill="auto"/>
            <w:hideMark/>
          </w:tcPr>
          <w:p w:rsidR="004D0E0A" w:rsidRPr="0045398C" w:rsidRDefault="004D0E0A" w:rsidP="0045398C">
            <w:pPr>
              <w:spacing w:after="0" w:line="240" w:lineRule="auto"/>
              <w:jc w:val="left"/>
              <w:rPr>
                <w:rFonts w:eastAsia="Times New Roman" w:cs="Times New Roman"/>
                <w:color w:val="000000"/>
                <w:sz w:val="17"/>
                <w:szCs w:val="17"/>
              </w:rPr>
            </w:pPr>
            <w:r w:rsidRPr="0045398C">
              <w:rPr>
                <w:rFonts w:eastAsia="Times New Roman" w:cs="Times New Roman"/>
                <w:color w:val="000000"/>
                <w:sz w:val="17"/>
                <w:szCs w:val="17"/>
              </w:rPr>
              <w:t xml:space="preserve"> </w:t>
            </w:r>
          </w:p>
        </w:tc>
        <w:tc>
          <w:tcPr>
            <w:tcW w:w="599" w:type="dxa"/>
            <w:tcBorders>
              <w:top w:val="nil"/>
              <w:left w:val="nil"/>
              <w:bottom w:val="single" w:sz="4" w:space="0" w:color="auto"/>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8.92</w:t>
            </w:r>
          </w:p>
        </w:tc>
        <w:tc>
          <w:tcPr>
            <w:tcW w:w="605" w:type="dxa"/>
            <w:gridSpan w:val="2"/>
            <w:tcBorders>
              <w:top w:val="nil"/>
              <w:left w:val="nil"/>
              <w:bottom w:val="single" w:sz="4" w:space="0" w:color="auto"/>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9.68</w:t>
            </w:r>
          </w:p>
        </w:tc>
        <w:tc>
          <w:tcPr>
            <w:tcW w:w="630" w:type="dxa"/>
            <w:gridSpan w:val="2"/>
            <w:tcBorders>
              <w:top w:val="nil"/>
              <w:left w:val="nil"/>
              <w:bottom w:val="single" w:sz="4" w:space="0" w:color="auto"/>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8.32</w:t>
            </w:r>
          </w:p>
        </w:tc>
        <w:tc>
          <w:tcPr>
            <w:tcW w:w="599" w:type="dxa"/>
            <w:gridSpan w:val="2"/>
            <w:tcBorders>
              <w:top w:val="nil"/>
              <w:left w:val="nil"/>
              <w:bottom w:val="single" w:sz="4" w:space="0" w:color="auto"/>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7.33</w:t>
            </w:r>
          </w:p>
        </w:tc>
        <w:tc>
          <w:tcPr>
            <w:tcW w:w="599" w:type="dxa"/>
            <w:gridSpan w:val="2"/>
            <w:tcBorders>
              <w:top w:val="nil"/>
              <w:left w:val="nil"/>
              <w:bottom w:val="single" w:sz="4" w:space="0" w:color="auto"/>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6.87</w:t>
            </w:r>
          </w:p>
        </w:tc>
        <w:tc>
          <w:tcPr>
            <w:tcW w:w="608" w:type="dxa"/>
            <w:gridSpan w:val="2"/>
            <w:tcBorders>
              <w:top w:val="nil"/>
              <w:left w:val="nil"/>
              <w:bottom w:val="single" w:sz="4" w:space="0" w:color="auto"/>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6.65</w:t>
            </w:r>
          </w:p>
        </w:tc>
        <w:tc>
          <w:tcPr>
            <w:tcW w:w="630" w:type="dxa"/>
            <w:gridSpan w:val="2"/>
            <w:tcBorders>
              <w:top w:val="nil"/>
              <w:left w:val="nil"/>
              <w:bottom w:val="single" w:sz="4" w:space="0" w:color="auto"/>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6.53</w:t>
            </w:r>
          </w:p>
        </w:tc>
        <w:tc>
          <w:tcPr>
            <w:tcW w:w="599" w:type="dxa"/>
            <w:gridSpan w:val="2"/>
            <w:tcBorders>
              <w:top w:val="nil"/>
              <w:left w:val="nil"/>
              <w:bottom w:val="single" w:sz="4" w:space="0" w:color="auto"/>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6.46</w:t>
            </w:r>
          </w:p>
        </w:tc>
        <w:tc>
          <w:tcPr>
            <w:tcW w:w="659" w:type="dxa"/>
            <w:gridSpan w:val="2"/>
            <w:tcBorders>
              <w:top w:val="nil"/>
              <w:left w:val="nil"/>
              <w:bottom w:val="single" w:sz="4" w:space="0" w:color="auto"/>
              <w:right w:val="nil"/>
            </w:tcBorders>
            <w:shd w:val="clear" w:color="auto" w:fill="auto"/>
            <w:noWrap/>
            <w:hideMark/>
          </w:tcPr>
          <w:p w:rsidR="004D0E0A" w:rsidRPr="0045398C" w:rsidRDefault="004D0E0A" w:rsidP="00934ADE">
            <w:pPr>
              <w:spacing w:after="0" w:line="240" w:lineRule="auto"/>
              <w:jc w:val="right"/>
              <w:rPr>
                <w:rFonts w:eastAsia="Times New Roman" w:cs="Times New Roman"/>
                <w:color w:val="000000"/>
                <w:sz w:val="17"/>
                <w:szCs w:val="17"/>
              </w:rPr>
            </w:pPr>
            <w:r w:rsidRPr="0045398C">
              <w:rPr>
                <w:rFonts w:eastAsia="Times New Roman" w:cs="Times New Roman"/>
                <w:color w:val="000000"/>
                <w:sz w:val="17"/>
                <w:szCs w:val="17"/>
              </w:rPr>
              <w:t>6.46</w:t>
            </w:r>
          </w:p>
        </w:tc>
      </w:tr>
      <w:tr w:rsidR="0045398C" w:rsidRPr="0045398C" w:rsidTr="00934ADE">
        <w:trPr>
          <w:trHeight w:val="350"/>
          <w:jc w:val="center"/>
        </w:trPr>
        <w:tc>
          <w:tcPr>
            <w:tcW w:w="10561" w:type="dxa"/>
            <w:gridSpan w:val="19"/>
            <w:tcBorders>
              <w:top w:val="nil"/>
              <w:left w:val="nil"/>
              <w:bottom w:val="nil"/>
              <w:right w:val="nil"/>
            </w:tcBorders>
            <w:shd w:val="clear" w:color="auto" w:fill="auto"/>
            <w:noWrap/>
            <w:vAlign w:val="bottom"/>
            <w:hideMark/>
          </w:tcPr>
          <w:p w:rsidR="0045398C" w:rsidRPr="00946D71" w:rsidRDefault="0045398C" w:rsidP="0045398C">
            <w:pPr>
              <w:spacing w:before="120" w:after="0" w:line="240" w:lineRule="auto"/>
              <w:jc w:val="left"/>
              <w:rPr>
                <w:rFonts w:eastAsia="Times New Roman" w:cs="Times New Roman"/>
                <w:i/>
                <w:color w:val="000000"/>
                <w:sz w:val="18"/>
                <w:szCs w:val="18"/>
              </w:rPr>
            </w:pPr>
            <w:r w:rsidRPr="00946D71">
              <w:rPr>
                <w:rFonts w:eastAsia="Times New Roman" w:cs="Times New Roman"/>
                <w:i/>
                <w:color w:val="000000"/>
                <w:sz w:val="18"/>
                <w:szCs w:val="18"/>
              </w:rPr>
              <w:t>Source:</w:t>
            </w:r>
            <w:r w:rsidR="00946D71" w:rsidRPr="00946D71">
              <w:rPr>
                <w:rFonts w:eastAsia="Times New Roman" w:cs="Times New Roman"/>
                <w:i/>
                <w:color w:val="000000"/>
                <w:sz w:val="18"/>
                <w:szCs w:val="18"/>
              </w:rPr>
              <w:t xml:space="preserve"> </w:t>
            </w:r>
            <w:r w:rsidR="008113CE" w:rsidRPr="00946D71">
              <w:rPr>
                <w:rFonts w:eastAsia="Times New Roman" w:cs="Times New Roman"/>
                <w:color w:val="000000"/>
                <w:sz w:val="18"/>
                <w:szCs w:val="18"/>
              </w:rPr>
              <w:t xml:space="preserve">Official data, World Bank </w:t>
            </w:r>
            <w:r w:rsidR="005A5562" w:rsidRPr="00946D71">
              <w:rPr>
                <w:rFonts w:eastAsia="Times New Roman" w:cs="Times New Roman"/>
                <w:color w:val="000000"/>
                <w:sz w:val="18"/>
                <w:szCs w:val="18"/>
              </w:rPr>
              <w:t>calculation</w:t>
            </w:r>
            <w:r w:rsidR="005A5562">
              <w:rPr>
                <w:rFonts w:eastAsia="Times New Roman" w:cs="Times New Roman"/>
                <w:color w:val="000000"/>
                <w:sz w:val="18"/>
                <w:szCs w:val="18"/>
              </w:rPr>
              <w:t>s.</w:t>
            </w:r>
          </w:p>
        </w:tc>
      </w:tr>
    </w:tbl>
    <w:p w:rsidR="0086382D" w:rsidRDefault="0086382D">
      <w:pPr>
        <w:spacing w:line="276" w:lineRule="auto"/>
        <w:jc w:val="left"/>
        <w:rPr>
          <w:rFonts w:cs="Times New Roman"/>
          <w:b/>
          <w:sz w:val="22"/>
        </w:rPr>
      </w:pPr>
    </w:p>
    <w:p w:rsidR="00DD76D9" w:rsidRDefault="00DD76D9">
      <w:pPr>
        <w:spacing w:line="276" w:lineRule="auto"/>
        <w:jc w:val="left"/>
        <w:rPr>
          <w:rFonts w:cs="Times New Roman"/>
          <w:b/>
          <w:sz w:val="22"/>
        </w:rPr>
      </w:pPr>
    </w:p>
    <w:p w:rsidR="00934ADE" w:rsidRDefault="00934ADE">
      <w:pPr>
        <w:spacing w:line="276" w:lineRule="auto"/>
        <w:jc w:val="left"/>
        <w:rPr>
          <w:rFonts w:cs="Times New Roman"/>
          <w:b/>
          <w:sz w:val="22"/>
        </w:rPr>
      </w:pPr>
      <w:r>
        <w:rPr>
          <w:rFonts w:cs="Times New Roman"/>
          <w:b/>
          <w:sz w:val="22"/>
        </w:rPr>
        <w:br w:type="page"/>
      </w:r>
    </w:p>
    <w:p w:rsidR="006A2D0B" w:rsidRDefault="006A2D0B" w:rsidP="000B48E1">
      <w:pPr>
        <w:spacing w:after="120" w:line="240" w:lineRule="auto"/>
        <w:jc w:val="center"/>
        <w:rPr>
          <w:rFonts w:cs="Times New Roman"/>
          <w:b/>
          <w:sz w:val="20"/>
          <w:szCs w:val="20"/>
        </w:rPr>
      </w:pPr>
    </w:p>
    <w:p w:rsidR="0021747D" w:rsidRPr="00934ADE" w:rsidRDefault="0021747D" w:rsidP="000B48E1">
      <w:pPr>
        <w:spacing w:after="120" w:line="240" w:lineRule="auto"/>
        <w:jc w:val="center"/>
        <w:rPr>
          <w:rFonts w:cs="Times New Roman"/>
          <w:b/>
          <w:sz w:val="20"/>
          <w:szCs w:val="20"/>
        </w:rPr>
      </w:pPr>
      <w:r w:rsidRPr="00934ADE">
        <w:rPr>
          <w:rFonts w:cs="Times New Roman"/>
          <w:b/>
          <w:sz w:val="20"/>
          <w:szCs w:val="20"/>
        </w:rPr>
        <w:t xml:space="preserve">Table A5: </w:t>
      </w:r>
      <w:r w:rsidR="000B48E1">
        <w:rPr>
          <w:rFonts w:cs="Times New Roman"/>
          <w:b/>
          <w:sz w:val="20"/>
          <w:szCs w:val="20"/>
        </w:rPr>
        <w:t>A</w:t>
      </w:r>
      <w:r w:rsidRPr="00934ADE">
        <w:rPr>
          <w:rFonts w:cs="Times New Roman"/>
          <w:b/>
          <w:sz w:val="20"/>
          <w:szCs w:val="20"/>
        </w:rPr>
        <w:t xml:space="preserve">cronyms </w:t>
      </w:r>
      <w:r w:rsidR="00946D71" w:rsidRPr="00934ADE">
        <w:rPr>
          <w:rFonts w:cs="Times New Roman"/>
          <w:b/>
          <w:sz w:val="20"/>
          <w:szCs w:val="20"/>
        </w:rPr>
        <w:t xml:space="preserve">for the 57 Sectors of the </w:t>
      </w:r>
      <w:r w:rsidR="000F35A7" w:rsidRPr="00934ADE">
        <w:rPr>
          <w:rFonts w:cs="Times New Roman"/>
          <w:b/>
          <w:sz w:val="20"/>
          <w:szCs w:val="20"/>
        </w:rPr>
        <w:t xml:space="preserve">CGE </w:t>
      </w:r>
      <w:r w:rsidR="00946D71">
        <w:rPr>
          <w:rFonts w:cs="Times New Roman"/>
          <w:b/>
          <w:sz w:val="20"/>
          <w:szCs w:val="20"/>
        </w:rPr>
        <w:t>M</w:t>
      </w:r>
      <w:r w:rsidR="00946D71" w:rsidRPr="00934ADE">
        <w:rPr>
          <w:rFonts w:cs="Times New Roman"/>
          <w:b/>
          <w:sz w:val="20"/>
          <w:szCs w:val="20"/>
        </w:rPr>
        <w:t>odel</w:t>
      </w:r>
    </w:p>
    <w:tbl>
      <w:tblPr>
        <w:tblW w:w="8835" w:type="dxa"/>
        <w:jc w:val="center"/>
        <w:tblLook w:val="04A0" w:firstRow="1" w:lastRow="0" w:firstColumn="1" w:lastColumn="0" w:noHBand="0" w:noVBand="1"/>
      </w:tblPr>
      <w:tblGrid>
        <w:gridCol w:w="825"/>
        <w:gridCol w:w="810"/>
        <w:gridCol w:w="1245"/>
        <w:gridCol w:w="1095"/>
        <w:gridCol w:w="900"/>
        <w:gridCol w:w="810"/>
        <w:gridCol w:w="1875"/>
        <w:gridCol w:w="960"/>
        <w:gridCol w:w="315"/>
      </w:tblGrid>
      <w:tr w:rsidR="0021747D" w:rsidRPr="00934ADE" w:rsidTr="00946D71">
        <w:trPr>
          <w:trHeight w:val="144"/>
          <w:jc w:val="center"/>
        </w:trPr>
        <w:tc>
          <w:tcPr>
            <w:tcW w:w="825" w:type="dxa"/>
            <w:tcBorders>
              <w:top w:val="single" w:sz="4" w:space="0" w:color="auto"/>
              <w:bottom w:val="single" w:sz="4" w:space="0" w:color="auto"/>
            </w:tcBorders>
            <w:shd w:val="clear" w:color="auto" w:fill="auto"/>
            <w:noWrap/>
            <w:vAlign w:val="bottom"/>
            <w:hideMark/>
          </w:tcPr>
          <w:p w:rsidR="0021747D" w:rsidRPr="00934ADE" w:rsidRDefault="00934ADE" w:rsidP="000B48E1">
            <w:pPr>
              <w:spacing w:before="60" w:after="60" w:line="240" w:lineRule="auto"/>
              <w:jc w:val="left"/>
              <w:rPr>
                <w:rFonts w:eastAsia="Times New Roman" w:cs="Times New Roman"/>
                <w:color w:val="000000"/>
                <w:sz w:val="18"/>
                <w:szCs w:val="18"/>
              </w:rPr>
            </w:pPr>
            <w:r>
              <w:rPr>
                <w:rFonts w:eastAsia="Times New Roman" w:cs="Times New Roman"/>
                <w:color w:val="000000"/>
                <w:sz w:val="18"/>
                <w:szCs w:val="18"/>
              </w:rPr>
              <w:t>N</w:t>
            </w:r>
            <w:r w:rsidR="0021747D" w:rsidRPr="00934ADE">
              <w:rPr>
                <w:rFonts w:eastAsia="Times New Roman" w:cs="Times New Roman"/>
                <w:color w:val="000000"/>
                <w:sz w:val="18"/>
                <w:szCs w:val="18"/>
              </w:rPr>
              <w:t>umber</w:t>
            </w:r>
          </w:p>
        </w:tc>
        <w:tc>
          <w:tcPr>
            <w:tcW w:w="810" w:type="dxa"/>
            <w:tcBorders>
              <w:top w:val="single" w:sz="4" w:space="0" w:color="auto"/>
              <w:bottom w:val="single" w:sz="4" w:space="0" w:color="auto"/>
            </w:tcBorders>
            <w:shd w:val="clear" w:color="auto" w:fill="auto"/>
            <w:noWrap/>
            <w:vAlign w:val="bottom"/>
            <w:hideMark/>
          </w:tcPr>
          <w:p w:rsidR="0021747D" w:rsidRPr="00934ADE" w:rsidRDefault="0021747D" w:rsidP="000B48E1">
            <w:pPr>
              <w:spacing w:before="60" w:after="60" w:line="240" w:lineRule="auto"/>
              <w:jc w:val="left"/>
              <w:rPr>
                <w:rFonts w:eastAsia="Times New Roman" w:cs="Times New Roman"/>
                <w:color w:val="000000"/>
                <w:sz w:val="18"/>
                <w:szCs w:val="18"/>
              </w:rPr>
            </w:pPr>
            <w:r w:rsidRPr="00934ADE">
              <w:rPr>
                <w:rFonts w:eastAsia="Times New Roman" w:cs="Times New Roman"/>
                <w:color w:val="000000"/>
                <w:sz w:val="18"/>
                <w:szCs w:val="18"/>
              </w:rPr>
              <w:t>Code</w:t>
            </w:r>
          </w:p>
        </w:tc>
        <w:tc>
          <w:tcPr>
            <w:tcW w:w="1245" w:type="dxa"/>
            <w:tcBorders>
              <w:top w:val="single" w:sz="4" w:space="0" w:color="auto"/>
              <w:bottom w:val="single" w:sz="4" w:space="0" w:color="auto"/>
            </w:tcBorders>
            <w:shd w:val="clear" w:color="auto" w:fill="auto"/>
            <w:noWrap/>
            <w:vAlign w:val="bottom"/>
            <w:hideMark/>
          </w:tcPr>
          <w:p w:rsidR="0021747D" w:rsidRPr="00934ADE" w:rsidRDefault="0021747D" w:rsidP="000B48E1">
            <w:pPr>
              <w:spacing w:before="60" w:after="60" w:line="240" w:lineRule="auto"/>
              <w:jc w:val="left"/>
              <w:rPr>
                <w:rFonts w:eastAsia="Times New Roman" w:cs="Times New Roman"/>
                <w:color w:val="000000"/>
                <w:sz w:val="18"/>
                <w:szCs w:val="18"/>
              </w:rPr>
            </w:pPr>
            <w:r w:rsidRPr="00934ADE">
              <w:rPr>
                <w:rFonts w:eastAsia="Times New Roman" w:cs="Times New Roman"/>
                <w:color w:val="000000"/>
                <w:sz w:val="18"/>
                <w:szCs w:val="18"/>
              </w:rPr>
              <w:t>Sector</w:t>
            </w:r>
          </w:p>
        </w:tc>
        <w:tc>
          <w:tcPr>
            <w:tcW w:w="1095" w:type="dxa"/>
            <w:tcBorders>
              <w:top w:val="single" w:sz="4" w:space="0" w:color="auto"/>
              <w:bottom w:val="single" w:sz="4" w:space="0" w:color="auto"/>
              <w:right w:val="single" w:sz="4" w:space="0" w:color="auto"/>
            </w:tcBorders>
            <w:shd w:val="clear" w:color="auto" w:fill="auto"/>
            <w:noWrap/>
            <w:vAlign w:val="bottom"/>
            <w:hideMark/>
          </w:tcPr>
          <w:p w:rsidR="0021747D" w:rsidRPr="00934ADE" w:rsidRDefault="0021747D" w:rsidP="000B48E1">
            <w:pPr>
              <w:spacing w:before="60" w:after="6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c>
          <w:tcPr>
            <w:tcW w:w="900" w:type="dxa"/>
            <w:tcBorders>
              <w:top w:val="single" w:sz="4" w:space="0" w:color="auto"/>
              <w:left w:val="single" w:sz="4" w:space="0" w:color="auto"/>
              <w:bottom w:val="single" w:sz="4" w:space="0" w:color="auto"/>
            </w:tcBorders>
            <w:shd w:val="clear" w:color="auto" w:fill="auto"/>
            <w:noWrap/>
            <w:vAlign w:val="bottom"/>
            <w:hideMark/>
          </w:tcPr>
          <w:p w:rsidR="0021747D" w:rsidRPr="00934ADE" w:rsidRDefault="00934ADE" w:rsidP="000B48E1">
            <w:pPr>
              <w:spacing w:before="60" w:after="60" w:line="240" w:lineRule="auto"/>
              <w:jc w:val="left"/>
              <w:rPr>
                <w:rFonts w:eastAsia="Times New Roman" w:cs="Times New Roman"/>
                <w:color w:val="000000"/>
                <w:sz w:val="18"/>
                <w:szCs w:val="18"/>
              </w:rPr>
            </w:pPr>
            <w:r>
              <w:rPr>
                <w:rFonts w:eastAsia="Times New Roman" w:cs="Times New Roman"/>
                <w:color w:val="000000"/>
                <w:sz w:val="18"/>
                <w:szCs w:val="18"/>
              </w:rPr>
              <w:t>N</w:t>
            </w:r>
            <w:r w:rsidR="0021747D" w:rsidRPr="00934ADE">
              <w:rPr>
                <w:rFonts w:eastAsia="Times New Roman" w:cs="Times New Roman"/>
                <w:color w:val="000000"/>
                <w:sz w:val="18"/>
                <w:szCs w:val="18"/>
              </w:rPr>
              <w:t>umber</w:t>
            </w:r>
          </w:p>
        </w:tc>
        <w:tc>
          <w:tcPr>
            <w:tcW w:w="810" w:type="dxa"/>
            <w:tcBorders>
              <w:top w:val="single" w:sz="4" w:space="0" w:color="auto"/>
              <w:bottom w:val="single" w:sz="4" w:space="0" w:color="auto"/>
            </w:tcBorders>
            <w:shd w:val="clear" w:color="auto" w:fill="auto"/>
            <w:noWrap/>
            <w:vAlign w:val="bottom"/>
            <w:hideMark/>
          </w:tcPr>
          <w:p w:rsidR="0021747D" w:rsidRPr="00934ADE" w:rsidRDefault="0021747D" w:rsidP="000B48E1">
            <w:pPr>
              <w:spacing w:before="60" w:after="60" w:line="240" w:lineRule="auto"/>
              <w:jc w:val="left"/>
              <w:rPr>
                <w:rFonts w:eastAsia="Times New Roman" w:cs="Times New Roman"/>
                <w:color w:val="000000"/>
                <w:sz w:val="18"/>
                <w:szCs w:val="18"/>
              </w:rPr>
            </w:pPr>
            <w:r w:rsidRPr="00934ADE">
              <w:rPr>
                <w:rFonts w:eastAsia="Times New Roman" w:cs="Times New Roman"/>
                <w:color w:val="000000"/>
                <w:sz w:val="18"/>
                <w:szCs w:val="18"/>
              </w:rPr>
              <w:t>Code</w:t>
            </w:r>
          </w:p>
        </w:tc>
        <w:tc>
          <w:tcPr>
            <w:tcW w:w="1875" w:type="dxa"/>
            <w:tcBorders>
              <w:top w:val="single" w:sz="4" w:space="0" w:color="auto"/>
              <w:bottom w:val="single" w:sz="4" w:space="0" w:color="auto"/>
            </w:tcBorders>
            <w:shd w:val="clear" w:color="auto" w:fill="auto"/>
            <w:noWrap/>
            <w:vAlign w:val="bottom"/>
            <w:hideMark/>
          </w:tcPr>
          <w:p w:rsidR="0021747D" w:rsidRPr="00934ADE" w:rsidRDefault="0021747D" w:rsidP="000B48E1">
            <w:pPr>
              <w:spacing w:before="60" w:after="60" w:line="240" w:lineRule="auto"/>
              <w:jc w:val="left"/>
              <w:rPr>
                <w:rFonts w:eastAsia="Times New Roman" w:cs="Times New Roman"/>
                <w:color w:val="000000"/>
                <w:sz w:val="18"/>
                <w:szCs w:val="18"/>
              </w:rPr>
            </w:pPr>
            <w:r w:rsidRPr="00934ADE">
              <w:rPr>
                <w:rFonts w:eastAsia="Times New Roman" w:cs="Times New Roman"/>
                <w:color w:val="000000"/>
                <w:sz w:val="18"/>
                <w:szCs w:val="18"/>
              </w:rPr>
              <w:t>Sector</w:t>
            </w:r>
          </w:p>
        </w:tc>
        <w:tc>
          <w:tcPr>
            <w:tcW w:w="960" w:type="dxa"/>
            <w:tcBorders>
              <w:top w:val="single" w:sz="4" w:space="0" w:color="auto"/>
              <w:bottom w:val="single" w:sz="4" w:space="0" w:color="auto"/>
            </w:tcBorders>
            <w:shd w:val="clear" w:color="auto" w:fill="auto"/>
            <w:noWrap/>
            <w:vAlign w:val="bottom"/>
            <w:hideMark/>
          </w:tcPr>
          <w:p w:rsidR="0021747D" w:rsidRPr="00934ADE" w:rsidRDefault="0021747D" w:rsidP="000B48E1">
            <w:pPr>
              <w:spacing w:before="60" w:after="6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c>
          <w:tcPr>
            <w:tcW w:w="315" w:type="dxa"/>
            <w:tcBorders>
              <w:top w:val="single" w:sz="4" w:space="0" w:color="auto"/>
              <w:bottom w:val="single" w:sz="4" w:space="0" w:color="auto"/>
            </w:tcBorders>
            <w:shd w:val="clear" w:color="auto" w:fill="auto"/>
            <w:noWrap/>
            <w:vAlign w:val="bottom"/>
            <w:hideMark/>
          </w:tcPr>
          <w:p w:rsidR="0021747D" w:rsidRPr="00934ADE" w:rsidRDefault="0021747D" w:rsidP="000B48E1">
            <w:pPr>
              <w:spacing w:before="60" w:after="6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tcBorders>
              <w:top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1</w:t>
            </w:r>
          </w:p>
        </w:tc>
        <w:tc>
          <w:tcPr>
            <w:tcW w:w="810" w:type="dxa"/>
            <w:tcBorders>
              <w:top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agr</w:t>
            </w:r>
          </w:p>
        </w:tc>
        <w:tc>
          <w:tcPr>
            <w:tcW w:w="2340" w:type="dxa"/>
            <w:gridSpan w:val="2"/>
            <w:tcBorders>
              <w:top w:val="single" w:sz="4" w:space="0" w:color="auto"/>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Agriculture and hunting</w:t>
            </w:r>
          </w:p>
        </w:tc>
        <w:tc>
          <w:tcPr>
            <w:tcW w:w="900" w:type="dxa"/>
            <w:tcBorders>
              <w:top w:val="single" w:sz="4" w:space="0" w:color="auto"/>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30</w:t>
            </w:r>
          </w:p>
        </w:tc>
        <w:tc>
          <w:tcPr>
            <w:tcW w:w="810" w:type="dxa"/>
            <w:tcBorders>
              <w:top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rec</w:t>
            </w:r>
          </w:p>
        </w:tc>
        <w:tc>
          <w:tcPr>
            <w:tcW w:w="1875" w:type="dxa"/>
            <w:tcBorders>
              <w:top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Recycling</w:t>
            </w:r>
          </w:p>
        </w:tc>
        <w:tc>
          <w:tcPr>
            <w:tcW w:w="960" w:type="dxa"/>
            <w:tcBorders>
              <w:top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p>
        </w:tc>
        <w:tc>
          <w:tcPr>
            <w:tcW w:w="315" w:type="dxa"/>
            <w:tcBorders>
              <w:top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2</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frs</w:t>
            </w:r>
          </w:p>
        </w:tc>
        <w:tc>
          <w:tcPr>
            <w:tcW w:w="124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Forestry</w:t>
            </w:r>
          </w:p>
        </w:tc>
        <w:tc>
          <w:tcPr>
            <w:tcW w:w="1095" w:type="dxa"/>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31</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elg</w:t>
            </w:r>
          </w:p>
        </w:tc>
        <w:tc>
          <w:tcPr>
            <w:tcW w:w="3150" w:type="dxa"/>
            <w:gridSpan w:val="3"/>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Electricity, gas and hot water</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3</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fsh</w:t>
            </w:r>
          </w:p>
        </w:tc>
        <w:tc>
          <w:tcPr>
            <w:tcW w:w="124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Fishing</w:t>
            </w:r>
          </w:p>
        </w:tc>
        <w:tc>
          <w:tcPr>
            <w:tcW w:w="1095" w:type="dxa"/>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32</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wtr</w:t>
            </w:r>
          </w:p>
        </w:tc>
        <w:tc>
          <w:tcPr>
            <w:tcW w:w="187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Water</w:t>
            </w:r>
          </w:p>
        </w:tc>
        <w:tc>
          <w:tcPr>
            <w:tcW w:w="96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4</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coa</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Mining of coal and lignite</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33</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cns</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Construction</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5</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oga</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Crude oil and natural gas</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34</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trm</w:t>
            </w:r>
          </w:p>
        </w:tc>
        <w:tc>
          <w:tcPr>
            <w:tcW w:w="3150" w:type="dxa"/>
            <w:gridSpan w:val="3"/>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Trade in motor vehicles</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6</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mmo</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Mining of metals</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35</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wht</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Wholesale trade</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7</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omi</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Other mining</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36</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rtr</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Retail trade</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8</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fob</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Food and beverages</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37</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hot</w:t>
            </w:r>
          </w:p>
        </w:tc>
        <w:tc>
          <w:tcPr>
            <w:tcW w:w="3150" w:type="dxa"/>
            <w:gridSpan w:val="3"/>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Hotels and restaurants</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9</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tob</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Tobacco products</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38</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ltp</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Land transport</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10</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tex</w:t>
            </w:r>
          </w:p>
        </w:tc>
        <w:tc>
          <w:tcPr>
            <w:tcW w:w="124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Textiles</w:t>
            </w:r>
          </w:p>
        </w:tc>
        <w:tc>
          <w:tcPr>
            <w:tcW w:w="1095" w:type="dxa"/>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39</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wtp</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Water transport</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11</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wap</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Wearing apparel</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40</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atp</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Air Transport</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12</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lea</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xml:space="preserve">Leather products </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41</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otp</w:t>
            </w:r>
          </w:p>
        </w:tc>
        <w:tc>
          <w:tcPr>
            <w:tcW w:w="3150" w:type="dxa"/>
            <w:gridSpan w:val="3"/>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Auxiliary transport services</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13</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lum</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Wood products</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42</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cmn</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Communications</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14</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ppa</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Pulp and paper</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43</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fin</w:t>
            </w:r>
          </w:p>
        </w:tc>
        <w:tc>
          <w:tcPr>
            <w:tcW w:w="3150" w:type="dxa"/>
            <w:gridSpan w:val="3"/>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Financial intermediation</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15</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ppr</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Publishing and printing</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44</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isr</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Insurance</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16</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p_c</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xml:space="preserve">Refined petroleum </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45</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afi</w:t>
            </w:r>
          </w:p>
        </w:tc>
        <w:tc>
          <w:tcPr>
            <w:tcW w:w="3150" w:type="dxa"/>
            <w:gridSpan w:val="3"/>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Auxiliary financial services</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17</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chm</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Chemical Industry</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46</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rea</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Real estate</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18</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rpl</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Rubber and plastic</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47</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rem</w:t>
            </w:r>
          </w:p>
        </w:tc>
        <w:tc>
          <w:tcPr>
            <w:tcW w:w="3150" w:type="dxa"/>
            <w:gridSpan w:val="3"/>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Renting of machinery</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19</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nmm</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Other mineral products</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48</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cte</w:t>
            </w:r>
          </w:p>
        </w:tc>
        <w:tc>
          <w:tcPr>
            <w:tcW w:w="3150" w:type="dxa"/>
            <w:gridSpan w:val="3"/>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Computer technologies</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20</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met</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Metallurgical industry</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49</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rad</w:t>
            </w:r>
          </w:p>
        </w:tc>
        <w:tc>
          <w:tcPr>
            <w:tcW w:w="3150" w:type="dxa"/>
            <w:gridSpan w:val="3"/>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Research and development</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21</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fmp</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Metal products</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50</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ots</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Other services</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22</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mme</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Machinery and equipment</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51</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gov</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Government</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23</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ofm</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Office machinery</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52</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edu</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Education</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24</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ema</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Electrical machinery</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53</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hea</w:t>
            </w:r>
          </w:p>
        </w:tc>
        <w:tc>
          <w:tcPr>
            <w:tcW w:w="3150" w:type="dxa"/>
            <w:gridSpan w:val="3"/>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Health and social services</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25</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rtc</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Radio and television</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54</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sew</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Sewage and waste</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26</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mpo</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Precision instruments</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55</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pua</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Public associations</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27</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mvh</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Motor vehicles and trailers</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56</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amr</w:t>
            </w:r>
          </w:p>
        </w:tc>
        <w:tc>
          <w:tcPr>
            <w:tcW w:w="3150" w:type="dxa"/>
            <w:gridSpan w:val="3"/>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Recreation, culture and sports</w:t>
            </w:r>
          </w:p>
        </w:tc>
      </w:tr>
      <w:tr w:rsidR="0021747D" w:rsidRPr="00934ADE" w:rsidTr="00946D71">
        <w:trPr>
          <w:trHeight w:val="144"/>
          <w:jc w:val="center"/>
        </w:trPr>
        <w:tc>
          <w:tcPr>
            <w:tcW w:w="825" w:type="dxa"/>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28</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otn</w:t>
            </w:r>
          </w:p>
        </w:tc>
        <w:tc>
          <w:tcPr>
            <w:tcW w:w="2340" w:type="dxa"/>
            <w:gridSpan w:val="2"/>
            <w:tcBorders>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Other transport equipment</w:t>
            </w:r>
          </w:p>
        </w:tc>
        <w:tc>
          <w:tcPr>
            <w:tcW w:w="900" w:type="dxa"/>
            <w:tcBorders>
              <w:left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57</w:t>
            </w:r>
          </w:p>
        </w:tc>
        <w:tc>
          <w:tcPr>
            <w:tcW w:w="810"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per</w:t>
            </w:r>
          </w:p>
        </w:tc>
        <w:tc>
          <w:tcPr>
            <w:tcW w:w="2835" w:type="dxa"/>
            <w:gridSpan w:val="2"/>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Personal service</w:t>
            </w:r>
          </w:p>
        </w:tc>
        <w:tc>
          <w:tcPr>
            <w:tcW w:w="315" w:type="dxa"/>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21747D" w:rsidRPr="00934ADE" w:rsidTr="00946D71">
        <w:trPr>
          <w:trHeight w:val="144"/>
          <w:jc w:val="center"/>
        </w:trPr>
        <w:tc>
          <w:tcPr>
            <w:tcW w:w="825" w:type="dxa"/>
            <w:tcBorders>
              <w:bottom w:val="single" w:sz="4" w:space="0" w:color="auto"/>
            </w:tcBorders>
            <w:shd w:val="clear" w:color="auto" w:fill="auto"/>
            <w:noWrap/>
            <w:vAlign w:val="bottom"/>
            <w:hideMark/>
          </w:tcPr>
          <w:p w:rsidR="0021747D" w:rsidRPr="00934ADE" w:rsidRDefault="0021747D" w:rsidP="000B48E1">
            <w:pPr>
              <w:spacing w:after="0" w:line="240" w:lineRule="auto"/>
              <w:jc w:val="center"/>
              <w:rPr>
                <w:rFonts w:eastAsia="Times New Roman" w:cs="Times New Roman"/>
                <w:color w:val="000000"/>
                <w:sz w:val="18"/>
                <w:szCs w:val="18"/>
              </w:rPr>
            </w:pPr>
            <w:r w:rsidRPr="00934ADE">
              <w:rPr>
                <w:rFonts w:eastAsia="Times New Roman" w:cs="Times New Roman"/>
                <w:color w:val="000000"/>
                <w:sz w:val="18"/>
                <w:szCs w:val="18"/>
              </w:rPr>
              <w:t>29</w:t>
            </w:r>
          </w:p>
        </w:tc>
        <w:tc>
          <w:tcPr>
            <w:tcW w:w="810" w:type="dxa"/>
            <w:tcBorders>
              <w:bottom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fur</w:t>
            </w:r>
          </w:p>
        </w:tc>
        <w:tc>
          <w:tcPr>
            <w:tcW w:w="2340" w:type="dxa"/>
            <w:gridSpan w:val="2"/>
            <w:tcBorders>
              <w:bottom w:val="single" w:sz="4" w:space="0" w:color="auto"/>
              <w:right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Furniture and other products</w:t>
            </w:r>
          </w:p>
        </w:tc>
        <w:tc>
          <w:tcPr>
            <w:tcW w:w="900" w:type="dxa"/>
            <w:tcBorders>
              <w:left w:val="single" w:sz="4" w:space="0" w:color="auto"/>
              <w:bottom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c>
          <w:tcPr>
            <w:tcW w:w="810" w:type="dxa"/>
            <w:tcBorders>
              <w:bottom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c>
          <w:tcPr>
            <w:tcW w:w="1875" w:type="dxa"/>
            <w:tcBorders>
              <w:bottom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c>
          <w:tcPr>
            <w:tcW w:w="960" w:type="dxa"/>
            <w:tcBorders>
              <w:bottom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c>
          <w:tcPr>
            <w:tcW w:w="315" w:type="dxa"/>
            <w:tcBorders>
              <w:bottom w:val="single" w:sz="4" w:space="0" w:color="auto"/>
            </w:tcBorders>
            <w:shd w:val="clear" w:color="auto" w:fill="auto"/>
            <w:noWrap/>
            <w:vAlign w:val="bottom"/>
            <w:hideMark/>
          </w:tcPr>
          <w:p w:rsidR="0021747D" w:rsidRPr="00934ADE" w:rsidRDefault="0021747D" w:rsidP="0021747D">
            <w:pPr>
              <w:spacing w:after="0" w:line="240" w:lineRule="auto"/>
              <w:jc w:val="left"/>
              <w:rPr>
                <w:rFonts w:eastAsia="Times New Roman" w:cs="Times New Roman"/>
                <w:color w:val="000000"/>
                <w:sz w:val="18"/>
                <w:szCs w:val="18"/>
              </w:rPr>
            </w:pPr>
            <w:r w:rsidRPr="00934ADE">
              <w:rPr>
                <w:rFonts w:eastAsia="Times New Roman" w:cs="Times New Roman"/>
                <w:color w:val="000000"/>
                <w:sz w:val="18"/>
                <w:szCs w:val="18"/>
              </w:rPr>
              <w:t> </w:t>
            </w:r>
          </w:p>
        </w:tc>
      </w:tr>
      <w:tr w:rsidR="000B48E1" w:rsidRPr="00934ADE" w:rsidTr="00946D71">
        <w:trPr>
          <w:trHeight w:val="144"/>
          <w:jc w:val="center"/>
        </w:trPr>
        <w:tc>
          <w:tcPr>
            <w:tcW w:w="8835" w:type="dxa"/>
            <w:gridSpan w:val="9"/>
            <w:tcBorders>
              <w:top w:val="single" w:sz="4" w:space="0" w:color="auto"/>
            </w:tcBorders>
            <w:shd w:val="clear" w:color="auto" w:fill="auto"/>
            <w:noWrap/>
            <w:vAlign w:val="bottom"/>
          </w:tcPr>
          <w:p w:rsidR="000B48E1" w:rsidRPr="000B48E1" w:rsidRDefault="000B48E1" w:rsidP="000B48E1">
            <w:pPr>
              <w:spacing w:before="120" w:after="0" w:line="240" w:lineRule="auto"/>
              <w:jc w:val="left"/>
              <w:rPr>
                <w:rFonts w:eastAsia="Times New Roman" w:cs="Times New Roman"/>
                <w:i/>
                <w:color w:val="000000"/>
                <w:sz w:val="18"/>
                <w:szCs w:val="18"/>
              </w:rPr>
            </w:pPr>
            <w:r w:rsidRPr="008113CE">
              <w:rPr>
                <w:rFonts w:eastAsia="Times New Roman" w:cs="Times New Roman"/>
                <w:i/>
                <w:color w:val="000000"/>
                <w:sz w:val="18"/>
                <w:szCs w:val="18"/>
              </w:rPr>
              <w:t>Source:</w:t>
            </w:r>
            <w:r w:rsidR="008113CE">
              <w:rPr>
                <w:rFonts w:eastAsia="Times New Roman" w:cs="Times New Roman"/>
                <w:i/>
                <w:color w:val="000000"/>
                <w:sz w:val="18"/>
                <w:szCs w:val="18"/>
              </w:rPr>
              <w:t xml:space="preserve"> </w:t>
            </w:r>
            <w:r w:rsidR="008113CE" w:rsidRPr="008113CE">
              <w:rPr>
                <w:rFonts w:eastAsia="Times New Roman" w:cs="Times New Roman"/>
                <w:color w:val="000000"/>
                <w:sz w:val="18"/>
                <w:szCs w:val="18"/>
              </w:rPr>
              <w:t>World Bank</w:t>
            </w:r>
          </w:p>
        </w:tc>
      </w:tr>
    </w:tbl>
    <w:p w:rsidR="00911B90" w:rsidRDefault="00911B90">
      <w:pPr>
        <w:spacing w:line="276" w:lineRule="auto"/>
        <w:jc w:val="left"/>
        <w:rPr>
          <w:rFonts w:cs="Times New Roman"/>
          <w:b/>
          <w:sz w:val="22"/>
        </w:rPr>
      </w:pPr>
    </w:p>
    <w:p w:rsidR="00911B90" w:rsidRDefault="00911B90">
      <w:pPr>
        <w:spacing w:line="276" w:lineRule="auto"/>
        <w:jc w:val="left"/>
        <w:rPr>
          <w:rFonts w:cs="Times New Roman"/>
          <w:b/>
          <w:sz w:val="22"/>
        </w:rPr>
      </w:pPr>
    </w:p>
    <w:p w:rsidR="00B369BB" w:rsidRDefault="00B515CF" w:rsidP="00B369BB">
      <w:pPr>
        <w:spacing w:line="276" w:lineRule="auto"/>
        <w:jc w:val="left"/>
        <w:rPr>
          <w:rFonts w:cs="Times New Roman"/>
          <w:b/>
          <w:sz w:val="22"/>
        </w:rPr>
      </w:pPr>
      <w:r>
        <w:rPr>
          <w:rFonts w:cs="Times New Roman"/>
          <w:b/>
          <w:sz w:val="22"/>
        </w:rPr>
        <w:br w:type="page"/>
      </w:r>
    </w:p>
    <w:p w:rsidR="00C96CE6" w:rsidRPr="00AD2AF3" w:rsidRDefault="000B48E1" w:rsidP="000B48E1">
      <w:pPr>
        <w:pStyle w:val="Caption"/>
        <w:spacing w:after="240"/>
        <w:rPr>
          <w:sz w:val="24"/>
          <w:szCs w:val="24"/>
        </w:rPr>
      </w:pPr>
      <w:bookmarkStart w:id="45" w:name="_Toc378151249"/>
      <w:r w:rsidRPr="00AD2AF3">
        <w:rPr>
          <w:sz w:val="24"/>
          <w:szCs w:val="24"/>
        </w:rPr>
        <w:lastRenderedPageBreak/>
        <w:t xml:space="preserve">Annex </w:t>
      </w:r>
      <w:r w:rsidRPr="00AD2AF3">
        <w:rPr>
          <w:sz w:val="24"/>
          <w:szCs w:val="24"/>
        </w:rPr>
        <w:fldChar w:fldCharType="begin"/>
      </w:r>
      <w:r w:rsidRPr="00AD2AF3">
        <w:rPr>
          <w:sz w:val="24"/>
          <w:szCs w:val="24"/>
        </w:rPr>
        <w:instrText xml:space="preserve"> SEQ Annex \* ROMAN </w:instrText>
      </w:r>
      <w:r w:rsidRPr="00AD2AF3">
        <w:rPr>
          <w:sz w:val="24"/>
          <w:szCs w:val="24"/>
        </w:rPr>
        <w:fldChar w:fldCharType="separate"/>
      </w:r>
      <w:r w:rsidR="00CE6F8C">
        <w:rPr>
          <w:noProof/>
          <w:sz w:val="24"/>
          <w:szCs w:val="24"/>
        </w:rPr>
        <w:t>III</w:t>
      </w:r>
      <w:r w:rsidRPr="00AD2AF3">
        <w:rPr>
          <w:sz w:val="24"/>
          <w:szCs w:val="24"/>
        </w:rPr>
        <w:fldChar w:fldCharType="end"/>
      </w:r>
      <w:r w:rsidRPr="00AD2AF3">
        <w:rPr>
          <w:sz w:val="24"/>
          <w:szCs w:val="24"/>
        </w:rPr>
        <w:t xml:space="preserve">: Central Asian Countries </w:t>
      </w:r>
      <w:r w:rsidR="000F35A7">
        <w:rPr>
          <w:sz w:val="24"/>
          <w:szCs w:val="24"/>
        </w:rPr>
        <w:t>M</w:t>
      </w:r>
      <w:r w:rsidRPr="00AD2AF3">
        <w:rPr>
          <w:sz w:val="24"/>
          <w:szCs w:val="24"/>
        </w:rPr>
        <w:t xml:space="preserve">embership in </w:t>
      </w:r>
      <w:r w:rsidR="000F35A7">
        <w:rPr>
          <w:sz w:val="24"/>
          <w:szCs w:val="24"/>
        </w:rPr>
        <w:t>V</w:t>
      </w:r>
      <w:r w:rsidRPr="00AD2AF3">
        <w:rPr>
          <w:sz w:val="24"/>
          <w:szCs w:val="24"/>
        </w:rPr>
        <w:t xml:space="preserve">arious FTAs </w:t>
      </w:r>
      <w:r w:rsidR="00F607C7">
        <w:rPr>
          <w:sz w:val="24"/>
          <w:szCs w:val="24"/>
        </w:rPr>
        <w:t>(</w:t>
      </w:r>
      <w:r w:rsidRPr="00AD2AF3">
        <w:rPr>
          <w:sz w:val="24"/>
          <w:szCs w:val="24"/>
        </w:rPr>
        <w:t xml:space="preserve">as of </w:t>
      </w:r>
      <w:r w:rsidR="000F35A7">
        <w:rPr>
          <w:sz w:val="24"/>
          <w:szCs w:val="24"/>
        </w:rPr>
        <w:t>M</w:t>
      </w:r>
      <w:r w:rsidRPr="00AD2AF3">
        <w:rPr>
          <w:sz w:val="24"/>
          <w:szCs w:val="24"/>
        </w:rPr>
        <w:t>id-2013</w:t>
      </w:r>
      <w:r w:rsidR="00F607C7">
        <w:rPr>
          <w:sz w:val="24"/>
          <w:szCs w:val="24"/>
        </w:rPr>
        <w:t>)</w:t>
      </w:r>
      <w:bookmarkEnd w:id="4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0"/>
        <w:gridCol w:w="1001"/>
        <w:gridCol w:w="1001"/>
        <w:gridCol w:w="1001"/>
        <w:gridCol w:w="1001"/>
        <w:gridCol w:w="1001"/>
      </w:tblGrid>
      <w:tr w:rsidR="00B369BB" w:rsidRPr="00CE39E3" w:rsidTr="00AD2AF3">
        <w:trPr>
          <w:jc w:val="center"/>
        </w:trPr>
        <w:tc>
          <w:tcPr>
            <w:tcW w:w="8585" w:type="dxa"/>
            <w:gridSpan w:val="6"/>
            <w:tcBorders>
              <w:bottom w:val="single" w:sz="4" w:space="0" w:color="auto"/>
            </w:tcBorders>
          </w:tcPr>
          <w:p w:rsidR="00B369BB" w:rsidRPr="00CE39E3" w:rsidRDefault="00B369BB" w:rsidP="000B48E1">
            <w:pPr>
              <w:pStyle w:val="Caption"/>
              <w:rPr>
                <w:rFonts w:cs="Times New Roman"/>
                <w:szCs w:val="20"/>
              </w:rPr>
            </w:pPr>
            <w:r>
              <w:t>Table</w:t>
            </w:r>
            <w:r w:rsidR="000B48E1">
              <w:t xml:space="preserve"> </w:t>
            </w:r>
            <w:r>
              <w:t xml:space="preserve">A6: </w:t>
            </w:r>
            <w:r w:rsidRPr="00645746">
              <w:t xml:space="preserve">Central Asian </w:t>
            </w:r>
            <w:r w:rsidR="00946D71" w:rsidRPr="00645746">
              <w:t>Countries Membership In Various FTAS</w:t>
            </w:r>
            <w:r w:rsidR="00FC3281">
              <w:t xml:space="preserve"> (a</w:t>
            </w:r>
            <w:r w:rsidR="00946D71">
              <w:t>s o</w:t>
            </w:r>
            <w:r w:rsidR="00946D71" w:rsidRPr="00645746">
              <w:t>f Mid-2013)</w:t>
            </w:r>
          </w:p>
        </w:tc>
      </w:tr>
      <w:tr w:rsidR="00B369BB" w:rsidRPr="00CE39E3" w:rsidTr="00AD2AF3">
        <w:trPr>
          <w:jc w:val="center"/>
        </w:trPr>
        <w:tc>
          <w:tcPr>
            <w:tcW w:w="3580" w:type="dxa"/>
            <w:tcBorders>
              <w:top w:val="single" w:sz="4" w:space="0" w:color="auto"/>
              <w:bottom w:val="single" w:sz="4" w:space="0" w:color="auto"/>
            </w:tcBorders>
          </w:tcPr>
          <w:p w:rsidR="00B369BB" w:rsidRPr="00CE39E3" w:rsidRDefault="00B369BB" w:rsidP="00903927">
            <w:pPr>
              <w:spacing w:before="60" w:after="60" w:line="240" w:lineRule="auto"/>
              <w:rPr>
                <w:rFonts w:cs="Times New Roman"/>
                <w:sz w:val="20"/>
                <w:szCs w:val="20"/>
              </w:rPr>
            </w:pPr>
          </w:p>
        </w:tc>
        <w:tc>
          <w:tcPr>
            <w:tcW w:w="1001" w:type="dxa"/>
            <w:tcBorders>
              <w:top w:val="single" w:sz="4" w:space="0" w:color="auto"/>
              <w:bottom w:val="single" w:sz="4" w:space="0" w:color="auto"/>
            </w:tcBorders>
          </w:tcPr>
          <w:p w:rsidR="00B369BB" w:rsidRPr="00CE39E3" w:rsidRDefault="00B369BB" w:rsidP="00903927">
            <w:pPr>
              <w:spacing w:before="60" w:after="60" w:line="240" w:lineRule="auto"/>
              <w:jc w:val="center"/>
              <w:rPr>
                <w:rFonts w:cs="Times New Roman"/>
                <w:sz w:val="20"/>
                <w:szCs w:val="20"/>
              </w:rPr>
            </w:pPr>
            <w:r w:rsidRPr="00CE39E3">
              <w:rPr>
                <w:rFonts w:cs="Times New Roman"/>
                <w:sz w:val="20"/>
                <w:szCs w:val="20"/>
              </w:rPr>
              <w:t>KAZ</w:t>
            </w:r>
          </w:p>
        </w:tc>
        <w:tc>
          <w:tcPr>
            <w:tcW w:w="1001" w:type="dxa"/>
            <w:tcBorders>
              <w:top w:val="single" w:sz="4" w:space="0" w:color="auto"/>
              <w:bottom w:val="single" w:sz="4" w:space="0" w:color="auto"/>
            </w:tcBorders>
          </w:tcPr>
          <w:p w:rsidR="00B369BB" w:rsidRPr="00CE39E3" w:rsidRDefault="00B369BB" w:rsidP="00903927">
            <w:pPr>
              <w:spacing w:before="60" w:after="60" w:line="240" w:lineRule="auto"/>
              <w:jc w:val="center"/>
              <w:rPr>
                <w:rFonts w:cs="Times New Roman"/>
                <w:sz w:val="20"/>
                <w:szCs w:val="20"/>
              </w:rPr>
            </w:pPr>
            <w:r w:rsidRPr="00CE39E3">
              <w:rPr>
                <w:rFonts w:cs="Times New Roman"/>
                <w:sz w:val="20"/>
                <w:szCs w:val="20"/>
              </w:rPr>
              <w:t>KGZ</w:t>
            </w:r>
          </w:p>
        </w:tc>
        <w:tc>
          <w:tcPr>
            <w:tcW w:w="1001" w:type="dxa"/>
            <w:tcBorders>
              <w:top w:val="single" w:sz="4" w:space="0" w:color="auto"/>
              <w:bottom w:val="single" w:sz="4" w:space="0" w:color="auto"/>
            </w:tcBorders>
          </w:tcPr>
          <w:p w:rsidR="00B369BB" w:rsidRPr="00CE39E3" w:rsidRDefault="00B369BB" w:rsidP="00903927">
            <w:pPr>
              <w:spacing w:before="60" w:after="60" w:line="240" w:lineRule="auto"/>
              <w:jc w:val="center"/>
              <w:rPr>
                <w:rFonts w:cs="Times New Roman"/>
                <w:sz w:val="20"/>
                <w:szCs w:val="20"/>
              </w:rPr>
            </w:pPr>
            <w:r w:rsidRPr="00CE39E3">
              <w:rPr>
                <w:rFonts w:cs="Times New Roman"/>
                <w:sz w:val="20"/>
                <w:szCs w:val="20"/>
              </w:rPr>
              <w:t>TJK</w:t>
            </w:r>
          </w:p>
        </w:tc>
        <w:tc>
          <w:tcPr>
            <w:tcW w:w="1001" w:type="dxa"/>
            <w:tcBorders>
              <w:top w:val="single" w:sz="4" w:space="0" w:color="auto"/>
              <w:bottom w:val="single" w:sz="4" w:space="0" w:color="auto"/>
            </w:tcBorders>
          </w:tcPr>
          <w:p w:rsidR="00B369BB" w:rsidRPr="00CE39E3" w:rsidRDefault="00B369BB" w:rsidP="00903927">
            <w:pPr>
              <w:spacing w:before="60" w:after="60" w:line="240" w:lineRule="auto"/>
              <w:jc w:val="center"/>
              <w:rPr>
                <w:rFonts w:cs="Times New Roman"/>
                <w:sz w:val="20"/>
                <w:szCs w:val="20"/>
              </w:rPr>
            </w:pPr>
            <w:r w:rsidRPr="00CE39E3">
              <w:rPr>
                <w:rFonts w:cs="Times New Roman"/>
                <w:sz w:val="20"/>
                <w:szCs w:val="20"/>
              </w:rPr>
              <w:t>TKM</w:t>
            </w:r>
          </w:p>
        </w:tc>
        <w:tc>
          <w:tcPr>
            <w:tcW w:w="1001" w:type="dxa"/>
            <w:tcBorders>
              <w:top w:val="single" w:sz="4" w:space="0" w:color="auto"/>
              <w:bottom w:val="single" w:sz="4" w:space="0" w:color="auto"/>
            </w:tcBorders>
          </w:tcPr>
          <w:p w:rsidR="00B369BB" w:rsidRPr="00CE39E3" w:rsidRDefault="00B369BB" w:rsidP="00903927">
            <w:pPr>
              <w:spacing w:before="60" w:after="60" w:line="240" w:lineRule="auto"/>
              <w:jc w:val="center"/>
              <w:rPr>
                <w:rFonts w:cs="Times New Roman"/>
                <w:sz w:val="20"/>
                <w:szCs w:val="20"/>
              </w:rPr>
            </w:pPr>
            <w:r w:rsidRPr="00CE39E3">
              <w:rPr>
                <w:rFonts w:cs="Times New Roman"/>
                <w:sz w:val="20"/>
                <w:szCs w:val="20"/>
              </w:rPr>
              <w:t>UZB</w:t>
            </w:r>
          </w:p>
        </w:tc>
      </w:tr>
      <w:tr w:rsidR="00B369BB" w:rsidRPr="00CE39E3" w:rsidTr="00AD2AF3">
        <w:trPr>
          <w:jc w:val="center"/>
        </w:trPr>
        <w:tc>
          <w:tcPr>
            <w:tcW w:w="3580" w:type="dxa"/>
            <w:tcBorders>
              <w:top w:val="single" w:sz="4" w:space="0" w:color="auto"/>
            </w:tcBorders>
          </w:tcPr>
          <w:p w:rsidR="00B369BB" w:rsidRPr="00CE39E3" w:rsidRDefault="00B369BB" w:rsidP="00903927">
            <w:pPr>
              <w:spacing w:line="240" w:lineRule="auto"/>
              <w:rPr>
                <w:rFonts w:cs="Times New Roman"/>
                <w:sz w:val="20"/>
                <w:szCs w:val="20"/>
              </w:rPr>
            </w:pPr>
            <w:r w:rsidRPr="00CE39E3">
              <w:rPr>
                <w:rFonts w:cs="Times New Roman"/>
                <w:sz w:val="20"/>
                <w:szCs w:val="20"/>
              </w:rPr>
              <w:t>Common Economic Zone</w:t>
            </w:r>
          </w:p>
        </w:tc>
        <w:tc>
          <w:tcPr>
            <w:tcW w:w="1001" w:type="dxa"/>
            <w:tcBorders>
              <w:top w:val="single" w:sz="4" w:space="0" w:color="auto"/>
            </w:tcBorders>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Borders>
              <w:top w:val="single" w:sz="4" w:space="0" w:color="auto"/>
            </w:tcBorders>
          </w:tcPr>
          <w:p w:rsidR="00B369BB" w:rsidRPr="00CE39E3" w:rsidRDefault="00B369BB" w:rsidP="00903927">
            <w:pPr>
              <w:spacing w:line="240" w:lineRule="auto"/>
              <w:jc w:val="center"/>
              <w:rPr>
                <w:rFonts w:cs="Times New Roman"/>
                <w:sz w:val="20"/>
                <w:szCs w:val="20"/>
              </w:rPr>
            </w:pPr>
          </w:p>
        </w:tc>
        <w:tc>
          <w:tcPr>
            <w:tcW w:w="1001" w:type="dxa"/>
            <w:tcBorders>
              <w:top w:val="single" w:sz="4" w:space="0" w:color="auto"/>
            </w:tcBorders>
          </w:tcPr>
          <w:p w:rsidR="00B369BB" w:rsidRPr="00CE39E3" w:rsidRDefault="00B369BB" w:rsidP="00903927">
            <w:pPr>
              <w:spacing w:line="240" w:lineRule="auto"/>
              <w:jc w:val="center"/>
              <w:rPr>
                <w:rFonts w:cs="Times New Roman"/>
                <w:sz w:val="20"/>
                <w:szCs w:val="20"/>
              </w:rPr>
            </w:pPr>
          </w:p>
        </w:tc>
        <w:tc>
          <w:tcPr>
            <w:tcW w:w="1001" w:type="dxa"/>
            <w:tcBorders>
              <w:top w:val="single" w:sz="4" w:space="0" w:color="auto"/>
            </w:tcBorders>
          </w:tcPr>
          <w:p w:rsidR="00B369BB" w:rsidRPr="00CE39E3" w:rsidRDefault="00B369BB" w:rsidP="00903927">
            <w:pPr>
              <w:spacing w:line="240" w:lineRule="auto"/>
              <w:jc w:val="center"/>
              <w:rPr>
                <w:rFonts w:cs="Times New Roman"/>
                <w:sz w:val="20"/>
                <w:szCs w:val="20"/>
              </w:rPr>
            </w:pPr>
          </w:p>
        </w:tc>
        <w:tc>
          <w:tcPr>
            <w:tcW w:w="1001" w:type="dxa"/>
            <w:tcBorders>
              <w:top w:val="single" w:sz="4" w:space="0" w:color="auto"/>
            </w:tcBorders>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Eurasian Economic Community</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CIS FTA 2011</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CIS FTA 2011</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Economic Cooperation Organization</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GUUAM</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Kazakhstan</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Kyrgyz Republic</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Tajikistan</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Turkmenistan</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Uzbekistan</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Russia</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Armenia</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Georgia</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3580" w:type="dxa"/>
          </w:tcPr>
          <w:p w:rsidR="00B369BB" w:rsidRPr="00CE39E3" w:rsidRDefault="00B369BB" w:rsidP="00903927">
            <w:pPr>
              <w:spacing w:line="240" w:lineRule="auto"/>
              <w:rPr>
                <w:rFonts w:cs="Times New Roman"/>
                <w:sz w:val="20"/>
                <w:szCs w:val="20"/>
              </w:rPr>
            </w:pPr>
            <w:r w:rsidRPr="00CE39E3">
              <w:rPr>
                <w:rFonts w:cs="Times New Roman"/>
                <w:sz w:val="20"/>
                <w:szCs w:val="20"/>
              </w:rPr>
              <w:t>Ukraine</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r>
      <w:tr w:rsidR="00B369BB" w:rsidRPr="00CE39E3" w:rsidTr="00AD2AF3">
        <w:trPr>
          <w:jc w:val="center"/>
        </w:trPr>
        <w:tc>
          <w:tcPr>
            <w:tcW w:w="3580" w:type="dxa"/>
            <w:tcBorders>
              <w:bottom w:val="single" w:sz="4" w:space="0" w:color="auto"/>
            </w:tcBorders>
          </w:tcPr>
          <w:p w:rsidR="00B369BB" w:rsidRPr="00CE39E3" w:rsidRDefault="00B369BB" w:rsidP="00903927">
            <w:pPr>
              <w:spacing w:line="240" w:lineRule="auto"/>
              <w:rPr>
                <w:rFonts w:cs="Times New Roman"/>
                <w:sz w:val="20"/>
                <w:szCs w:val="20"/>
              </w:rPr>
            </w:pPr>
            <w:r w:rsidRPr="00CE39E3">
              <w:rPr>
                <w:rFonts w:cs="Times New Roman"/>
                <w:sz w:val="20"/>
                <w:szCs w:val="20"/>
              </w:rPr>
              <w:t>Moldova</w:t>
            </w:r>
          </w:p>
        </w:tc>
        <w:tc>
          <w:tcPr>
            <w:tcW w:w="1001" w:type="dxa"/>
            <w:tcBorders>
              <w:bottom w:val="single" w:sz="4" w:space="0" w:color="auto"/>
            </w:tcBorders>
          </w:tcPr>
          <w:p w:rsidR="00B369BB" w:rsidRPr="00CE39E3" w:rsidRDefault="00B369BB" w:rsidP="00903927">
            <w:pPr>
              <w:spacing w:line="240" w:lineRule="auto"/>
              <w:jc w:val="center"/>
              <w:rPr>
                <w:rFonts w:cs="Times New Roman"/>
                <w:sz w:val="20"/>
                <w:szCs w:val="20"/>
              </w:rPr>
            </w:pPr>
          </w:p>
        </w:tc>
        <w:tc>
          <w:tcPr>
            <w:tcW w:w="1001" w:type="dxa"/>
            <w:tcBorders>
              <w:bottom w:val="single" w:sz="4" w:space="0" w:color="auto"/>
            </w:tcBorders>
          </w:tcPr>
          <w:p w:rsidR="00B369BB" w:rsidRPr="00CE39E3" w:rsidRDefault="00B369BB" w:rsidP="00903927">
            <w:pPr>
              <w:spacing w:line="240" w:lineRule="auto"/>
              <w:jc w:val="center"/>
              <w:rPr>
                <w:rFonts w:cs="Times New Roman"/>
                <w:sz w:val="20"/>
                <w:szCs w:val="20"/>
              </w:rPr>
            </w:pPr>
            <w:r w:rsidRPr="00CE39E3">
              <w:rPr>
                <w:rFonts w:cs="Times New Roman"/>
                <w:sz w:val="20"/>
                <w:szCs w:val="20"/>
              </w:rPr>
              <w:t>x</w:t>
            </w:r>
          </w:p>
        </w:tc>
        <w:tc>
          <w:tcPr>
            <w:tcW w:w="1001" w:type="dxa"/>
            <w:tcBorders>
              <w:bottom w:val="single" w:sz="4" w:space="0" w:color="auto"/>
            </w:tcBorders>
          </w:tcPr>
          <w:p w:rsidR="00B369BB" w:rsidRPr="00CE39E3" w:rsidRDefault="00B369BB" w:rsidP="00903927">
            <w:pPr>
              <w:spacing w:line="240" w:lineRule="auto"/>
              <w:jc w:val="center"/>
              <w:rPr>
                <w:rFonts w:cs="Times New Roman"/>
                <w:sz w:val="20"/>
                <w:szCs w:val="20"/>
              </w:rPr>
            </w:pPr>
          </w:p>
        </w:tc>
        <w:tc>
          <w:tcPr>
            <w:tcW w:w="1001" w:type="dxa"/>
            <w:tcBorders>
              <w:bottom w:val="single" w:sz="4" w:space="0" w:color="auto"/>
            </w:tcBorders>
          </w:tcPr>
          <w:p w:rsidR="00B369BB" w:rsidRPr="00CE39E3" w:rsidRDefault="00B369BB" w:rsidP="00903927">
            <w:pPr>
              <w:spacing w:line="240" w:lineRule="auto"/>
              <w:jc w:val="center"/>
              <w:rPr>
                <w:rFonts w:cs="Times New Roman"/>
                <w:sz w:val="20"/>
                <w:szCs w:val="20"/>
              </w:rPr>
            </w:pPr>
          </w:p>
        </w:tc>
        <w:tc>
          <w:tcPr>
            <w:tcW w:w="1001" w:type="dxa"/>
            <w:tcBorders>
              <w:bottom w:val="single" w:sz="4" w:space="0" w:color="auto"/>
            </w:tcBorders>
          </w:tcPr>
          <w:p w:rsidR="00B369BB" w:rsidRPr="00CE39E3" w:rsidRDefault="00B369BB" w:rsidP="00903927">
            <w:pPr>
              <w:spacing w:line="240" w:lineRule="auto"/>
              <w:jc w:val="center"/>
              <w:rPr>
                <w:rFonts w:cs="Times New Roman"/>
                <w:sz w:val="20"/>
                <w:szCs w:val="20"/>
              </w:rPr>
            </w:pPr>
          </w:p>
        </w:tc>
      </w:tr>
      <w:tr w:rsidR="00B369BB" w:rsidRPr="00CE39E3" w:rsidTr="00AD2AF3">
        <w:trPr>
          <w:jc w:val="center"/>
        </w:trPr>
        <w:tc>
          <w:tcPr>
            <w:tcW w:w="8585" w:type="dxa"/>
            <w:gridSpan w:val="6"/>
            <w:tcBorders>
              <w:top w:val="single" w:sz="4" w:space="0" w:color="auto"/>
            </w:tcBorders>
          </w:tcPr>
          <w:p w:rsidR="00B369BB" w:rsidRPr="00CE39E3" w:rsidRDefault="00B369BB" w:rsidP="00903927">
            <w:pPr>
              <w:spacing w:before="120" w:line="240" w:lineRule="auto"/>
              <w:jc w:val="left"/>
              <w:rPr>
                <w:rFonts w:cs="Times New Roman"/>
                <w:sz w:val="20"/>
                <w:szCs w:val="20"/>
              </w:rPr>
            </w:pPr>
            <w:r w:rsidRPr="00645746">
              <w:rPr>
                <w:rFonts w:cs="Times New Roman"/>
                <w:i/>
                <w:sz w:val="18"/>
                <w:szCs w:val="18"/>
              </w:rPr>
              <w:t xml:space="preserve">Source: </w:t>
            </w:r>
            <w:r w:rsidRPr="00B90E74">
              <w:rPr>
                <w:rFonts w:cs="Times New Roman"/>
                <w:color w:val="000000"/>
                <w:sz w:val="18"/>
                <w:szCs w:val="18"/>
              </w:rPr>
              <w:t>Global Preferential Trade Agreements Database available on World Integrated Trade Solutions - information extracted in July 2013.</w:t>
            </w:r>
          </w:p>
        </w:tc>
      </w:tr>
    </w:tbl>
    <w:p w:rsidR="00B369BB" w:rsidRDefault="00B369BB" w:rsidP="00B369BB">
      <w:pPr>
        <w:spacing w:line="276" w:lineRule="auto"/>
        <w:jc w:val="left"/>
        <w:rPr>
          <w:rFonts w:cs="Times New Roman"/>
          <w:b/>
          <w:sz w:val="22"/>
        </w:rPr>
      </w:pPr>
    </w:p>
    <w:p w:rsidR="00B369BB" w:rsidRDefault="00B369BB" w:rsidP="00B369BB">
      <w:pPr>
        <w:spacing w:line="276" w:lineRule="auto"/>
        <w:jc w:val="left"/>
        <w:rPr>
          <w:rFonts w:cs="Times New Roman"/>
          <w:b/>
          <w:sz w:val="22"/>
        </w:rPr>
      </w:pPr>
    </w:p>
    <w:p w:rsidR="00B95918" w:rsidRDefault="00B95918" w:rsidP="00B515CF">
      <w:pPr>
        <w:pStyle w:val="Caption"/>
        <w:jc w:val="left"/>
        <w:rPr>
          <w:rFonts w:cs="Times New Roman"/>
          <w:b w:val="0"/>
          <w:sz w:val="22"/>
        </w:rPr>
      </w:pPr>
    </w:p>
    <w:p w:rsidR="00C96CE6" w:rsidRDefault="00C96CE6">
      <w:pPr>
        <w:spacing w:line="276" w:lineRule="auto"/>
        <w:jc w:val="left"/>
        <w:rPr>
          <w:rFonts w:eastAsiaTheme="minorHAnsi" w:cs="Times New Roman"/>
          <w:sz w:val="22"/>
        </w:rPr>
      </w:pPr>
      <w:r>
        <w:rPr>
          <w:rFonts w:eastAsiaTheme="minorHAnsi" w:cs="Times New Roman"/>
          <w:sz w:val="22"/>
        </w:rPr>
        <w:br w:type="page"/>
      </w:r>
    </w:p>
    <w:p w:rsidR="000054BF" w:rsidRPr="00331CFB" w:rsidRDefault="00331CFB" w:rsidP="006A2D0B">
      <w:pPr>
        <w:pStyle w:val="Caption"/>
        <w:spacing w:after="240"/>
        <w:rPr>
          <w:rFonts w:eastAsiaTheme="minorHAnsi" w:cs="Times New Roman"/>
          <w:b w:val="0"/>
          <w:sz w:val="24"/>
          <w:szCs w:val="24"/>
        </w:rPr>
      </w:pPr>
      <w:bookmarkStart w:id="46" w:name="_Toc378151250"/>
      <w:r w:rsidRPr="00331CFB">
        <w:rPr>
          <w:sz w:val="24"/>
          <w:szCs w:val="24"/>
        </w:rPr>
        <w:lastRenderedPageBreak/>
        <w:t xml:space="preserve">Annex </w:t>
      </w:r>
      <w:r w:rsidRPr="00331CFB">
        <w:rPr>
          <w:sz w:val="24"/>
          <w:szCs w:val="24"/>
        </w:rPr>
        <w:fldChar w:fldCharType="begin"/>
      </w:r>
      <w:r w:rsidRPr="00331CFB">
        <w:rPr>
          <w:sz w:val="24"/>
          <w:szCs w:val="24"/>
        </w:rPr>
        <w:instrText xml:space="preserve"> SEQ Annex \* ROMAN </w:instrText>
      </w:r>
      <w:r w:rsidRPr="00331CFB">
        <w:rPr>
          <w:sz w:val="24"/>
          <w:szCs w:val="24"/>
        </w:rPr>
        <w:fldChar w:fldCharType="separate"/>
      </w:r>
      <w:r w:rsidR="00CE6F8C">
        <w:rPr>
          <w:noProof/>
          <w:sz w:val="24"/>
          <w:szCs w:val="24"/>
        </w:rPr>
        <w:t>IV</w:t>
      </w:r>
      <w:r w:rsidRPr="00331CFB">
        <w:rPr>
          <w:sz w:val="24"/>
          <w:szCs w:val="24"/>
        </w:rPr>
        <w:fldChar w:fldCharType="end"/>
      </w:r>
      <w:r w:rsidRPr="00331CFB">
        <w:rPr>
          <w:sz w:val="24"/>
          <w:szCs w:val="24"/>
        </w:rPr>
        <w:t>:</w:t>
      </w:r>
      <w:r w:rsidR="000054BF" w:rsidRPr="00331CFB">
        <w:rPr>
          <w:sz w:val="24"/>
          <w:szCs w:val="24"/>
        </w:rPr>
        <w:t xml:space="preserve"> European Union’s Assessment Methodology for Free Trade Agreements</w:t>
      </w:r>
      <w:bookmarkEnd w:id="46"/>
    </w:p>
    <w:tbl>
      <w:tblPr>
        <w:tblStyle w:val="TableGrid"/>
        <w:tblW w:w="0" w:type="auto"/>
        <w:jc w:val="center"/>
        <w:tblLook w:val="04A0" w:firstRow="1" w:lastRow="0" w:firstColumn="1" w:lastColumn="0" w:noHBand="0" w:noVBand="1"/>
      </w:tblPr>
      <w:tblGrid>
        <w:gridCol w:w="9846"/>
      </w:tblGrid>
      <w:tr w:rsidR="003C4AA6" w:rsidTr="00EE6DD0">
        <w:trPr>
          <w:jc w:val="center"/>
        </w:trPr>
        <w:tc>
          <w:tcPr>
            <w:tcW w:w="9846" w:type="dxa"/>
          </w:tcPr>
          <w:p w:rsidR="003C4AA6" w:rsidRPr="00FC3281" w:rsidRDefault="00331CFB" w:rsidP="00FC3281">
            <w:pPr>
              <w:autoSpaceDE w:val="0"/>
              <w:autoSpaceDN w:val="0"/>
              <w:adjustRightInd w:val="0"/>
              <w:spacing w:after="120" w:line="240" w:lineRule="auto"/>
              <w:jc w:val="center"/>
              <w:rPr>
                <w:rFonts w:eastAsiaTheme="minorHAnsi" w:cs="Times New Roman"/>
                <w:b/>
                <w:iCs/>
                <w:color w:val="000000"/>
                <w:sz w:val="20"/>
                <w:szCs w:val="20"/>
              </w:rPr>
            </w:pPr>
            <w:r w:rsidRPr="00FC3281">
              <w:rPr>
                <w:rFonts w:eastAsiaTheme="minorHAnsi" w:cs="Times New Roman"/>
                <w:b/>
                <w:iCs/>
                <w:color w:val="000000"/>
                <w:sz w:val="20"/>
                <w:szCs w:val="20"/>
              </w:rPr>
              <w:t>Box</w:t>
            </w:r>
            <w:r w:rsidR="003C4AA6" w:rsidRPr="00FC3281">
              <w:rPr>
                <w:rFonts w:eastAsiaTheme="minorHAnsi" w:cs="Times New Roman"/>
                <w:b/>
                <w:iCs/>
                <w:color w:val="000000"/>
                <w:sz w:val="20"/>
                <w:szCs w:val="20"/>
              </w:rPr>
              <w:t xml:space="preserve"> A1</w:t>
            </w:r>
            <w:r w:rsidR="00FC3281" w:rsidRPr="00FC3281">
              <w:rPr>
                <w:rFonts w:eastAsiaTheme="minorHAnsi" w:cs="Times New Roman"/>
                <w:b/>
                <w:iCs/>
                <w:color w:val="000000"/>
                <w:sz w:val="20"/>
                <w:szCs w:val="20"/>
              </w:rPr>
              <w:t xml:space="preserve">: </w:t>
            </w:r>
            <w:r w:rsidR="003C4AA6" w:rsidRPr="00FC3281">
              <w:rPr>
                <w:rFonts w:eastAsiaTheme="minorHAnsi" w:cs="Times New Roman"/>
                <w:b/>
                <w:iCs/>
                <w:color w:val="000000"/>
                <w:sz w:val="20"/>
                <w:szCs w:val="20"/>
              </w:rPr>
              <w:t xml:space="preserve">The EU </w:t>
            </w:r>
            <w:r w:rsidR="00786508">
              <w:rPr>
                <w:rFonts w:eastAsiaTheme="minorHAnsi" w:cs="Times New Roman"/>
                <w:b/>
                <w:iCs/>
                <w:color w:val="000000"/>
                <w:sz w:val="20"/>
                <w:szCs w:val="20"/>
              </w:rPr>
              <w:t>General Approach is i</w:t>
            </w:r>
            <w:r w:rsidR="00FC3281" w:rsidRPr="00FC3281">
              <w:rPr>
                <w:rFonts w:eastAsiaTheme="minorHAnsi" w:cs="Times New Roman"/>
                <w:b/>
                <w:iCs/>
                <w:color w:val="000000"/>
                <w:sz w:val="20"/>
                <w:szCs w:val="20"/>
              </w:rPr>
              <w:t>n Three Phases</w:t>
            </w:r>
          </w:p>
          <w:p w:rsidR="003C4AA6" w:rsidRPr="00AD2AF3" w:rsidRDefault="003C4AA6" w:rsidP="00331CFB">
            <w:pPr>
              <w:autoSpaceDE w:val="0"/>
              <w:autoSpaceDN w:val="0"/>
              <w:adjustRightInd w:val="0"/>
              <w:spacing w:after="120" w:line="240" w:lineRule="auto"/>
              <w:jc w:val="left"/>
              <w:rPr>
                <w:rFonts w:eastAsiaTheme="minorHAnsi" w:cs="Times New Roman"/>
                <w:color w:val="000000"/>
                <w:sz w:val="20"/>
                <w:szCs w:val="20"/>
              </w:rPr>
            </w:pPr>
            <w:r w:rsidRPr="00AD2AF3">
              <w:rPr>
                <w:rFonts w:eastAsiaTheme="minorHAnsi" w:cs="Times New Roman"/>
                <w:color w:val="000000"/>
                <w:sz w:val="20"/>
                <w:szCs w:val="20"/>
              </w:rPr>
              <w:t>The main objective of the Trade Sustainability Impact Assessment (TSIA) is to assess the potential economic, social, environmental and fundamental human rights impacts of a Deep and Comprehensive Free Trade Agreement (DCFTA) to be negotiated betwee</w:t>
            </w:r>
            <w:r w:rsidR="008113CE">
              <w:rPr>
                <w:rFonts w:eastAsiaTheme="minorHAnsi" w:cs="Times New Roman"/>
                <w:color w:val="000000"/>
                <w:sz w:val="20"/>
                <w:szCs w:val="20"/>
              </w:rPr>
              <w:t xml:space="preserve">n the EU and other countries. </w:t>
            </w:r>
          </w:p>
          <w:p w:rsidR="003C4AA6" w:rsidRPr="00AD2AF3" w:rsidRDefault="003C4AA6" w:rsidP="00331CFB">
            <w:pPr>
              <w:autoSpaceDE w:val="0"/>
              <w:autoSpaceDN w:val="0"/>
              <w:adjustRightInd w:val="0"/>
              <w:spacing w:after="120" w:line="240" w:lineRule="auto"/>
              <w:jc w:val="left"/>
              <w:rPr>
                <w:rFonts w:eastAsiaTheme="minorHAnsi" w:cs="Times New Roman"/>
                <w:color w:val="000000"/>
                <w:sz w:val="20"/>
                <w:szCs w:val="20"/>
              </w:rPr>
            </w:pPr>
            <w:r w:rsidRPr="00AD2AF3">
              <w:rPr>
                <w:rFonts w:eastAsiaTheme="minorHAnsi" w:cs="Times New Roman"/>
                <w:color w:val="000000"/>
                <w:sz w:val="20"/>
                <w:szCs w:val="20"/>
              </w:rPr>
              <w:t>This TSIA has a quantitative and qualitative research angle, in line with the general methodology designed for TSIAs by DG Trade in 2005.</w:t>
            </w:r>
            <w:r w:rsidR="00786508">
              <w:rPr>
                <w:rFonts w:eastAsiaTheme="minorHAnsi" w:cs="Times New Roman"/>
                <w:color w:val="000000"/>
                <w:sz w:val="20"/>
                <w:szCs w:val="20"/>
              </w:rPr>
              <w:t xml:space="preserve"> </w:t>
            </w:r>
            <w:r w:rsidRPr="00AD2AF3">
              <w:rPr>
                <w:rFonts w:eastAsiaTheme="minorHAnsi" w:cs="Times New Roman"/>
                <w:color w:val="000000"/>
                <w:sz w:val="20"/>
                <w:szCs w:val="20"/>
              </w:rPr>
              <w:t xml:space="preserve">The main activities and analyses conducted in these phases consist of the following: </w:t>
            </w:r>
          </w:p>
          <w:p w:rsidR="003C4AA6" w:rsidRPr="00AD2AF3" w:rsidRDefault="003C4AA6" w:rsidP="00331CFB">
            <w:pPr>
              <w:pStyle w:val="ListParagraph"/>
              <w:numPr>
                <w:ilvl w:val="1"/>
                <w:numId w:val="18"/>
              </w:numPr>
              <w:autoSpaceDE w:val="0"/>
              <w:autoSpaceDN w:val="0"/>
              <w:adjustRightInd w:val="0"/>
              <w:spacing w:after="120" w:line="240" w:lineRule="auto"/>
              <w:ind w:left="360"/>
              <w:contextualSpacing w:val="0"/>
              <w:jc w:val="left"/>
              <w:rPr>
                <w:rFonts w:eastAsiaTheme="minorHAnsi" w:cs="Times New Roman"/>
                <w:color w:val="000000"/>
                <w:sz w:val="20"/>
                <w:szCs w:val="20"/>
              </w:rPr>
            </w:pPr>
            <w:r w:rsidRPr="00AD2AF3">
              <w:rPr>
                <w:rFonts w:eastAsiaTheme="minorHAnsi" w:cs="Times New Roman"/>
                <w:b/>
                <w:bCs/>
                <w:color w:val="000000"/>
                <w:sz w:val="20"/>
                <w:szCs w:val="20"/>
              </w:rPr>
              <w:t xml:space="preserve">Phase 0: </w:t>
            </w:r>
            <w:r w:rsidRPr="00AD2AF3">
              <w:rPr>
                <w:rFonts w:eastAsiaTheme="minorHAnsi" w:cs="Times New Roman"/>
                <w:color w:val="000000"/>
                <w:sz w:val="20"/>
                <w:szCs w:val="20"/>
              </w:rPr>
              <w:t xml:space="preserve">Methodology </w:t>
            </w:r>
            <w:r w:rsidR="00A95294" w:rsidRPr="00AD2AF3">
              <w:rPr>
                <w:rFonts w:eastAsiaTheme="minorHAnsi" w:cs="Times New Roman"/>
                <w:color w:val="000000"/>
                <w:sz w:val="20"/>
                <w:szCs w:val="20"/>
              </w:rPr>
              <w:t xml:space="preserve">finalization </w:t>
            </w:r>
            <w:r w:rsidRPr="00AD2AF3">
              <w:rPr>
                <w:rFonts w:eastAsiaTheme="minorHAnsi" w:cs="Times New Roman"/>
                <w:color w:val="000000"/>
                <w:sz w:val="20"/>
                <w:szCs w:val="20"/>
              </w:rPr>
              <w:t>and preliminary scoping of key issues</w:t>
            </w:r>
            <w:r w:rsidR="00A95294" w:rsidRPr="00AD2AF3">
              <w:rPr>
                <w:rFonts w:eastAsiaTheme="minorHAnsi" w:cs="Times New Roman"/>
                <w:color w:val="000000"/>
                <w:sz w:val="20"/>
                <w:szCs w:val="20"/>
              </w:rPr>
              <w:t>.</w:t>
            </w:r>
          </w:p>
          <w:p w:rsidR="003C4AA6" w:rsidRPr="00AD2AF3" w:rsidRDefault="003C4AA6" w:rsidP="00331CFB">
            <w:pPr>
              <w:pStyle w:val="ListParagraph"/>
              <w:numPr>
                <w:ilvl w:val="1"/>
                <w:numId w:val="18"/>
              </w:numPr>
              <w:autoSpaceDE w:val="0"/>
              <w:autoSpaceDN w:val="0"/>
              <w:adjustRightInd w:val="0"/>
              <w:spacing w:after="120" w:line="240" w:lineRule="auto"/>
              <w:ind w:left="360"/>
              <w:contextualSpacing w:val="0"/>
              <w:jc w:val="left"/>
              <w:rPr>
                <w:rFonts w:eastAsiaTheme="minorHAnsi" w:cs="Times New Roman"/>
                <w:color w:val="000000"/>
                <w:sz w:val="20"/>
                <w:szCs w:val="20"/>
              </w:rPr>
            </w:pPr>
            <w:r w:rsidRPr="00AD2AF3">
              <w:rPr>
                <w:rFonts w:eastAsiaTheme="minorHAnsi" w:cs="Times New Roman"/>
                <w:b/>
                <w:bCs/>
                <w:color w:val="000000"/>
                <w:sz w:val="20"/>
                <w:szCs w:val="20"/>
              </w:rPr>
              <w:t>Phase 1</w:t>
            </w:r>
            <w:r w:rsidRPr="00AD2AF3">
              <w:rPr>
                <w:rFonts w:eastAsiaTheme="minorHAnsi" w:cs="Times New Roman"/>
                <w:color w:val="000000"/>
                <w:sz w:val="20"/>
                <w:szCs w:val="20"/>
              </w:rPr>
              <w:t>: Assessment of overall economic, social and environmental impacts of the DCFTA, including: - Scenario analysis and Computational General Equilibrium Modeling (econometric simulation) on DCFTA impacts at macro-economic and sector level</w:t>
            </w:r>
            <w:r w:rsidR="00A95294" w:rsidRPr="00AD2AF3">
              <w:rPr>
                <w:rFonts w:eastAsiaTheme="minorHAnsi" w:cs="Times New Roman"/>
                <w:color w:val="000000"/>
                <w:sz w:val="20"/>
                <w:szCs w:val="20"/>
              </w:rPr>
              <w:t xml:space="preserve">. </w:t>
            </w:r>
          </w:p>
          <w:p w:rsidR="003C4AA6" w:rsidRPr="00AD2AF3" w:rsidRDefault="003C4AA6" w:rsidP="00AD2AF3">
            <w:pPr>
              <w:pStyle w:val="ListParagraph"/>
              <w:numPr>
                <w:ilvl w:val="2"/>
                <w:numId w:val="20"/>
              </w:numPr>
              <w:autoSpaceDE w:val="0"/>
              <w:autoSpaceDN w:val="0"/>
              <w:adjustRightInd w:val="0"/>
              <w:spacing w:after="8" w:line="240" w:lineRule="auto"/>
              <w:ind w:left="720"/>
              <w:jc w:val="left"/>
              <w:rPr>
                <w:rFonts w:eastAsiaTheme="minorHAnsi" w:cs="Times New Roman"/>
                <w:color w:val="000000"/>
                <w:sz w:val="20"/>
                <w:szCs w:val="20"/>
              </w:rPr>
            </w:pPr>
            <w:r w:rsidRPr="00AD2AF3">
              <w:rPr>
                <w:rFonts w:eastAsiaTheme="minorHAnsi" w:cs="Times New Roman"/>
                <w:color w:val="000000"/>
                <w:sz w:val="20"/>
                <w:szCs w:val="20"/>
              </w:rPr>
              <w:t xml:space="preserve">Additional quantitative modeling of social effects; </w:t>
            </w:r>
          </w:p>
          <w:p w:rsidR="003C4AA6" w:rsidRPr="00AD2AF3" w:rsidRDefault="003C4AA6" w:rsidP="00AD2AF3">
            <w:pPr>
              <w:pStyle w:val="ListParagraph"/>
              <w:numPr>
                <w:ilvl w:val="2"/>
                <w:numId w:val="20"/>
              </w:numPr>
              <w:autoSpaceDE w:val="0"/>
              <w:autoSpaceDN w:val="0"/>
              <w:adjustRightInd w:val="0"/>
              <w:spacing w:after="8" w:line="240" w:lineRule="auto"/>
              <w:ind w:left="720"/>
              <w:jc w:val="left"/>
              <w:rPr>
                <w:rFonts w:eastAsiaTheme="minorHAnsi" w:cs="Times New Roman"/>
                <w:color w:val="000000"/>
                <w:sz w:val="20"/>
                <w:szCs w:val="20"/>
              </w:rPr>
            </w:pPr>
            <w:r w:rsidRPr="00AD2AF3">
              <w:rPr>
                <w:rFonts w:eastAsiaTheme="minorHAnsi" w:cs="Times New Roman"/>
                <w:color w:val="000000"/>
                <w:sz w:val="20"/>
                <w:szCs w:val="20"/>
              </w:rPr>
              <w:t xml:space="preserve">Additional quantitative modeling of environmental effects; </w:t>
            </w:r>
          </w:p>
          <w:p w:rsidR="003C4AA6" w:rsidRPr="00AD2AF3" w:rsidRDefault="003C4AA6" w:rsidP="00AD2AF3">
            <w:pPr>
              <w:pStyle w:val="ListParagraph"/>
              <w:numPr>
                <w:ilvl w:val="2"/>
                <w:numId w:val="20"/>
              </w:numPr>
              <w:autoSpaceDE w:val="0"/>
              <w:autoSpaceDN w:val="0"/>
              <w:adjustRightInd w:val="0"/>
              <w:spacing w:after="8" w:line="240" w:lineRule="auto"/>
              <w:ind w:left="720"/>
              <w:jc w:val="left"/>
              <w:rPr>
                <w:rFonts w:eastAsiaTheme="minorHAnsi" w:cs="Times New Roman"/>
                <w:color w:val="000000"/>
                <w:sz w:val="20"/>
                <w:szCs w:val="20"/>
              </w:rPr>
            </w:pPr>
            <w:r w:rsidRPr="00AD2AF3">
              <w:rPr>
                <w:rFonts w:eastAsiaTheme="minorHAnsi" w:cs="Times New Roman"/>
                <w:color w:val="000000"/>
                <w:sz w:val="20"/>
                <w:szCs w:val="20"/>
              </w:rPr>
              <w:t xml:space="preserve">Additional analysis of fundamental human rights issues; </w:t>
            </w:r>
          </w:p>
          <w:p w:rsidR="003C4AA6" w:rsidRPr="00AD2AF3" w:rsidRDefault="003C4AA6" w:rsidP="00AD2AF3">
            <w:pPr>
              <w:pStyle w:val="ListParagraph"/>
              <w:numPr>
                <w:ilvl w:val="2"/>
                <w:numId w:val="20"/>
              </w:numPr>
              <w:autoSpaceDE w:val="0"/>
              <w:autoSpaceDN w:val="0"/>
              <w:adjustRightInd w:val="0"/>
              <w:spacing w:after="120" w:line="240" w:lineRule="auto"/>
              <w:ind w:left="720"/>
              <w:contextualSpacing w:val="0"/>
              <w:jc w:val="left"/>
              <w:rPr>
                <w:rFonts w:eastAsiaTheme="minorHAnsi" w:cs="Times New Roman"/>
                <w:color w:val="000000"/>
                <w:sz w:val="20"/>
                <w:szCs w:val="20"/>
              </w:rPr>
            </w:pPr>
            <w:r w:rsidRPr="00AD2AF3">
              <w:rPr>
                <w:rFonts w:eastAsiaTheme="minorHAnsi" w:cs="Times New Roman"/>
                <w:color w:val="000000"/>
                <w:sz w:val="20"/>
                <w:szCs w:val="20"/>
              </w:rPr>
              <w:t xml:space="preserve">Stakeholder inputs on key impacts to be expected. </w:t>
            </w:r>
          </w:p>
          <w:p w:rsidR="003C4AA6" w:rsidRPr="00AD2AF3" w:rsidRDefault="003C4AA6" w:rsidP="00331CFB">
            <w:pPr>
              <w:pStyle w:val="ListParagraph"/>
              <w:numPr>
                <w:ilvl w:val="1"/>
                <w:numId w:val="18"/>
              </w:numPr>
              <w:autoSpaceDE w:val="0"/>
              <w:autoSpaceDN w:val="0"/>
              <w:adjustRightInd w:val="0"/>
              <w:spacing w:after="120" w:line="240" w:lineRule="auto"/>
              <w:ind w:left="360"/>
              <w:contextualSpacing w:val="0"/>
              <w:jc w:val="left"/>
              <w:rPr>
                <w:rFonts w:eastAsiaTheme="minorHAnsi" w:cs="Times New Roman"/>
                <w:color w:val="000000"/>
                <w:sz w:val="20"/>
                <w:szCs w:val="20"/>
              </w:rPr>
            </w:pPr>
            <w:r w:rsidRPr="00AD2AF3">
              <w:rPr>
                <w:rFonts w:eastAsiaTheme="minorHAnsi" w:cs="Times New Roman"/>
                <w:b/>
                <w:bCs/>
                <w:color w:val="000000"/>
                <w:sz w:val="20"/>
                <w:szCs w:val="20"/>
              </w:rPr>
              <w:t xml:space="preserve">Phase 2: </w:t>
            </w:r>
            <w:r w:rsidRPr="00AD2AF3">
              <w:rPr>
                <w:rFonts w:eastAsiaTheme="minorHAnsi" w:cs="Times New Roman"/>
                <w:color w:val="000000"/>
                <w:sz w:val="20"/>
                <w:szCs w:val="20"/>
              </w:rPr>
              <w:t xml:space="preserve">In-depth analysis of two or three sectors or horizontal issues where we assess the impacts of the DCFTA </w:t>
            </w:r>
            <w:r w:rsidR="00A95294" w:rsidRPr="00AD2AF3">
              <w:rPr>
                <w:rFonts w:eastAsiaTheme="minorHAnsi" w:cs="Times New Roman"/>
                <w:color w:val="000000"/>
                <w:sz w:val="20"/>
                <w:szCs w:val="20"/>
              </w:rPr>
              <w:t>for negotiating parties</w:t>
            </w:r>
            <w:r w:rsidRPr="00AD2AF3">
              <w:rPr>
                <w:rFonts w:eastAsiaTheme="minorHAnsi" w:cs="Times New Roman"/>
                <w:color w:val="000000"/>
                <w:sz w:val="20"/>
                <w:szCs w:val="20"/>
              </w:rPr>
              <w:t>. The selection of sectors or issues is based on the outcomes of Phase 1.</w:t>
            </w:r>
            <w:r w:rsidR="00786508">
              <w:rPr>
                <w:rFonts w:eastAsiaTheme="minorHAnsi" w:cs="Times New Roman"/>
                <w:color w:val="000000"/>
                <w:sz w:val="20"/>
                <w:szCs w:val="20"/>
              </w:rPr>
              <w:t xml:space="preserve"> </w:t>
            </w:r>
            <w:r w:rsidRPr="00AD2AF3">
              <w:rPr>
                <w:rFonts w:eastAsiaTheme="minorHAnsi" w:cs="Times New Roman"/>
                <w:color w:val="000000"/>
                <w:sz w:val="20"/>
                <w:szCs w:val="20"/>
              </w:rPr>
              <w:t xml:space="preserve">The assessment is based on causal chain analysis as well as key stakeholder inputs. </w:t>
            </w:r>
          </w:p>
          <w:p w:rsidR="003C4AA6" w:rsidRPr="00AD2AF3" w:rsidRDefault="003C4AA6" w:rsidP="00331CFB">
            <w:pPr>
              <w:pStyle w:val="ListParagraph"/>
              <w:numPr>
                <w:ilvl w:val="1"/>
                <w:numId w:val="18"/>
              </w:numPr>
              <w:autoSpaceDE w:val="0"/>
              <w:autoSpaceDN w:val="0"/>
              <w:adjustRightInd w:val="0"/>
              <w:spacing w:after="120" w:line="240" w:lineRule="auto"/>
              <w:ind w:left="360"/>
              <w:contextualSpacing w:val="0"/>
              <w:jc w:val="left"/>
              <w:rPr>
                <w:rFonts w:eastAsiaTheme="minorHAnsi" w:cs="Times New Roman"/>
                <w:color w:val="000000"/>
                <w:sz w:val="20"/>
                <w:szCs w:val="20"/>
              </w:rPr>
            </w:pPr>
            <w:r w:rsidRPr="00AD2AF3">
              <w:rPr>
                <w:rFonts w:eastAsiaTheme="minorHAnsi" w:cs="Times New Roman"/>
                <w:b/>
                <w:bCs/>
                <w:color w:val="000000"/>
                <w:sz w:val="20"/>
                <w:szCs w:val="20"/>
              </w:rPr>
              <w:t xml:space="preserve">Phase 3: </w:t>
            </w:r>
            <w:r w:rsidRPr="00AD2AF3">
              <w:rPr>
                <w:rFonts w:eastAsiaTheme="minorHAnsi" w:cs="Times New Roman"/>
                <w:color w:val="000000"/>
                <w:sz w:val="20"/>
                <w:szCs w:val="20"/>
              </w:rPr>
              <w:t xml:space="preserve">Based on the findings in the previous phases, policy recommendations are formulated. These can relate to both measures within the scope of the DCFTA and broader issues. </w:t>
            </w:r>
          </w:p>
          <w:p w:rsidR="003C4AA6" w:rsidRPr="00AD2AF3" w:rsidRDefault="003C4AA6" w:rsidP="00331CFB">
            <w:pPr>
              <w:autoSpaceDE w:val="0"/>
              <w:autoSpaceDN w:val="0"/>
              <w:adjustRightInd w:val="0"/>
              <w:spacing w:after="120" w:line="240" w:lineRule="auto"/>
              <w:jc w:val="left"/>
              <w:rPr>
                <w:rFonts w:eastAsiaTheme="minorHAnsi" w:cs="Times New Roman"/>
                <w:b/>
                <w:i/>
                <w:iCs/>
                <w:color w:val="000000"/>
                <w:sz w:val="20"/>
                <w:szCs w:val="20"/>
              </w:rPr>
            </w:pPr>
            <w:r w:rsidRPr="00AD2AF3">
              <w:rPr>
                <w:rFonts w:eastAsiaTheme="minorHAnsi" w:cs="Times New Roman"/>
                <w:b/>
                <w:i/>
                <w:iCs/>
                <w:color w:val="000000"/>
                <w:sz w:val="20"/>
                <w:szCs w:val="20"/>
              </w:rPr>
              <w:t>Six main m</w:t>
            </w:r>
            <w:r w:rsidR="00AD2AF3" w:rsidRPr="00AD2AF3">
              <w:rPr>
                <w:rFonts w:eastAsiaTheme="minorHAnsi" w:cs="Times New Roman"/>
                <w:b/>
                <w:i/>
                <w:iCs/>
                <w:color w:val="000000"/>
                <w:sz w:val="20"/>
                <w:szCs w:val="20"/>
              </w:rPr>
              <w:t>ethodological pillars are used</w:t>
            </w:r>
          </w:p>
          <w:p w:rsidR="003C4AA6" w:rsidRPr="00AD2AF3" w:rsidRDefault="00AD2AF3" w:rsidP="00AD2AF3">
            <w:pPr>
              <w:pStyle w:val="ListParagraph"/>
              <w:numPr>
                <w:ilvl w:val="0"/>
                <w:numId w:val="21"/>
              </w:numPr>
              <w:autoSpaceDE w:val="0"/>
              <w:autoSpaceDN w:val="0"/>
              <w:adjustRightInd w:val="0"/>
              <w:spacing w:after="8" w:line="240" w:lineRule="auto"/>
              <w:ind w:left="360"/>
              <w:jc w:val="left"/>
              <w:rPr>
                <w:rFonts w:eastAsiaTheme="minorHAnsi" w:cs="Times New Roman"/>
                <w:color w:val="000000"/>
                <w:sz w:val="20"/>
                <w:szCs w:val="20"/>
              </w:rPr>
            </w:pPr>
            <w:r w:rsidRPr="00AD2AF3">
              <w:rPr>
                <w:rFonts w:eastAsiaTheme="minorHAnsi" w:cs="Times New Roman"/>
                <w:color w:val="000000"/>
                <w:sz w:val="20"/>
                <w:szCs w:val="20"/>
              </w:rPr>
              <w:t>Screening and scoping analysis.</w:t>
            </w:r>
          </w:p>
          <w:p w:rsidR="003C4AA6" w:rsidRPr="00AD2AF3" w:rsidRDefault="00AD2AF3" w:rsidP="00AD2AF3">
            <w:pPr>
              <w:pStyle w:val="ListParagraph"/>
              <w:numPr>
                <w:ilvl w:val="0"/>
                <w:numId w:val="21"/>
              </w:numPr>
              <w:autoSpaceDE w:val="0"/>
              <w:autoSpaceDN w:val="0"/>
              <w:adjustRightInd w:val="0"/>
              <w:spacing w:after="8" w:line="240" w:lineRule="auto"/>
              <w:ind w:left="360"/>
              <w:jc w:val="left"/>
              <w:rPr>
                <w:rFonts w:eastAsiaTheme="minorHAnsi" w:cs="Times New Roman"/>
                <w:color w:val="000000"/>
                <w:sz w:val="20"/>
                <w:szCs w:val="20"/>
              </w:rPr>
            </w:pPr>
            <w:r w:rsidRPr="00AD2AF3">
              <w:rPr>
                <w:rFonts w:eastAsiaTheme="minorHAnsi" w:cs="Times New Roman"/>
                <w:color w:val="000000"/>
                <w:sz w:val="20"/>
                <w:szCs w:val="20"/>
              </w:rPr>
              <w:t xml:space="preserve">Scenario analysis and </w:t>
            </w:r>
            <w:r w:rsidR="00FC3281" w:rsidRPr="00AD2AF3">
              <w:rPr>
                <w:rFonts w:eastAsiaTheme="minorHAnsi" w:cs="Times New Roman"/>
                <w:color w:val="000000"/>
                <w:sz w:val="20"/>
                <w:szCs w:val="20"/>
              </w:rPr>
              <w:t>CGE</w:t>
            </w:r>
            <w:r w:rsidRPr="00AD2AF3">
              <w:rPr>
                <w:rFonts w:eastAsiaTheme="minorHAnsi" w:cs="Times New Roman"/>
                <w:color w:val="000000"/>
                <w:sz w:val="20"/>
                <w:szCs w:val="20"/>
              </w:rPr>
              <w:t xml:space="preserve"> modeling.</w:t>
            </w:r>
          </w:p>
          <w:p w:rsidR="003C4AA6" w:rsidRPr="00AD2AF3" w:rsidRDefault="00AD2AF3" w:rsidP="00AD2AF3">
            <w:pPr>
              <w:pStyle w:val="ListParagraph"/>
              <w:numPr>
                <w:ilvl w:val="0"/>
                <w:numId w:val="21"/>
              </w:numPr>
              <w:autoSpaceDE w:val="0"/>
              <w:autoSpaceDN w:val="0"/>
              <w:adjustRightInd w:val="0"/>
              <w:spacing w:after="8" w:line="240" w:lineRule="auto"/>
              <w:ind w:left="360"/>
              <w:jc w:val="left"/>
              <w:rPr>
                <w:rFonts w:eastAsiaTheme="minorHAnsi" w:cs="Times New Roman"/>
                <w:color w:val="000000"/>
                <w:sz w:val="20"/>
                <w:szCs w:val="20"/>
              </w:rPr>
            </w:pPr>
            <w:r w:rsidRPr="00AD2AF3">
              <w:rPr>
                <w:rFonts w:eastAsiaTheme="minorHAnsi" w:cs="Times New Roman"/>
                <w:color w:val="000000"/>
                <w:sz w:val="20"/>
                <w:szCs w:val="20"/>
              </w:rPr>
              <w:t>Additional quantitative and qualitative analysis.</w:t>
            </w:r>
          </w:p>
          <w:p w:rsidR="003C4AA6" w:rsidRPr="00AD2AF3" w:rsidRDefault="00AD2AF3" w:rsidP="00AD2AF3">
            <w:pPr>
              <w:pStyle w:val="ListParagraph"/>
              <w:numPr>
                <w:ilvl w:val="0"/>
                <w:numId w:val="21"/>
              </w:numPr>
              <w:autoSpaceDE w:val="0"/>
              <w:autoSpaceDN w:val="0"/>
              <w:adjustRightInd w:val="0"/>
              <w:spacing w:after="8" w:line="240" w:lineRule="auto"/>
              <w:ind w:left="360"/>
              <w:jc w:val="left"/>
              <w:rPr>
                <w:rFonts w:eastAsiaTheme="minorHAnsi" w:cs="Times New Roman"/>
                <w:color w:val="000000"/>
                <w:sz w:val="20"/>
                <w:szCs w:val="20"/>
              </w:rPr>
            </w:pPr>
            <w:r w:rsidRPr="00AD2AF3">
              <w:rPr>
                <w:rFonts w:eastAsiaTheme="minorHAnsi" w:cs="Times New Roman"/>
                <w:color w:val="000000"/>
                <w:sz w:val="20"/>
                <w:szCs w:val="20"/>
              </w:rPr>
              <w:t>Sectoral analysis.</w:t>
            </w:r>
          </w:p>
          <w:p w:rsidR="003C4AA6" w:rsidRPr="00AD2AF3" w:rsidRDefault="008113CE" w:rsidP="00AD2AF3">
            <w:pPr>
              <w:pStyle w:val="ListParagraph"/>
              <w:numPr>
                <w:ilvl w:val="0"/>
                <w:numId w:val="21"/>
              </w:numPr>
              <w:autoSpaceDE w:val="0"/>
              <w:autoSpaceDN w:val="0"/>
              <w:adjustRightInd w:val="0"/>
              <w:spacing w:after="8" w:line="240" w:lineRule="auto"/>
              <w:ind w:left="360"/>
              <w:jc w:val="left"/>
              <w:rPr>
                <w:rFonts w:eastAsiaTheme="minorHAnsi" w:cs="Times New Roman"/>
                <w:color w:val="000000"/>
                <w:sz w:val="20"/>
                <w:szCs w:val="20"/>
              </w:rPr>
            </w:pPr>
            <w:r>
              <w:rPr>
                <w:rFonts w:eastAsiaTheme="minorHAnsi" w:cs="Times New Roman"/>
                <w:color w:val="000000"/>
                <w:sz w:val="20"/>
                <w:szCs w:val="20"/>
              </w:rPr>
              <w:t>Causal chain analysis.</w:t>
            </w:r>
          </w:p>
          <w:p w:rsidR="003C4AA6" w:rsidRPr="00AD2AF3" w:rsidRDefault="00AD2AF3" w:rsidP="00AD2AF3">
            <w:pPr>
              <w:pStyle w:val="ListParagraph"/>
              <w:numPr>
                <w:ilvl w:val="0"/>
                <w:numId w:val="21"/>
              </w:numPr>
              <w:autoSpaceDE w:val="0"/>
              <w:autoSpaceDN w:val="0"/>
              <w:adjustRightInd w:val="0"/>
              <w:spacing w:after="120" w:line="240" w:lineRule="auto"/>
              <w:ind w:left="360"/>
              <w:jc w:val="left"/>
              <w:rPr>
                <w:rFonts w:eastAsiaTheme="minorHAnsi" w:cs="Times New Roman"/>
                <w:color w:val="000000"/>
                <w:sz w:val="20"/>
                <w:szCs w:val="20"/>
              </w:rPr>
            </w:pPr>
            <w:r w:rsidRPr="00AD2AF3">
              <w:rPr>
                <w:rFonts w:eastAsiaTheme="minorHAnsi" w:cs="Times New Roman"/>
                <w:color w:val="000000"/>
                <w:sz w:val="20"/>
                <w:szCs w:val="20"/>
              </w:rPr>
              <w:t>Dissemination of key findings to, and consultations with, key stakeholders, including notably civil society</w:t>
            </w:r>
            <w:r w:rsidR="003C4AA6" w:rsidRPr="00AD2AF3">
              <w:rPr>
                <w:rFonts w:eastAsiaTheme="minorHAnsi" w:cs="Times New Roman"/>
                <w:color w:val="000000"/>
                <w:sz w:val="20"/>
                <w:szCs w:val="20"/>
              </w:rPr>
              <w:t xml:space="preserve">. </w:t>
            </w:r>
          </w:p>
          <w:p w:rsidR="003C4AA6" w:rsidRPr="00331CFB" w:rsidRDefault="003C4AA6" w:rsidP="003C4AA6">
            <w:pPr>
              <w:pStyle w:val="Default"/>
              <w:rPr>
                <w:rFonts w:eastAsiaTheme="minorHAnsi"/>
                <w:sz w:val="18"/>
                <w:szCs w:val="18"/>
                <w:lang w:val="en-US"/>
              </w:rPr>
            </w:pPr>
            <w:r w:rsidRPr="00331CFB">
              <w:rPr>
                <w:rFonts w:eastAsiaTheme="minorHAnsi"/>
                <w:i/>
                <w:sz w:val="18"/>
                <w:szCs w:val="18"/>
              </w:rPr>
              <w:t>Source:</w:t>
            </w:r>
            <w:r w:rsidRPr="00331CFB">
              <w:rPr>
                <w:rFonts w:eastAsiaTheme="minorHAnsi"/>
                <w:sz w:val="18"/>
                <w:szCs w:val="18"/>
              </w:rPr>
              <w:t xml:space="preserve"> </w:t>
            </w:r>
            <w:r w:rsidRPr="00331CFB">
              <w:rPr>
                <w:sz w:val="18"/>
                <w:szCs w:val="18"/>
                <w:lang w:val="en-US"/>
              </w:rPr>
              <w:t>European</w:t>
            </w:r>
            <w:r w:rsidRPr="00331CFB">
              <w:rPr>
                <w:sz w:val="18"/>
                <w:szCs w:val="18"/>
              </w:rPr>
              <w:t xml:space="preserve"> Commission.</w:t>
            </w:r>
            <w:r w:rsidR="00786508">
              <w:rPr>
                <w:sz w:val="18"/>
                <w:szCs w:val="18"/>
              </w:rPr>
              <w:t xml:space="preserve"> </w:t>
            </w:r>
            <w:r w:rsidRPr="00331CFB">
              <w:rPr>
                <w:sz w:val="18"/>
                <w:szCs w:val="18"/>
              </w:rPr>
              <w:t>2011.</w:t>
            </w:r>
            <w:r w:rsidR="00786508">
              <w:rPr>
                <w:sz w:val="18"/>
                <w:szCs w:val="18"/>
              </w:rPr>
              <w:t xml:space="preserve"> </w:t>
            </w:r>
            <w:r w:rsidRPr="00331CFB">
              <w:rPr>
                <w:rFonts w:eastAsiaTheme="minorHAnsi"/>
                <w:bCs/>
                <w:sz w:val="18"/>
                <w:szCs w:val="18"/>
              </w:rPr>
              <w:t xml:space="preserve">Trade </w:t>
            </w:r>
            <w:r w:rsidRPr="00331CFB">
              <w:rPr>
                <w:rFonts w:eastAsiaTheme="minorHAnsi"/>
                <w:bCs/>
                <w:sz w:val="18"/>
                <w:szCs w:val="18"/>
                <w:lang w:val="en-US"/>
              </w:rPr>
              <w:t>Sustainability</w:t>
            </w:r>
            <w:r w:rsidRPr="00331CFB">
              <w:rPr>
                <w:rFonts w:eastAsiaTheme="minorHAnsi"/>
                <w:bCs/>
                <w:sz w:val="18"/>
                <w:szCs w:val="18"/>
              </w:rPr>
              <w:t xml:space="preserve"> Impact </w:t>
            </w:r>
            <w:r w:rsidRPr="00331CFB">
              <w:rPr>
                <w:rFonts w:eastAsiaTheme="minorHAnsi"/>
                <w:bCs/>
                <w:sz w:val="18"/>
                <w:szCs w:val="18"/>
                <w:lang w:val="en-US"/>
              </w:rPr>
              <w:t>Assessment</w:t>
            </w:r>
            <w:r w:rsidRPr="00331CFB">
              <w:rPr>
                <w:rFonts w:eastAsiaTheme="minorHAnsi"/>
                <w:bCs/>
                <w:sz w:val="18"/>
                <w:szCs w:val="18"/>
              </w:rPr>
              <w:t xml:space="preserve"> in support of </w:t>
            </w:r>
            <w:r w:rsidRPr="00331CFB">
              <w:rPr>
                <w:rFonts w:eastAsiaTheme="minorHAnsi"/>
                <w:bCs/>
                <w:sz w:val="18"/>
                <w:szCs w:val="18"/>
                <w:lang w:val="en-US"/>
              </w:rPr>
              <w:t>negotiations</w:t>
            </w:r>
            <w:r w:rsidRPr="00331CFB">
              <w:rPr>
                <w:rFonts w:eastAsiaTheme="minorHAnsi"/>
                <w:bCs/>
                <w:sz w:val="18"/>
                <w:szCs w:val="18"/>
              </w:rPr>
              <w:t xml:space="preserve"> of a DCFTA </w:t>
            </w:r>
            <w:r w:rsidRPr="00331CFB">
              <w:rPr>
                <w:rFonts w:eastAsiaTheme="minorHAnsi"/>
                <w:bCs/>
                <w:sz w:val="18"/>
                <w:szCs w:val="18"/>
                <w:lang w:val="en-US"/>
              </w:rPr>
              <w:t>between</w:t>
            </w:r>
            <w:r w:rsidRPr="00331CFB">
              <w:rPr>
                <w:rFonts w:eastAsiaTheme="minorHAnsi"/>
                <w:bCs/>
                <w:sz w:val="18"/>
                <w:szCs w:val="18"/>
              </w:rPr>
              <w:t xml:space="preserve"> the EU and Georgia and the </w:t>
            </w:r>
            <w:r w:rsidRPr="00331CFB">
              <w:rPr>
                <w:rFonts w:eastAsiaTheme="minorHAnsi"/>
                <w:bCs/>
                <w:sz w:val="18"/>
                <w:szCs w:val="18"/>
                <w:lang w:val="en-US"/>
              </w:rPr>
              <w:t>Republic</w:t>
            </w:r>
            <w:r w:rsidRPr="00331CFB">
              <w:rPr>
                <w:rFonts w:eastAsiaTheme="minorHAnsi"/>
                <w:bCs/>
                <w:sz w:val="18"/>
                <w:szCs w:val="18"/>
              </w:rPr>
              <w:t xml:space="preserve"> of Moldova</w:t>
            </w:r>
            <w:r w:rsidRPr="00331CFB">
              <w:rPr>
                <w:bCs/>
                <w:sz w:val="18"/>
                <w:szCs w:val="18"/>
              </w:rPr>
              <w:t>.</w:t>
            </w:r>
            <w:r w:rsidR="00786508">
              <w:rPr>
                <w:bCs/>
                <w:sz w:val="18"/>
                <w:szCs w:val="18"/>
              </w:rPr>
              <w:t xml:space="preserve"> </w:t>
            </w:r>
          </w:p>
          <w:p w:rsidR="003C4AA6" w:rsidRPr="00A95294" w:rsidRDefault="000813E2" w:rsidP="00A95294">
            <w:pPr>
              <w:autoSpaceDE w:val="0"/>
              <w:autoSpaceDN w:val="0"/>
              <w:adjustRightInd w:val="0"/>
              <w:spacing w:after="240" w:line="240" w:lineRule="auto"/>
              <w:ind w:left="720" w:hanging="720"/>
              <w:rPr>
                <w:rFonts w:cs="Times New Roman"/>
                <w:sz w:val="22"/>
              </w:rPr>
            </w:pPr>
            <w:hyperlink r:id="rId25" w:history="1">
              <w:r w:rsidR="003C4AA6" w:rsidRPr="00331CFB">
                <w:rPr>
                  <w:rFonts w:cs="Times New Roman"/>
                  <w:sz w:val="18"/>
                  <w:szCs w:val="18"/>
                  <w:u w:val="single"/>
                </w:rPr>
                <w:t>http://trade.ec.europa.eu/doclib/docs/2012/november/tradoc_150105.pdf</w:t>
              </w:r>
            </w:hyperlink>
          </w:p>
        </w:tc>
      </w:tr>
    </w:tbl>
    <w:p w:rsidR="00C96CE6" w:rsidRDefault="00C96CE6" w:rsidP="000054BF">
      <w:pPr>
        <w:autoSpaceDE w:val="0"/>
        <w:autoSpaceDN w:val="0"/>
        <w:adjustRightInd w:val="0"/>
        <w:spacing w:after="0" w:line="240" w:lineRule="auto"/>
        <w:jc w:val="left"/>
        <w:rPr>
          <w:rFonts w:ascii="Arial" w:eastAsiaTheme="minorHAnsi" w:hAnsi="Arial" w:cs="Arial"/>
          <w:i/>
          <w:iCs/>
          <w:color w:val="000000"/>
          <w:sz w:val="18"/>
          <w:szCs w:val="18"/>
        </w:rPr>
      </w:pPr>
    </w:p>
    <w:p w:rsidR="003C4AA6" w:rsidRDefault="003C4AA6" w:rsidP="000054BF">
      <w:pPr>
        <w:autoSpaceDE w:val="0"/>
        <w:autoSpaceDN w:val="0"/>
        <w:adjustRightInd w:val="0"/>
        <w:spacing w:after="0" w:line="240" w:lineRule="auto"/>
        <w:jc w:val="left"/>
        <w:rPr>
          <w:rFonts w:ascii="Arial" w:eastAsiaTheme="minorHAnsi" w:hAnsi="Arial" w:cs="Arial"/>
          <w:i/>
          <w:iCs/>
          <w:color w:val="000000"/>
          <w:sz w:val="18"/>
          <w:szCs w:val="18"/>
        </w:rPr>
      </w:pPr>
    </w:p>
    <w:p w:rsidR="00C96CE6" w:rsidRPr="00F44F2C" w:rsidRDefault="00C96CE6" w:rsidP="000054BF">
      <w:pPr>
        <w:autoSpaceDE w:val="0"/>
        <w:autoSpaceDN w:val="0"/>
        <w:adjustRightInd w:val="0"/>
        <w:spacing w:after="0" w:line="240" w:lineRule="auto"/>
        <w:jc w:val="left"/>
        <w:rPr>
          <w:rFonts w:eastAsiaTheme="minorHAnsi" w:cs="Times New Roman"/>
          <w:color w:val="000000"/>
          <w:sz w:val="22"/>
        </w:rPr>
      </w:pPr>
    </w:p>
    <w:p w:rsidR="00DB3006" w:rsidRPr="00F44F2C" w:rsidRDefault="00DB3006" w:rsidP="00F44F2C">
      <w:pPr>
        <w:autoSpaceDE w:val="0"/>
        <w:autoSpaceDN w:val="0"/>
        <w:adjustRightInd w:val="0"/>
        <w:spacing w:after="0" w:line="240" w:lineRule="auto"/>
        <w:jc w:val="left"/>
        <w:rPr>
          <w:rFonts w:eastAsiaTheme="minorHAnsi" w:cs="Times New Roman"/>
          <w:sz w:val="22"/>
        </w:rPr>
      </w:pPr>
    </w:p>
    <w:sectPr w:rsidR="00DB3006" w:rsidRPr="00F44F2C" w:rsidSect="00FC7BCA">
      <w:pgSz w:w="12240" w:h="15840"/>
      <w:pgMar w:top="117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1A8" w:rsidRDefault="003471A8" w:rsidP="008513B2">
      <w:pPr>
        <w:spacing w:after="0" w:line="240" w:lineRule="auto"/>
      </w:pPr>
      <w:r>
        <w:separator/>
      </w:r>
    </w:p>
  </w:endnote>
  <w:endnote w:type="continuationSeparator" w:id="0">
    <w:p w:rsidR="003471A8" w:rsidRDefault="003471A8" w:rsidP="0085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CYR">
    <w:altName w:val="Times New Roman"/>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7" w:rsidRDefault="001A5187">
    <w:pPr>
      <w:pStyle w:val="Footer"/>
      <w:jc w:val="center"/>
    </w:pPr>
  </w:p>
  <w:p w:rsidR="001A5187" w:rsidRDefault="001A5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7" w:rsidRDefault="001A5187">
    <w:pPr>
      <w:pStyle w:val="Footer"/>
      <w:jc w:val="center"/>
    </w:pPr>
  </w:p>
  <w:p w:rsidR="001A5187" w:rsidRDefault="001A5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7" w:rsidRDefault="001A5187">
    <w:pPr>
      <w:pStyle w:val="Footer"/>
      <w:jc w:val="center"/>
    </w:pPr>
  </w:p>
  <w:p w:rsidR="001A5187" w:rsidRDefault="001A51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sz w:val="22"/>
      </w:rPr>
      <w:id w:val="-64961888"/>
      <w:docPartObj>
        <w:docPartGallery w:val="Page Numbers (Bottom of Page)"/>
        <w:docPartUnique/>
      </w:docPartObj>
    </w:sdtPr>
    <w:sdtEndPr/>
    <w:sdtContent>
      <w:p w:rsidR="001A5187" w:rsidRPr="0013345E" w:rsidRDefault="001A5187">
        <w:pPr>
          <w:pStyle w:val="Footer"/>
          <w:jc w:val="center"/>
          <w:rPr>
            <w:noProof/>
            <w:sz w:val="22"/>
          </w:rPr>
        </w:pPr>
        <w:r w:rsidRPr="0013345E">
          <w:rPr>
            <w:noProof/>
            <w:sz w:val="22"/>
          </w:rPr>
          <w:fldChar w:fldCharType="begin"/>
        </w:r>
        <w:r w:rsidRPr="0013345E">
          <w:rPr>
            <w:noProof/>
            <w:sz w:val="22"/>
          </w:rPr>
          <w:instrText xml:space="preserve"> PAGE   \* MERGEFORMAT </w:instrText>
        </w:r>
        <w:r w:rsidRPr="0013345E">
          <w:rPr>
            <w:noProof/>
            <w:sz w:val="22"/>
          </w:rPr>
          <w:fldChar w:fldCharType="separate"/>
        </w:r>
        <w:r w:rsidR="000813E2">
          <w:rPr>
            <w:noProof/>
            <w:sz w:val="22"/>
          </w:rPr>
          <w:t>18</w:t>
        </w:r>
        <w:r w:rsidRPr="0013345E">
          <w:rPr>
            <w:noProof/>
            <w:sz w:val="22"/>
          </w:rPr>
          <w:fldChar w:fldCharType="end"/>
        </w:r>
      </w:p>
    </w:sdtContent>
  </w:sdt>
  <w:p w:rsidR="001A5187" w:rsidRDefault="001A5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1A8" w:rsidRDefault="003471A8" w:rsidP="008513B2">
      <w:pPr>
        <w:spacing w:after="0" w:line="240" w:lineRule="auto"/>
      </w:pPr>
      <w:r>
        <w:separator/>
      </w:r>
    </w:p>
  </w:footnote>
  <w:footnote w:type="continuationSeparator" w:id="0">
    <w:p w:rsidR="003471A8" w:rsidRDefault="003471A8" w:rsidP="008513B2">
      <w:pPr>
        <w:spacing w:after="0" w:line="240" w:lineRule="auto"/>
      </w:pPr>
      <w:r>
        <w:continuationSeparator/>
      </w:r>
    </w:p>
  </w:footnote>
  <w:footnote w:id="1">
    <w:p w:rsidR="001A5187" w:rsidRPr="00F27AF5" w:rsidRDefault="001A5187" w:rsidP="007C4E2A">
      <w:pPr>
        <w:pStyle w:val="FootnoteText"/>
        <w:rPr>
          <w:rFonts w:ascii="Times New Roman" w:hAnsi="Times New Roman"/>
        </w:rPr>
      </w:pPr>
      <w:r w:rsidRPr="00F455AD">
        <w:rPr>
          <w:rStyle w:val="FootnoteReference"/>
          <w:rFonts w:ascii="Times New Roman" w:hAnsi="Times New Roman"/>
        </w:rPr>
        <w:footnoteRef/>
      </w:r>
      <w:r w:rsidRPr="00F455AD">
        <w:rPr>
          <w:rFonts w:ascii="Times New Roman" w:hAnsi="Times New Roman"/>
        </w:rPr>
        <w:t xml:space="preserve"> </w:t>
      </w:r>
      <w:r w:rsidRPr="000D1653">
        <w:rPr>
          <w:rFonts w:ascii="Times New Roman" w:hAnsi="Times New Roman"/>
        </w:rPr>
        <w:t>Kazakhstan–Beyond Oil: Kazakhstan’s path to greater prosperity through diversifying (World Bank, 2013)</w:t>
      </w:r>
      <w:r>
        <w:rPr>
          <w:rFonts w:ascii="Times New Roman" w:hAnsi="Times New Roman"/>
        </w:rPr>
        <w:t>.</w:t>
      </w:r>
    </w:p>
  </w:footnote>
  <w:footnote w:id="2">
    <w:p w:rsidR="001A5187" w:rsidRPr="00A73C75" w:rsidRDefault="001A5187" w:rsidP="009D79C6">
      <w:pPr>
        <w:pStyle w:val="FootnoteText"/>
        <w:rPr>
          <w:rFonts w:ascii="Times New Roman" w:hAnsi="Times New Roman"/>
        </w:rPr>
      </w:pPr>
      <w:r w:rsidRPr="00AF3806">
        <w:rPr>
          <w:rStyle w:val="FootnoteReference"/>
          <w:rFonts w:ascii="Times New Roman" w:hAnsi="Times New Roman"/>
        </w:rPr>
        <w:footnoteRef/>
      </w:r>
      <w:r w:rsidRPr="00AF3806">
        <w:rPr>
          <w:rFonts w:ascii="Times New Roman" w:hAnsi="Times New Roman"/>
        </w:rPr>
        <w:t xml:space="preserve"> </w:t>
      </w:r>
      <w:r>
        <w:rPr>
          <w:rFonts w:ascii="Times New Roman" w:hAnsi="Times New Roman"/>
        </w:rPr>
        <w:t xml:space="preserve">These reports </w:t>
      </w:r>
      <w:r w:rsidRPr="00BA1B5B">
        <w:rPr>
          <w:rFonts w:ascii="Times New Roman" w:hAnsi="Times New Roman"/>
        </w:rPr>
        <w:t xml:space="preserve">include two works by </w:t>
      </w:r>
      <w:r w:rsidRPr="00F44F2C">
        <w:rPr>
          <w:rFonts w:ascii="Times New Roman" w:hAnsi="Times New Roman"/>
        </w:rPr>
        <w:t xml:space="preserve">Gonzalo Varela in 2013 as well as the 2013 </w:t>
      </w:r>
      <w:r>
        <w:rPr>
          <w:rFonts w:ascii="Times New Roman" w:hAnsi="Times New Roman"/>
        </w:rPr>
        <w:t>C</w:t>
      </w:r>
      <w:r w:rsidRPr="00F44F2C">
        <w:rPr>
          <w:rFonts w:ascii="Times New Roman" w:hAnsi="Times New Roman"/>
        </w:rPr>
        <w:t xml:space="preserve">ountry </w:t>
      </w:r>
      <w:r>
        <w:rPr>
          <w:rFonts w:ascii="Times New Roman" w:hAnsi="Times New Roman"/>
        </w:rPr>
        <w:t>E</w:t>
      </w:r>
      <w:r w:rsidRPr="00F44F2C">
        <w:rPr>
          <w:rFonts w:ascii="Times New Roman" w:hAnsi="Times New Roman"/>
        </w:rPr>
        <w:t xml:space="preserve">conomic </w:t>
      </w:r>
      <w:r>
        <w:rPr>
          <w:rFonts w:ascii="Times New Roman" w:hAnsi="Times New Roman"/>
        </w:rPr>
        <w:t>M</w:t>
      </w:r>
      <w:r w:rsidRPr="00F44F2C">
        <w:rPr>
          <w:rFonts w:ascii="Times New Roman" w:hAnsi="Times New Roman"/>
        </w:rPr>
        <w:t>emorandum</w:t>
      </w:r>
      <w:r>
        <w:rPr>
          <w:rFonts w:ascii="Times New Roman" w:hAnsi="Times New Roman"/>
        </w:rPr>
        <w:t>,</w:t>
      </w:r>
      <w:r w:rsidRPr="00F44F2C">
        <w:rPr>
          <w:rFonts w:ascii="Times New Roman" w:hAnsi="Times New Roman"/>
        </w:rPr>
        <w:t xml:space="preserve"> “Beyond Oil:</w:t>
      </w:r>
      <w:r>
        <w:rPr>
          <w:rFonts w:ascii="Times New Roman" w:hAnsi="Times New Roman"/>
        </w:rPr>
        <w:t xml:space="preserve"> </w:t>
      </w:r>
      <w:r w:rsidRPr="00F44F2C">
        <w:rPr>
          <w:rFonts w:ascii="Times New Roman" w:hAnsi="Times New Roman"/>
        </w:rPr>
        <w:t xml:space="preserve">Kazakhstan’s </w:t>
      </w:r>
      <w:r>
        <w:rPr>
          <w:rFonts w:ascii="Times New Roman" w:hAnsi="Times New Roman"/>
        </w:rPr>
        <w:t>P</w:t>
      </w:r>
      <w:r w:rsidRPr="00F44F2C">
        <w:rPr>
          <w:rFonts w:ascii="Times New Roman" w:hAnsi="Times New Roman"/>
        </w:rPr>
        <w:t xml:space="preserve">ath to </w:t>
      </w:r>
      <w:r>
        <w:rPr>
          <w:rFonts w:ascii="Times New Roman" w:hAnsi="Times New Roman"/>
        </w:rPr>
        <w:t>G</w:t>
      </w:r>
      <w:r w:rsidRPr="00F44F2C">
        <w:rPr>
          <w:rFonts w:ascii="Times New Roman" w:hAnsi="Times New Roman"/>
        </w:rPr>
        <w:t xml:space="preserve">reater </w:t>
      </w:r>
      <w:r>
        <w:rPr>
          <w:rFonts w:ascii="Times New Roman" w:hAnsi="Times New Roman"/>
        </w:rPr>
        <w:t>Prosperity through</w:t>
      </w:r>
      <w:r w:rsidRPr="00F44F2C">
        <w:rPr>
          <w:rFonts w:ascii="Times New Roman" w:hAnsi="Times New Roman"/>
        </w:rPr>
        <w:t xml:space="preserve"> </w:t>
      </w:r>
      <w:r>
        <w:rPr>
          <w:rFonts w:ascii="Times New Roman" w:hAnsi="Times New Roman"/>
        </w:rPr>
        <w:t>D</w:t>
      </w:r>
      <w:r w:rsidRPr="00F44F2C">
        <w:rPr>
          <w:rFonts w:ascii="Times New Roman" w:hAnsi="Times New Roman"/>
        </w:rPr>
        <w:t>iversifying</w:t>
      </w:r>
      <w:r>
        <w:rPr>
          <w:rFonts w:ascii="Times New Roman" w:hAnsi="Times New Roman"/>
        </w:rPr>
        <w:t>,</w:t>
      </w:r>
      <w:r w:rsidRPr="00F44F2C">
        <w:rPr>
          <w:rFonts w:ascii="Times New Roman" w:hAnsi="Times New Roman"/>
        </w:rPr>
        <w:t>” and the 2012 World Bank analysis on “Kazakhstan:</w:t>
      </w:r>
      <w:r>
        <w:rPr>
          <w:rFonts w:ascii="Times New Roman" w:hAnsi="Times New Roman"/>
        </w:rPr>
        <w:t xml:space="preserve"> </w:t>
      </w:r>
      <w:r w:rsidRPr="00F44F2C">
        <w:rPr>
          <w:rFonts w:ascii="Times New Roman" w:hAnsi="Times New Roman"/>
        </w:rPr>
        <w:t>Taking Advantage of Trade and Openness for Development</w:t>
      </w:r>
      <w:r>
        <w:rPr>
          <w:rFonts w:ascii="Times New Roman" w:hAnsi="Times New Roman"/>
        </w:rPr>
        <w:t>.</w:t>
      </w:r>
      <w:r w:rsidRPr="00F44F2C">
        <w:rPr>
          <w:rFonts w:ascii="Times New Roman" w:hAnsi="Times New Roman"/>
        </w:rPr>
        <w:t>”</w:t>
      </w:r>
    </w:p>
  </w:footnote>
  <w:footnote w:id="3">
    <w:p w:rsidR="001A5187" w:rsidRPr="00F27AF5" w:rsidRDefault="001A5187" w:rsidP="00F455AD">
      <w:pPr>
        <w:pStyle w:val="FootnoteText"/>
        <w:rPr>
          <w:rFonts w:ascii="Times New Roman" w:hAnsi="Times New Roman"/>
          <w:sz w:val="18"/>
          <w:szCs w:val="18"/>
        </w:rPr>
      </w:pPr>
      <w:r w:rsidRPr="006F0A8E">
        <w:rPr>
          <w:rStyle w:val="FootnoteReference"/>
          <w:rFonts w:ascii="Times New Roman" w:eastAsiaTheme="majorEastAsia" w:hAnsi="Times New Roman"/>
          <w:sz w:val="18"/>
          <w:szCs w:val="18"/>
        </w:rPr>
        <w:footnoteRef/>
      </w:r>
      <w:r w:rsidRPr="006F0A8E">
        <w:rPr>
          <w:rFonts w:ascii="Times New Roman" w:hAnsi="Times New Roman"/>
          <w:sz w:val="18"/>
          <w:szCs w:val="18"/>
        </w:rPr>
        <w:t xml:space="preserve"> </w:t>
      </w:r>
      <w:r w:rsidRPr="00F27AF5">
        <w:rPr>
          <w:rFonts w:ascii="Times New Roman" w:hAnsi="Times New Roman"/>
          <w:sz w:val="18"/>
          <w:szCs w:val="18"/>
        </w:rPr>
        <w:t>Formally, for exporter ‘j’, for whom I</w:t>
      </w:r>
      <w:r w:rsidRPr="00F27AF5">
        <w:rPr>
          <w:rFonts w:ascii="Times New Roman" w:hAnsi="Times New Roman"/>
          <w:sz w:val="18"/>
          <w:szCs w:val="18"/>
          <w:vertAlign w:val="subscript"/>
        </w:rPr>
        <w:t>ij</w:t>
      </w:r>
      <w:r w:rsidRPr="00F27AF5">
        <w:rPr>
          <w:rFonts w:ascii="Times New Roman" w:hAnsi="Times New Roman"/>
          <w:sz w:val="18"/>
          <w:szCs w:val="18"/>
        </w:rPr>
        <w:t xml:space="preserve"> is the set of products (i) in which positive exports are observed, Y</w:t>
      </w:r>
      <w:r w:rsidRPr="00F27AF5">
        <w:rPr>
          <w:rFonts w:ascii="Times New Roman" w:hAnsi="Times New Roman"/>
          <w:sz w:val="18"/>
          <w:szCs w:val="18"/>
          <w:vertAlign w:val="subscript"/>
        </w:rPr>
        <w:t>ij</w:t>
      </w:r>
      <w:r w:rsidRPr="00F27AF5">
        <w:rPr>
          <w:rFonts w:ascii="Times New Roman" w:hAnsi="Times New Roman"/>
          <w:sz w:val="18"/>
          <w:szCs w:val="18"/>
        </w:rPr>
        <w:t>=1 if X</w:t>
      </w:r>
      <w:r w:rsidRPr="00F27AF5">
        <w:rPr>
          <w:rFonts w:ascii="Times New Roman" w:hAnsi="Times New Roman"/>
          <w:sz w:val="18"/>
          <w:szCs w:val="18"/>
          <w:vertAlign w:val="subscript"/>
        </w:rPr>
        <w:t>ijk</w:t>
      </w:r>
      <w:r w:rsidRPr="00F27AF5">
        <w:rPr>
          <w:rFonts w:ascii="Times New Roman" w:hAnsi="Times New Roman"/>
          <w:sz w:val="18"/>
          <w:szCs w:val="18"/>
        </w:rPr>
        <w:t>&gt;0; and Z</w:t>
      </w:r>
      <w:r w:rsidRPr="00F27AF5">
        <w:rPr>
          <w:rFonts w:ascii="Times New Roman" w:hAnsi="Times New Roman"/>
          <w:sz w:val="18"/>
          <w:szCs w:val="18"/>
          <w:vertAlign w:val="subscript"/>
        </w:rPr>
        <w:t>ik</w:t>
      </w:r>
      <w:r w:rsidRPr="00F27AF5">
        <w:rPr>
          <w:rFonts w:ascii="Times New Roman" w:hAnsi="Times New Roman"/>
          <w:sz w:val="18"/>
          <w:szCs w:val="18"/>
        </w:rPr>
        <w:t>=1 for M</w:t>
      </w:r>
      <w:r w:rsidRPr="00F27AF5">
        <w:rPr>
          <w:rFonts w:ascii="Times New Roman" w:hAnsi="Times New Roman"/>
          <w:sz w:val="18"/>
          <w:szCs w:val="18"/>
          <w:vertAlign w:val="subscript"/>
        </w:rPr>
        <w:t>ik</w:t>
      </w:r>
      <w:r w:rsidRPr="00F27AF5">
        <w:rPr>
          <w:rFonts w:ascii="Times New Roman" w:hAnsi="Times New Roman"/>
          <w:sz w:val="18"/>
          <w:szCs w:val="18"/>
        </w:rPr>
        <w:t>&gt;0, else Z</w:t>
      </w:r>
      <w:r w:rsidRPr="00F27AF5">
        <w:rPr>
          <w:rFonts w:ascii="Times New Roman" w:hAnsi="Times New Roman"/>
          <w:sz w:val="18"/>
          <w:szCs w:val="18"/>
          <w:vertAlign w:val="subscript"/>
        </w:rPr>
        <w:t>ik</w:t>
      </w:r>
      <w:r w:rsidRPr="00F27AF5">
        <w:rPr>
          <w:rFonts w:ascii="Times New Roman" w:hAnsi="Times New Roman"/>
          <w:sz w:val="18"/>
          <w:szCs w:val="18"/>
        </w:rPr>
        <w:t>=0, where X</w:t>
      </w:r>
      <w:r w:rsidRPr="00F27AF5">
        <w:rPr>
          <w:rFonts w:ascii="Times New Roman" w:hAnsi="Times New Roman"/>
          <w:sz w:val="18"/>
          <w:szCs w:val="18"/>
          <w:vertAlign w:val="subscript"/>
        </w:rPr>
        <w:t>ijk</w:t>
      </w:r>
      <w:r w:rsidRPr="00F27AF5">
        <w:rPr>
          <w:rFonts w:ascii="Times New Roman" w:hAnsi="Times New Roman"/>
          <w:sz w:val="18"/>
          <w:szCs w:val="18"/>
        </w:rPr>
        <w:t xml:space="preserve"> is the value of exports of product i from exporter j to importer k, and M</w:t>
      </w:r>
      <w:r w:rsidRPr="00F27AF5">
        <w:rPr>
          <w:rFonts w:ascii="Times New Roman" w:hAnsi="Times New Roman"/>
          <w:sz w:val="18"/>
          <w:szCs w:val="18"/>
          <w:vertAlign w:val="subscript"/>
        </w:rPr>
        <w:t>ik</w:t>
      </w:r>
      <w:r w:rsidRPr="00F27AF5">
        <w:rPr>
          <w:rFonts w:ascii="Times New Roman" w:hAnsi="Times New Roman"/>
          <w:sz w:val="18"/>
          <w:szCs w:val="18"/>
        </w:rPr>
        <w:t xml:space="preserve"> is the value of imports of product i by importer k. The</w:t>
      </w:r>
      <w:r>
        <w:rPr>
          <w:rFonts w:ascii="Times New Roman" w:hAnsi="Times New Roman"/>
          <w:sz w:val="18"/>
          <w:szCs w:val="18"/>
        </w:rPr>
        <w:t xml:space="preserve"> </w:t>
      </w:r>
      <w:r w:rsidRPr="00F27AF5">
        <w:rPr>
          <w:rFonts w:ascii="Times New Roman" w:hAnsi="Times New Roman"/>
          <w:position w:val="-34"/>
          <w:sz w:val="18"/>
          <w:szCs w:val="18"/>
        </w:rPr>
        <w:object w:dxaOrig="28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30pt" o:ole="">
            <v:imagedata r:id="rId1" o:title=""/>
          </v:shape>
          <o:OLEObject Type="Embed" ProgID="Equation.3" ShapeID="_x0000_i1026" DrawAspect="Content" ObjectID="_1497188603" r:id="rId2"/>
        </w:object>
      </w:r>
      <w:r w:rsidRPr="000D1653">
        <w:rPr>
          <w:rFonts w:eastAsia="SimSun" w:cs="Mangal"/>
          <w:kern w:val="1"/>
          <w:sz w:val="18"/>
          <w:szCs w:val="18"/>
          <w:lang w:eastAsia="hi-IN" w:bidi="hi-IN"/>
        </w:rPr>
        <w:t xml:space="preserve"> </w:t>
      </w:r>
      <w:r w:rsidRPr="000D1653">
        <w:rPr>
          <w:rFonts w:ascii="Times New Roman" w:eastAsia="SimSun" w:hAnsi="Times New Roman"/>
          <w:kern w:val="1"/>
          <w:sz w:val="18"/>
          <w:szCs w:val="18"/>
          <w:lang w:eastAsia="hi-IN" w:bidi="hi-IN"/>
        </w:rPr>
        <w:t xml:space="preserve">The </w:t>
      </w:r>
      <w:r w:rsidRPr="000D1653">
        <w:rPr>
          <w:rFonts w:ascii="Times New Roman" w:hAnsi="Times New Roman"/>
          <w:sz w:val="18"/>
          <w:szCs w:val="18"/>
        </w:rPr>
        <w:t>index of export market penetration combines</w:t>
      </w:r>
      <w:r w:rsidRPr="000D1653">
        <w:rPr>
          <w:rFonts w:ascii="Times New Roman" w:eastAsia="SimSun" w:hAnsi="Times New Roman"/>
          <w:kern w:val="1"/>
          <w:sz w:val="18"/>
          <w:szCs w:val="18"/>
          <w:lang w:eastAsia="hi-IN" w:bidi="hi-IN"/>
        </w:rPr>
        <w:t xml:space="preserve"> information </w:t>
      </w:r>
      <w:r w:rsidRPr="000D1653">
        <w:rPr>
          <w:rFonts w:ascii="Times New Roman" w:hAnsi="Times New Roman"/>
          <w:sz w:val="18"/>
          <w:szCs w:val="18"/>
        </w:rPr>
        <w:t>about the product and market dimensions. The index of export market penetration measures the number of market-product combinations served by exporters in country ‘i’ as a proportion of the number of potential market-product flows.</w:t>
      </w:r>
      <w:r w:rsidRPr="000D1653">
        <w:rPr>
          <w:rFonts w:ascii="Times New Roman" w:hAnsi="Times New Roman"/>
          <w:sz w:val="18"/>
          <w:szCs w:val="18"/>
          <w:vertAlign w:val="superscript"/>
        </w:rPr>
        <w:t xml:space="preserve"> </w:t>
      </w:r>
      <w:r w:rsidRPr="000D1653">
        <w:rPr>
          <w:rFonts w:ascii="Times New Roman" w:hAnsi="Times New Roman"/>
          <w:sz w:val="18"/>
          <w:szCs w:val="18"/>
        </w:rPr>
        <w:t>For a given range of products that a country exports, this index will be higher for countries serving a large proportion of the number of markets around the world that import the product. Similarly, for a given range of destinations a country serves, the index will be higher for countries that export a larger variety of products.</w:t>
      </w:r>
    </w:p>
  </w:footnote>
  <w:footnote w:id="4">
    <w:p w:rsidR="001A5187" w:rsidRPr="006F0A8E" w:rsidRDefault="001A5187" w:rsidP="003F3EA3">
      <w:pPr>
        <w:pStyle w:val="FootnoteText"/>
        <w:rPr>
          <w:rFonts w:ascii="Times New Roman" w:hAnsi="Times New Roman"/>
          <w:sz w:val="18"/>
          <w:szCs w:val="18"/>
        </w:rPr>
      </w:pPr>
      <w:r w:rsidRPr="006F0A8E">
        <w:rPr>
          <w:rStyle w:val="FootnoteReference"/>
          <w:rFonts w:ascii="Times New Roman" w:hAnsi="Times New Roman"/>
          <w:sz w:val="18"/>
          <w:szCs w:val="18"/>
        </w:rPr>
        <w:footnoteRef/>
      </w:r>
      <w:r w:rsidRPr="006F0A8E">
        <w:rPr>
          <w:rFonts w:ascii="Times New Roman" w:hAnsi="Times New Roman"/>
          <w:sz w:val="18"/>
          <w:szCs w:val="18"/>
        </w:rPr>
        <w:t xml:space="preserve"> Gonzalo Varela, 2013b, IEMP. </w:t>
      </w:r>
    </w:p>
  </w:footnote>
  <w:footnote w:id="5">
    <w:p w:rsidR="001A5187" w:rsidRPr="006F0A8E" w:rsidRDefault="001A5187" w:rsidP="003F3EA3">
      <w:pPr>
        <w:pStyle w:val="FootnoteText"/>
        <w:rPr>
          <w:sz w:val="18"/>
          <w:szCs w:val="18"/>
        </w:rPr>
      </w:pPr>
      <w:r w:rsidRPr="006F0A8E">
        <w:rPr>
          <w:rStyle w:val="FootnoteReference"/>
          <w:rFonts w:ascii="Times New Roman" w:hAnsi="Times New Roman"/>
          <w:sz w:val="18"/>
          <w:szCs w:val="18"/>
        </w:rPr>
        <w:footnoteRef/>
      </w:r>
      <w:r w:rsidRPr="006F0A8E">
        <w:rPr>
          <w:rFonts w:ascii="Times New Roman" w:hAnsi="Times New Roman"/>
          <w:sz w:val="18"/>
          <w:szCs w:val="18"/>
        </w:rPr>
        <w:t xml:space="preserve"> Survival rates were low across the board, while the highest survival rates were observed for some foods, chemicals, minerals, and some electrical/manufactured products.</w:t>
      </w:r>
    </w:p>
  </w:footnote>
  <w:footnote w:id="6">
    <w:p w:rsidR="001A5187" w:rsidRPr="008D4627" w:rsidRDefault="001A5187" w:rsidP="00EC28C4">
      <w:pPr>
        <w:autoSpaceDE w:val="0"/>
        <w:autoSpaceDN w:val="0"/>
        <w:adjustRightInd w:val="0"/>
        <w:spacing w:after="0" w:line="240" w:lineRule="auto"/>
        <w:rPr>
          <w:rFonts w:cs="Times New Roman"/>
          <w:sz w:val="20"/>
          <w:szCs w:val="20"/>
        </w:rPr>
      </w:pPr>
      <w:r w:rsidRPr="00BC37E4">
        <w:rPr>
          <w:rStyle w:val="FootnoteReference"/>
          <w:sz w:val="20"/>
          <w:szCs w:val="20"/>
        </w:rPr>
        <w:footnoteRef/>
      </w:r>
      <w:r>
        <w:t xml:space="preserve"> </w:t>
      </w:r>
      <w:r w:rsidRPr="008D4627">
        <w:rPr>
          <w:rFonts w:cs="Times New Roman"/>
          <w:sz w:val="20"/>
          <w:szCs w:val="20"/>
        </w:rPr>
        <w:t>The model is built on the algebraic structure of the models of Jensen and Tarr (2010) and Balistreri and Tarr (2011).</w:t>
      </w:r>
      <w:r>
        <w:rPr>
          <w:rFonts w:cs="Times New Roman"/>
          <w:sz w:val="20"/>
          <w:szCs w:val="20"/>
        </w:rPr>
        <w:t xml:space="preserve"> </w:t>
      </w:r>
      <w:r w:rsidRPr="008D4627">
        <w:rPr>
          <w:rFonts w:cs="Times New Roman"/>
          <w:sz w:val="20"/>
          <w:szCs w:val="20"/>
        </w:rPr>
        <w:t>A full algebraic description of the model is available in the latter.</w:t>
      </w:r>
      <w:r>
        <w:rPr>
          <w:rFonts w:cs="Times New Roman"/>
          <w:sz w:val="20"/>
          <w:szCs w:val="20"/>
        </w:rPr>
        <w:t xml:space="preserve"> </w:t>
      </w:r>
      <w:r w:rsidRPr="008D4627">
        <w:rPr>
          <w:rFonts w:cs="Times New Roman"/>
          <w:sz w:val="20"/>
          <w:szCs w:val="20"/>
        </w:rPr>
        <w:t>There are 57 sectors in the model.</w:t>
      </w:r>
      <w:r>
        <w:rPr>
          <w:rFonts w:cs="Times New Roman"/>
          <w:sz w:val="20"/>
          <w:szCs w:val="20"/>
        </w:rPr>
        <w:t xml:space="preserve"> </w:t>
      </w:r>
      <w:r w:rsidRPr="008D4627">
        <w:rPr>
          <w:rFonts w:cs="Times New Roman"/>
          <w:sz w:val="20"/>
          <w:szCs w:val="20"/>
        </w:rPr>
        <w:t>These include 18 imperfectly competitive goods sectors and 39 competitive goods and services sectors. The cost,</w:t>
      </w:r>
      <w:r>
        <w:rPr>
          <w:rFonts w:cs="Times New Roman"/>
          <w:sz w:val="20"/>
          <w:szCs w:val="20"/>
        </w:rPr>
        <w:t xml:space="preserve"> </w:t>
      </w:r>
      <w:r w:rsidRPr="008D4627">
        <w:rPr>
          <w:rFonts w:cs="Times New Roman"/>
          <w:sz w:val="20"/>
          <w:szCs w:val="20"/>
        </w:rPr>
        <w:t>production, and pricing structures in the two categories of sectors differ widely.</w:t>
      </w:r>
      <w:r>
        <w:rPr>
          <w:rFonts w:cs="Times New Roman"/>
          <w:sz w:val="20"/>
          <w:szCs w:val="20"/>
        </w:rPr>
        <w:t xml:space="preserve"> </w:t>
      </w:r>
      <w:r w:rsidRPr="008D4627">
        <w:rPr>
          <w:rFonts w:cs="Times New Roman"/>
          <w:sz w:val="20"/>
          <w:szCs w:val="20"/>
        </w:rPr>
        <w:t>Labor and capital are the two primary factors of production.</w:t>
      </w:r>
      <w:r>
        <w:rPr>
          <w:rFonts w:cs="Times New Roman"/>
          <w:sz w:val="20"/>
          <w:szCs w:val="20"/>
        </w:rPr>
        <w:t xml:space="preserve"> For further information refer to Tarr and Jensen (2012). </w:t>
      </w:r>
    </w:p>
  </w:footnote>
  <w:footnote w:id="7">
    <w:p w:rsidR="001A5187" w:rsidRPr="000E2592" w:rsidRDefault="001A5187" w:rsidP="008A68AE">
      <w:pPr>
        <w:pStyle w:val="ListParagraph"/>
        <w:tabs>
          <w:tab w:val="left" w:pos="720"/>
        </w:tabs>
        <w:spacing w:line="240" w:lineRule="auto"/>
        <w:ind w:left="0"/>
        <w:contextualSpacing w:val="0"/>
        <w:rPr>
          <w:rFonts w:cs="Times New Roman"/>
          <w:sz w:val="22"/>
        </w:rPr>
      </w:pPr>
      <w:r>
        <w:rPr>
          <w:rStyle w:val="FootnoteReference"/>
        </w:rPr>
        <w:footnoteRef/>
      </w:r>
      <w:r>
        <w:t xml:space="preserve"> </w:t>
      </w:r>
      <w:r>
        <w:rPr>
          <w:rFonts w:cs="Times New Roman"/>
          <w:sz w:val="20"/>
          <w:szCs w:val="20"/>
        </w:rPr>
        <w:t>A 2008 by Jensen and Tarr</w:t>
      </w:r>
      <w:r w:rsidRPr="008A68AE">
        <w:rPr>
          <w:rFonts w:cs="Times New Roman"/>
          <w:sz w:val="20"/>
          <w:szCs w:val="20"/>
        </w:rPr>
        <w:t xml:space="preserve"> accessed the impact of WTO accession the Kazakhstani economy</w:t>
      </w:r>
      <w:r>
        <w:rPr>
          <w:rFonts w:cs="Times New Roman"/>
          <w:sz w:val="20"/>
          <w:szCs w:val="20"/>
        </w:rPr>
        <w:t>. The study included</w:t>
      </w:r>
      <w:r w:rsidRPr="008A68AE">
        <w:rPr>
          <w:rFonts w:cs="Times New Roman"/>
          <w:sz w:val="20"/>
          <w:szCs w:val="20"/>
        </w:rPr>
        <w:t xml:space="preserve"> a CGE model for Kazakhstan and carefully computed the welfare and trade effects that can be expected from Kazakhstan’s accession to the WTO, especially the impact of service-sector liberalization.</w:t>
      </w:r>
      <w:r>
        <w:rPr>
          <w:rFonts w:cs="Times New Roman"/>
          <w:sz w:val="20"/>
          <w:szCs w:val="20"/>
        </w:rPr>
        <w:t xml:space="preserve"> </w:t>
      </w:r>
      <w:r w:rsidRPr="008A68AE">
        <w:rPr>
          <w:rFonts w:cs="Times New Roman"/>
          <w:sz w:val="20"/>
          <w:szCs w:val="20"/>
        </w:rPr>
        <w:t>In the first report, Jensen and Tarr estimate the potential gains from trade of Kazakhstani WTO accession to be large, nearly 6.7 percent of household consumption, or 3.7 percent of GDP, mostly driven by services liberalization.</w:t>
      </w:r>
      <w:r w:rsidRPr="008A68AE">
        <w:rPr>
          <w:rFonts w:cs="Times New Roman"/>
          <w:sz w:val="20"/>
          <w:szCs w:val="20"/>
          <w:vertAlign w:val="superscript"/>
        </w:rPr>
        <w:footnoteRef/>
      </w:r>
      <w:r>
        <w:rPr>
          <w:rFonts w:cs="Times New Roman"/>
          <w:sz w:val="20"/>
          <w:szCs w:val="20"/>
        </w:rPr>
        <w:t xml:space="preserve"> </w:t>
      </w:r>
      <w:r w:rsidRPr="008A68AE">
        <w:rPr>
          <w:rFonts w:cs="Times New Roman"/>
          <w:sz w:val="20"/>
          <w:szCs w:val="20"/>
        </w:rPr>
        <w:t>Box 1 above presents the analysis undertaken by the second study.</w:t>
      </w:r>
    </w:p>
    <w:p w:rsidR="001A5187" w:rsidRDefault="001A5187">
      <w:pPr>
        <w:pStyle w:val="FootnoteText"/>
      </w:pPr>
    </w:p>
  </w:footnote>
  <w:footnote w:id="8">
    <w:p w:rsidR="001A5187" w:rsidRPr="00234D23" w:rsidRDefault="001A5187" w:rsidP="00CC4E3E">
      <w:pPr>
        <w:spacing w:before="120" w:line="240" w:lineRule="auto"/>
        <w:rPr>
          <w:rFonts w:cs="Times New Roman"/>
          <w:sz w:val="18"/>
          <w:szCs w:val="18"/>
        </w:rPr>
      </w:pPr>
      <w:r>
        <w:rPr>
          <w:rStyle w:val="FootnoteReference"/>
        </w:rPr>
        <w:footnoteRef/>
      </w:r>
      <w:r>
        <w:t xml:space="preserve"> </w:t>
      </w:r>
      <w:r w:rsidRPr="00234D23">
        <w:rPr>
          <w:rFonts w:cs="Times New Roman"/>
          <w:sz w:val="18"/>
          <w:szCs w:val="18"/>
        </w:rPr>
        <w:t>These results are similar to the results related to gains from increased trade in goods in the 2008 Jensen and Tarr, when WTO accession for Kazakhstan was considered</w:t>
      </w:r>
      <w:r>
        <w:rPr>
          <w:rFonts w:cs="Times New Roman"/>
          <w:sz w:val="18"/>
          <w:szCs w:val="18"/>
        </w:rPr>
        <w:t xml:space="preserve">. </w:t>
      </w:r>
      <w:r w:rsidRPr="00234D23">
        <w:rPr>
          <w:rFonts w:cs="Times New Roman"/>
          <w:sz w:val="18"/>
          <w:szCs w:val="18"/>
        </w:rPr>
        <w:t>In the Jensen and Tarr study, the central results showed that liberalization in both goods and services could lead to welfare gains equal to 6.7 percent of household consumption, but the decomposition of those gains revealed that tariff liberalization in goods alone represented only 0.4 percent welfare gains.</w:t>
      </w:r>
      <w:r>
        <w:rPr>
          <w:rFonts w:cs="Times New Roman"/>
          <w:sz w:val="18"/>
          <w:szCs w:val="18"/>
        </w:rPr>
        <w:t xml:space="preserve"> </w:t>
      </w:r>
    </w:p>
    <w:p w:rsidR="001A5187" w:rsidRDefault="001A5187" w:rsidP="00CC4E3E">
      <w:pPr>
        <w:pStyle w:val="FootnoteText"/>
      </w:pPr>
    </w:p>
  </w:footnote>
  <w:footnote w:id="9">
    <w:p w:rsidR="001A5187" w:rsidRDefault="001A5187" w:rsidP="002077C4">
      <w:pPr>
        <w:spacing w:after="0" w:line="240" w:lineRule="auto"/>
      </w:pPr>
      <w:r>
        <w:rPr>
          <w:rStyle w:val="FootnoteReference"/>
        </w:rPr>
        <w:footnoteRef/>
      </w:r>
      <w:r>
        <w:t xml:space="preserve"> </w:t>
      </w:r>
      <w:r w:rsidRPr="00600AAD">
        <w:rPr>
          <w:rFonts w:cs="Times New Roman"/>
          <w:color w:val="000000" w:themeColor="text1"/>
          <w:sz w:val="18"/>
          <w:szCs w:val="18"/>
        </w:rPr>
        <w:t>The model is such that vehicles are imported to KAZ, and then are “integrated” into the economy using the Armington aggregate import function (where imports are combined with domestic varieties, to create a single “vehicle”), then since Russia’s trade policy is assumed to be constant here, vehicles are re-exported to Russia.</w:t>
      </w:r>
      <w:r>
        <w:rPr>
          <w:rFonts w:cs="Times New Roman"/>
          <w:color w:val="000000" w:themeColor="text1"/>
          <w:sz w:val="18"/>
          <w:szCs w:val="18"/>
        </w:rPr>
        <w:t xml:space="preserve"> </w:t>
      </w:r>
      <w:r w:rsidRPr="00600AAD">
        <w:rPr>
          <w:rFonts w:cs="Times New Roman"/>
          <w:color w:val="000000" w:themeColor="text1"/>
          <w:sz w:val="18"/>
          <w:szCs w:val="18"/>
        </w:rPr>
        <w:t>This type of effects would not occur if the model used a multi-regional trade model – where production and trade are modeled independently for each country.</w:t>
      </w:r>
      <w:r>
        <w:rPr>
          <w:rFonts w:cs="Times New Roman"/>
          <w:color w:val="000000" w:themeColor="text1"/>
          <w:sz w:val="18"/>
          <w:szCs w:val="18"/>
        </w:rPr>
        <w:t xml:space="preserve"> </w:t>
      </w:r>
      <w:r w:rsidRPr="00600AAD">
        <w:rPr>
          <w:rFonts w:cs="Times New Roman"/>
          <w:color w:val="000000" w:themeColor="text1"/>
          <w:sz w:val="18"/>
          <w:szCs w:val="18"/>
        </w:rPr>
        <w:t>In that case, since Russia is also reducing its tariff barriers, then those cars should be coming directly from the EU or ROW, and not indirectly through Kazakhstan.</w:t>
      </w:r>
      <w:r>
        <w:rPr>
          <w:rFonts w:cs="Times New Roman"/>
          <w:color w:val="000000" w:themeColor="text1"/>
          <w:sz w:val="18"/>
          <w:szCs w:val="18"/>
        </w:rPr>
        <w:t xml:space="preserve"> </w:t>
      </w:r>
      <w:r w:rsidRPr="00600AAD">
        <w:rPr>
          <w:rFonts w:cs="Times New Roman"/>
          <w:color w:val="000000" w:themeColor="text1"/>
          <w:sz w:val="18"/>
          <w:szCs w:val="18"/>
        </w:rPr>
        <w:t>But since the model is a single-economy model, and Russia’s trade policy is held constant, this effect is created.</w:t>
      </w:r>
    </w:p>
  </w:footnote>
  <w:footnote w:id="10">
    <w:p w:rsidR="001A5187" w:rsidRPr="00C22BC8" w:rsidRDefault="001A5187" w:rsidP="00FD5DBC">
      <w:pPr>
        <w:pStyle w:val="ListParagraph"/>
        <w:tabs>
          <w:tab w:val="left" w:pos="720"/>
        </w:tabs>
        <w:spacing w:line="240" w:lineRule="auto"/>
        <w:ind w:left="0"/>
        <w:contextualSpacing w:val="0"/>
      </w:pPr>
      <w:r w:rsidRPr="00880F6A">
        <w:rPr>
          <w:rStyle w:val="FootnoteReference"/>
          <w:sz w:val="20"/>
          <w:szCs w:val="20"/>
        </w:rPr>
        <w:footnoteRef/>
      </w:r>
      <w:r>
        <w:t xml:space="preserve"> </w:t>
      </w:r>
      <w:r w:rsidRPr="00F44F2C">
        <w:rPr>
          <w:rFonts w:cs="Times New Roman"/>
          <w:sz w:val="20"/>
          <w:szCs w:val="20"/>
        </w:rPr>
        <w:t>Markusen (1989) argues that trade liberalization of intermediates raises technical productivity at the final good production stage, if the final and intermediates sectors have non-constant returns to scale. This is because of the complementarities of domestic and foreign specialized inputs and because imports allow a quicker process of technological upgrade.</w:t>
      </w:r>
      <w:r>
        <w:rPr>
          <w:rFonts w:cs="Times New Roman"/>
          <w:sz w:val="20"/>
          <w:szCs w:val="20"/>
        </w:rPr>
        <w:t xml:space="preserve"> </w:t>
      </w:r>
      <w:r w:rsidRPr="00F44F2C">
        <w:rPr>
          <w:rFonts w:cs="Times New Roman"/>
          <w:sz w:val="20"/>
          <w:szCs w:val="20"/>
        </w:rPr>
        <w:t>With free trade in inputs</w:t>
      </w:r>
      <w:r>
        <w:rPr>
          <w:rFonts w:cs="Times New Roman"/>
          <w:sz w:val="20"/>
          <w:szCs w:val="20"/>
        </w:rPr>
        <w:t xml:space="preserve"> </w:t>
      </w:r>
      <w:r w:rsidRPr="00F44F2C">
        <w:rPr>
          <w:rFonts w:cs="Times New Roman"/>
          <w:sz w:val="20"/>
          <w:szCs w:val="20"/>
        </w:rPr>
        <w:t>“each country essentially confers a positive technological externality on its trading partner” (Markusen, 1989). Feenstra et al. (1999) show that an increase in input variety is positively correlated with total factor productivity (TFP).</w:t>
      </w:r>
      <w:r>
        <w:rPr>
          <w:rFonts w:cs="Times New Roman"/>
          <w:sz w:val="22"/>
        </w:rPr>
        <w:t xml:space="preserve"> </w:t>
      </w:r>
    </w:p>
    <w:p w:rsidR="001A5187" w:rsidRDefault="001A5187" w:rsidP="00FD5DBC">
      <w:pPr>
        <w:pStyle w:val="FootnoteText"/>
      </w:pPr>
    </w:p>
  </w:footnote>
  <w:footnote w:id="11">
    <w:p w:rsidR="001A5187" w:rsidRPr="00F44F2C" w:rsidRDefault="001A5187">
      <w:pPr>
        <w:pStyle w:val="FootnoteText"/>
        <w:rPr>
          <w:rFonts w:ascii="Times New Roman" w:hAnsi="Times New Roman"/>
        </w:rPr>
      </w:pPr>
      <w:r w:rsidRPr="00F44F2C">
        <w:rPr>
          <w:rStyle w:val="FootnoteReference"/>
          <w:rFonts w:ascii="Times New Roman" w:hAnsi="Times New Roman"/>
        </w:rPr>
        <w:footnoteRef/>
      </w:r>
      <w:r w:rsidRPr="00F44F2C">
        <w:rPr>
          <w:rFonts w:ascii="Times New Roman" w:hAnsi="Times New Roman"/>
        </w:rPr>
        <w:t xml:space="preserve"> The level of imports used for this table is the benchmark 2009 import level. Populating the CGE model with up to 2012 would provide a more accurate assessment of the impact of WTO accession. </w:t>
      </w:r>
    </w:p>
  </w:footnote>
  <w:footnote w:id="12">
    <w:p w:rsidR="001A5187" w:rsidRPr="00AB676E" w:rsidRDefault="001A5187" w:rsidP="006A6079">
      <w:pPr>
        <w:autoSpaceDE w:val="0"/>
        <w:autoSpaceDN w:val="0"/>
        <w:adjustRightInd w:val="0"/>
        <w:spacing w:after="0" w:line="240" w:lineRule="auto"/>
        <w:jc w:val="left"/>
        <w:rPr>
          <w:sz w:val="20"/>
          <w:szCs w:val="20"/>
        </w:rPr>
      </w:pPr>
      <w:r>
        <w:rPr>
          <w:rStyle w:val="FootnoteReference"/>
        </w:rPr>
        <w:footnoteRef/>
      </w:r>
      <w:r>
        <w:t xml:space="preserve"> </w:t>
      </w:r>
      <w:r w:rsidRPr="00AB676E">
        <w:rPr>
          <w:rFonts w:eastAsiaTheme="minorHAnsi" w:cs="Times New Roman"/>
          <w:bCs/>
          <w:iCs/>
          <w:sz w:val="20"/>
          <w:szCs w:val="20"/>
        </w:rPr>
        <w:t>Centre for International Economics.</w:t>
      </w:r>
      <w:r>
        <w:rPr>
          <w:rFonts w:eastAsiaTheme="minorHAnsi" w:cs="Times New Roman"/>
          <w:bCs/>
          <w:iCs/>
          <w:sz w:val="20"/>
          <w:szCs w:val="20"/>
        </w:rPr>
        <w:t xml:space="preserve"> </w:t>
      </w:r>
      <w:r w:rsidRPr="00AB676E">
        <w:rPr>
          <w:rFonts w:eastAsiaTheme="minorHAnsi" w:cs="Times New Roman"/>
          <w:bCs/>
          <w:iCs/>
          <w:sz w:val="20"/>
          <w:szCs w:val="20"/>
        </w:rPr>
        <w:t>2000</w:t>
      </w:r>
      <w:r w:rsidRPr="00AB676E">
        <w:rPr>
          <w:rFonts w:eastAsiaTheme="minorHAnsi" w:cs="Times New Roman"/>
          <w:b/>
          <w:bCs/>
          <w:iCs/>
          <w:sz w:val="20"/>
          <w:szCs w:val="20"/>
        </w:rPr>
        <w:t xml:space="preserve"> </w:t>
      </w:r>
      <w:r w:rsidRPr="00AB676E">
        <w:rPr>
          <w:rFonts w:eastAsiaTheme="minorHAnsi" w:cs="Times New Roman"/>
          <w:bCs/>
          <w:iCs/>
          <w:sz w:val="20"/>
          <w:szCs w:val="20"/>
        </w:rPr>
        <w:t>Economic benefits from an AFTA-CER free trade area.</w:t>
      </w:r>
      <w:r>
        <w:rPr>
          <w:rFonts w:eastAsiaTheme="minorHAnsi" w:cs="Times New Roman"/>
          <w:bCs/>
          <w:iCs/>
          <w:sz w:val="20"/>
          <w:szCs w:val="20"/>
        </w:rPr>
        <w:t xml:space="preserve"> </w:t>
      </w:r>
      <w:r w:rsidRPr="00AB676E">
        <w:rPr>
          <w:sz w:val="20"/>
          <w:szCs w:val="20"/>
        </w:rPr>
        <w:t>Government of</w:t>
      </w:r>
      <w:r>
        <w:rPr>
          <w:sz w:val="20"/>
          <w:szCs w:val="20"/>
        </w:rPr>
        <w:t xml:space="preserve"> </w:t>
      </w:r>
      <w:r w:rsidRPr="00AB676E">
        <w:rPr>
          <w:sz w:val="20"/>
          <w:szCs w:val="20"/>
        </w:rPr>
        <w:t>Australia</w:t>
      </w:r>
      <w:r w:rsidRPr="00AB676E">
        <w:rPr>
          <w:rFonts w:eastAsiaTheme="minorHAnsi" w:cs="Times New Roman"/>
          <w:bCs/>
          <w:iCs/>
          <w:sz w:val="20"/>
          <w:szCs w:val="20"/>
        </w:rPr>
        <w:t>.</w:t>
      </w:r>
      <w:r>
        <w:rPr>
          <w:rFonts w:eastAsiaTheme="minorHAnsi" w:cs="Times New Roman"/>
          <w:bCs/>
          <w:iCs/>
          <w:sz w:val="20"/>
          <w:szCs w:val="20"/>
        </w:rPr>
        <w:t xml:space="preserve"> </w:t>
      </w:r>
      <w:r w:rsidRPr="00AB676E">
        <w:rPr>
          <w:rFonts w:cs="Times New Roman"/>
          <w:sz w:val="20"/>
          <w:szCs w:val="20"/>
        </w:rPr>
        <w:t>http://www.dfat.gov.au/fta/aanzfta/economic-benefits-aftacer-cie-2000.pdf.</w:t>
      </w:r>
    </w:p>
  </w:footnote>
  <w:footnote w:id="13">
    <w:p w:rsidR="001A5187" w:rsidRPr="00AB676E" w:rsidRDefault="001A5187" w:rsidP="006A6079">
      <w:pPr>
        <w:autoSpaceDE w:val="0"/>
        <w:autoSpaceDN w:val="0"/>
        <w:adjustRightInd w:val="0"/>
        <w:spacing w:after="0" w:line="240" w:lineRule="auto"/>
        <w:jc w:val="left"/>
        <w:rPr>
          <w:sz w:val="20"/>
          <w:szCs w:val="20"/>
        </w:rPr>
      </w:pPr>
      <w:r w:rsidRPr="00AB676E">
        <w:rPr>
          <w:rStyle w:val="FootnoteReference"/>
          <w:sz w:val="20"/>
          <w:szCs w:val="20"/>
        </w:rPr>
        <w:footnoteRef/>
      </w:r>
      <w:r w:rsidRPr="00AB676E">
        <w:rPr>
          <w:sz w:val="20"/>
          <w:szCs w:val="20"/>
        </w:rPr>
        <w:t xml:space="preserve"> Copenhagen</w:t>
      </w:r>
      <w:r>
        <w:rPr>
          <w:sz w:val="20"/>
          <w:szCs w:val="20"/>
        </w:rPr>
        <w:t xml:space="preserve"> </w:t>
      </w:r>
      <w:r w:rsidRPr="00AB676E">
        <w:rPr>
          <w:sz w:val="20"/>
          <w:szCs w:val="20"/>
        </w:rPr>
        <w:t>Economics. 2011.</w:t>
      </w:r>
      <w:r>
        <w:rPr>
          <w:sz w:val="20"/>
          <w:szCs w:val="20"/>
        </w:rPr>
        <w:t xml:space="preserve"> </w:t>
      </w:r>
      <w:r w:rsidRPr="00AB676E">
        <w:rPr>
          <w:sz w:val="20"/>
          <w:szCs w:val="20"/>
        </w:rPr>
        <w:t>Ex-post assessment of six EU free trade agreements – an econometric assessment of their impact on trade.</w:t>
      </w:r>
      <w:r>
        <w:rPr>
          <w:sz w:val="20"/>
          <w:szCs w:val="20"/>
        </w:rPr>
        <w:t xml:space="preserve"> </w:t>
      </w:r>
      <w:r w:rsidRPr="00AB676E">
        <w:rPr>
          <w:sz w:val="20"/>
          <w:szCs w:val="20"/>
        </w:rPr>
        <w:t>http://trade.ec.europa.eu/doclib/docs/2011/may/tradoc_147905.pdf.</w:t>
      </w:r>
    </w:p>
  </w:footnote>
  <w:footnote w:id="14">
    <w:p w:rsidR="001A5187" w:rsidRDefault="001A5187" w:rsidP="00EE6DD0">
      <w:pPr>
        <w:pStyle w:val="ListParagraph"/>
        <w:tabs>
          <w:tab w:val="left" w:pos="720"/>
        </w:tabs>
        <w:spacing w:after="0" w:line="240" w:lineRule="auto"/>
        <w:ind w:left="0"/>
        <w:contextualSpacing w:val="0"/>
      </w:pPr>
      <w:r w:rsidRPr="00AB676E">
        <w:rPr>
          <w:rStyle w:val="FootnoteReference"/>
          <w:sz w:val="20"/>
          <w:szCs w:val="20"/>
        </w:rPr>
        <w:footnoteRef/>
      </w:r>
      <w:r w:rsidRPr="00AB676E">
        <w:rPr>
          <w:sz w:val="20"/>
          <w:szCs w:val="20"/>
        </w:rPr>
        <w:t xml:space="preserve"> </w:t>
      </w:r>
      <w:r w:rsidRPr="00AB676E">
        <w:rPr>
          <w:rFonts w:cs="Times New Roman"/>
          <w:sz w:val="20"/>
          <w:szCs w:val="20"/>
        </w:rPr>
        <w:t>An FTA is not always based on economic principles.</w:t>
      </w:r>
      <w:r>
        <w:rPr>
          <w:rFonts w:cs="Times New Roman"/>
          <w:sz w:val="20"/>
          <w:szCs w:val="20"/>
        </w:rPr>
        <w:t xml:space="preserve"> </w:t>
      </w:r>
      <w:r w:rsidRPr="00AB676E">
        <w:rPr>
          <w:rFonts w:cs="Times New Roman"/>
          <w:sz w:val="20"/>
          <w:szCs w:val="20"/>
        </w:rPr>
        <w:t>It can be driven by political and security consideration, and if advanced enough are perceived by members and non -members as a defense blanket.</w:t>
      </w:r>
      <w:r>
        <w:rPr>
          <w:rFonts w:cs="Times New Roman"/>
          <w:sz w:val="20"/>
          <w:szCs w:val="20"/>
        </w:rPr>
        <w:t xml:space="preserve"> </w:t>
      </w:r>
      <w:r w:rsidRPr="00AB676E">
        <w:rPr>
          <w:rFonts w:cs="Times New Roman"/>
          <w:sz w:val="20"/>
          <w:szCs w:val="20"/>
        </w:rPr>
        <w:t>The European Union is one such example.</w:t>
      </w:r>
      <w:r>
        <w:rPr>
          <w:rFonts w:cs="Times New Roman"/>
          <w:sz w:val="20"/>
          <w:szCs w:val="20"/>
        </w:rPr>
        <w:t xml:space="preserve"> </w:t>
      </w:r>
      <w:r w:rsidRPr="00AB676E">
        <w:rPr>
          <w:rFonts w:cs="Times New Roman"/>
          <w:sz w:val="20"/>
          <w:szCs w:val="20"/>
        </w:rPr>
        <w:t>The agreement can be more based on foreign affairs agreement, looked at from a “friendship” agreement, with no real drive to implement its economic provisions. The non-economic reasons may have enough policy appeal that they override economic concerns.</w:t>
      </w:r>
    </w:p>
  </w:footnote>
  <w:footnote w:id="15">
    <w:p w:rsidR="001A5187" w:rsidRPr="00EE6DD0" w:rsidRDefault="001A5187" w:rsidP="00665055">
      <w:pPr>
        <w:pStyle w:val="FootnoteText"/>
        <w:rPr>
          <w:rFonts w:ascii="Times New Roman" w:hAnsi="Times New Roman"/>
        </w:rPr>
      </w:pPr>
      <w:r>
        <w:rPr>
          <w:rStyle w:val="FootnoteReference"/>
        </w:rPr>
        <w:footnoteRef/>
      </w:r>
      <w:r>
        <w:t xml:space="preserve"> “</w:t>
      </w:r>
      <w:r w:rsidRPr="00EE6DD0">
        <w:rPr>
          <w:rFonts w:ascii="Times New Roman" w:hAnsi="Times New Roman"/>
        </w:rPr>
        <w:t xml:space="preserve">Methodology forImpact Assessment of Free Trade Agreements” Michael G. Plummer, David Cheong, and Shintaro Hamanaka, ADB, 2010 and Sequencing Regionalism: Theory, European Practice, and Lessons for Asia, Richard E. Baldwin, ADB, June 2011. </w:t>
      </w:r>
    </w:p>
  </w:footnote>
  <w:footnote w:id="16">
    <w:p w:rsidR="001A5187" w:rsidRPr="00EE6DD0" w:rsidRDefault="001A5187" w:rsidP="00B451C4">
      <w:pPr>
        <w:pStyle w:val="FootnoteText"/>
        <w:rPr>
          <w:rFonts w:ascii="Times New Roman" w:hAnsi="Times New Roman"/>
        </w:rPr>
      </w:pPr>
      <w:r w:rsidRPr="00EE6DD0">
        <w:rPr>
          <w:rStyle w:val="FootnoteReference"/>
          <w:rFonts w:ascii="Times New Roman" w:hAnsi="Times New Roman"/>
        </w:rPr>
        <w:footnoteRef/>
      </w:r>
      <w:r w:rsidRPr="00EE6DD0">
        <w:rPr>
          <w:rFonts w:ascii="Times New Roman" w:hAnsi="Times New Roman"/>
        </w:rPr>
        <w:t xml:space="preserve"> Trade Sustainability Impact Assessment for the FTA between the EU and the Republic of India.(European Commission – DG Trade), 2009. </w:t>
      </w:r>
    </w:p>
  </w:footnote>
  <w:footnote w:id="17">
    <w:p w:rsidR="001A5187" w:rsidRPr="00AB676E" w:rsidRDefault="001A5187" w:rsidP="00B451C4">
      <w:pPr>
        <w:pStyle w:val="FootnoteText"/>
        <w:rPr>
          <w:rFonts w:ascii="Times New Roman" w:hAnsi="Times New Roman"/>
        </w:rPr>
      </w:pPr>
      <w:r w:rsidRPr="00EE6DD0">
        <w:rPr>
          <w:rStyle w:val="FootnoteReference"/>
          <w:rFonts w:ascii="Times New Roman" w:hAnsi="Times New Roman"/>
        </w:rPr>
        <w:footnoteRef/>
      </w:r>
      <w:r w:rsidRPr="00EE6DD0">
        <w:rPr>
          <w:rFonts w:ascii="Times New Roman" w:hAnsi="Times New Roman"/>
        </w:rPr>
        <w:t xml:space="preserve"> </w:t>
      </w:r>
      <w:hyperlink r:id="rId3" w:history="1">
        <w:r w:rsidRPr="00EE6DD0">
          <w:rPr>
            <w:rFonts w:ascii="Times New Roman" w:hAnsi="Times New Roman"/>
            <w:u w:val="single"/>
          </w:rPr>
          <w:t>http://trade.ec.europa.eu/doclib/docs/2012/november/tradoc_150105.pdf</w:t>
        </w:r>
      </w:hyperlink>
      <w:r w:rsidRPr="00EE6DD0">
        <w:rPr>
          <w:rFonts w:ascii="Times New Roman" w:hAnsi="Times New Roman"/>
          <w:u w:val="single"/>
        </w:rPr>
        <w:t>.</w:t>
      </w:r>
      <w:r>
        <w:rPr>
          <w:rFonts w:ascii="Times New Roman" w:hAnsi="Times New Roman"/>
          <w:u w:val="single"/>
        </w:rPr>
        <w:t xml:space="preserve"> </w:t>
      </w:r>
    </w:p>
  </w:footnote>
  <w:footnote w:id="18">
    <w:p w:rsidR="001A5187" w:rsidRPr="00AB676E" w:rsidRDefault="001A5187" w:rsidP="00B451C4">
      <w:pPr>
        <w:pStyle w:val="FootnoteText"/>
        <w:rPr>
          <w:rFonts w:ascii="Times New Roman" w:hAnsi="Times New Roman"/>
        </w:rPr>
      </w:pPr>
      <w:r w:rsidRPr="00AB676E">
        <w:rPr>
          <w:rStyle w:val="FootnoteReference"/>
          <w:rFonts w:ascii="Times New Roman" w:hAnsi="Times New Roman"/>
        </w:rPr>
        <w:footnoteRef/>
      </w:r>
      <w:r w:rsidRPr="00AB676E">
        <w:rPr>
          <w:rFonts w:ascii="Times New Roman" w:hAnsi="Times New Roman"/>
        </w:rPr>
        <w:t xml:space="preserve"> The bilateral complementarity index between two countries </w:t>
      </w:r>
      <w:r w:rsidRPr="00AB676E">
        <w:rPr>
          <w:rFonts w:ascii="Times New Roman" w:hAnsi="Times New Roman"/>
          <w:i/>
        </w:rPr>
        <w:t>j</w:t>
      </w:r>
      <w:r w:rsidRPr="00AB676E">
        <w:rPr>
          <w:rFonts w:ascii="Times New Roman" w:hAnsi="Times New Roman"/>
        </w:rPr>
        <w:t xml:space="preserve"> and </w:t>
      </w:r>
      <w:r w:rsidRPr="00AB676E">
        <w:rPr>
          <w:rFonts w:ascii="Times New Roman" w:hAnsi="Times New Roman"/>
          <w:i/>
        </w:rPr>
        <w:t>k</w:t>
      </w:r>
      <w:r w:rsidRPr="00AB676E">
        <w:rPr>
          <w:rFonts w:ascii="Times New Roman" w:hAnsi="Times New Roman"/>
        </w:rPr>
        <w:t xml:space="preserve"> can be defined as: </w:t>
      </w:r>
      <m:oMath>
        <m:sSubSup>
          <m:sSubSupPr>
            <m:ctrlPr>
              <w:rPr>
                <w:rFonts w:ascii="Cambria Math" w:hAnsi="Cambria Math"/>
                <w:i/>
              </w:rPr>
            </m:ctrlPr>
          </m:sSubSupPr>
          <m:e>
            <m:r>
              <w:rPr>
                <w:rFonts w:ascii="Cambria Math" w:hAnsi="Cambria Math"/>
              </w:rPr>
              <m:t>C</m:t>
            </m:r>
          </m:e>
          <m:sub>
            <m:r>
              <w:rPr>
                <w:rFonts w:ascii="Cambria Math" w:hAnsi="Cambria Math"/>
              </w:rPr>
              <m:t>jk</m:t>
            </m:r>
          </m:sub>
          <m:sup/>
        </m:sSubSup>
        <m:r>
          <w:rPr>
            <w:rFonts w:ascii="Cambria Math" w:hAnsi="Cambria Math"/>
          </w:rPr>
          <m:t>=100-</m:t>
        </m:r>
        <m:nary>
          <m:naryPr>
            <m:chr m:val="∑"/>
            <m:limLoc m:val="undOvr"/>
            <m:subHide m:val="1"/>
            <m:supHide m:val="1"/>
            <m:ctrlPr>
              <w:rPr>
                <w:rFonts w:ascii="Cambria Math" w:hAnsi="Cambria Math"/>
                <w:i/>
              </w:rPr>
            </m:ctrlPr>
          </m:naryPr>
          <m:sub/>
          <m:sup/>
          <m:e>
            <m:r>
              <w:rPr>
                <w:rFonts w:ascii="Cambria Math" w:hAnsi="Cambria Math"/>
              </w:rPr>
              <m:t>i</m:t>
            </m:r>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e>
                </m:d>
                <m:r>
                  <w:rPr>
                    <w:rFonts w:ascii="Cambria Math" w:hAnsi="Cambria Math"/>
                  </w:rPr>
                  <m:t>÷2</m:t>
                </m:r>
              </m:e>
            </m:d>
            <m:r>
              <w:rPr>
                <w:rFonts w:ascii="Cambria Math" w:hAnsi="Cambria Math"/>
              </w:rPr>
              <m:t xml:space="preserve"> </m:t>
            </m:r>
          </m:e>
        </m:nary>
      </m:oMath>
      <w:r w:rsidRPr="00AB676E">
        <w:rPr>
          <w:rFonts w:ascii="Times New Roman" w:hAnsi="Times New Roman"/>
        </w:rPr>
        <w:t xml:space="preserve">where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AB676E">
        <w:rPr>
          <w:rFonts w:ascii="Times New Roman" w:hAnsi="Times New Roman"/>
        </w:rPr>
        <w:t xml:space="preserve">represents the share of good </w:t>
      </w:r>
      <w:r w:rsidRPr="00AB676E">
        <w:rPr>
          <w:rFonts w:ascii="Times New Roman" w:hAnsi="Times New Roman"/>
          <w:i/>
        </w:rPr>
        <w:t xml:space="preserve">i </w:t>
      </w:r>
      <w:r w:rsidRPr="00AB676E">
        <w:rPr>
          <w:rFonts w:ascii="Times New Roman" w:hAnsi="Times New Roman"/>
        </w:rPr>
        <w:t xml:space="preserve">in total exports from country </w:t>
      </w:r>
      <w:r w:rsidRPr="00AB676E">
        <w:rPr>
          <w:rFonts w:ascii="Times New Roman" w:hAnsi="Times New Roman"/>
          <w:i/>
        </w:rPr>
        <w:t xml:space="preserve">j </w:t>
      </w:r>
      <w:r w:rsidRPr="00AB676E">
        <w:rPr>
          <w:rFonts w:ascii="Times New Roman" w:hAnsi="Times New Roman"/>
        </w:rPr>
        <w:t xml:space="preserve">and </w:t>
      </w:r>
      <m:oMath>
        <m:sSub>
          <m:sSubPr>
            <m:ctrlPr>
              <w:rPr>
                <w:rFonts w:ascii="Cambria Math" w:hAnsi="Cambria Math"/>
                <w:i/>
              </w:rPr>
            </m:ctrlPr>
          </m:sSubPr>
          <m:e>
            <m:r>
              <w:rPr>
                <w:rFonts w:ascii="Cambria Math" w:hAnsi="Cambria Math"/>
              </w:rPr>
              <m:t>M</m:t>
            </m:r>
          </m:e>
          <m:sub>
            <m:r>
              <w:rPr>
                <w:rFonts w:ascii="Cambria Math" w:hAnsi="Cambria Math"/>
              </w:rPr>
              <m:t>ik</m:t>
            </m:r>
          </m:sub>
        </m:sSub>
      </m:oMath>
      <w:r w:rsidRPr="00AB676E">
        <w:rPr>
          <w:rFonts w:ascii="Times New Roman" w:hAnsi="Times New Roman"/>
        </w:rPr>
        <w:t xml:space="preserve"> represents the share of good </w:t>
      </w:r>
      <w:r w:rsidRPr="00AB676E">
        <w:rPr>
          <w:rFonts w:ascii="Times New Roman" w:hAnsi="Times New Roman"/>
          <w:i/>
        </w:rPr>
        <w:t xml:space="preserve">i </w:t>
      </w:r>
      <w:r w:rsidRPr="00AB676E">
        <w:rPr>
          <w:rFonts w:ascii="Times New Roman" w:hAnsi="Times New Roman"/>
        </w:rPr>
        <w:t xml:space="preserve">in total imports to country </w:t>
      </w:r>
      <w:r w:rsidRPr="00AB676E">
        <w:rPr>
          <w:rFonts w:ascii="Times New Roman" w:hAnsi="Times New Roman"/>
          <w:i/>
        </w:rPr>
        <w:t>k</w:t>
      </w:r>
      <w:r w:rsidRPr="00AB676E">
        <w:rPr>
          <w:rFonts w:ascii="Times New Roman" w:hAnsi="Times New Roman"/>
        </w:rPr>
        <w:t>. The index is a measure of the similarity between the export basket of one country and the import basket of another. The value of the index ranges from zero to one hundred, representing no complementarity and a perfect match, respectively.</w:t>
      </w:r>
      <w:r>
        <w:rPr>
          <w:rFonts w:ascii="Times New Roman" w:hAnsi="Times New Roman"/>
        </w:rPr>
        <w:t xml:space="preserve"> </w:t>
      </w:r>
      <w:r w:rsidRPr="00AB676E">
        <w:rPr>
          <w:rFonts w:ascii="Times New Roman" w:hAnsi="Times New Roman"/>
        </w:rPr>
        <w:t>The exercise can be undertaken at a more detailed product line analysis for pairs of countries.</w:t>
      </w:r>
    </w:p>
  </w:footnote>
  <w:footnote w:id="19">
    <w:p w:rsidR="001A5187" w:rsidRPr="00F44F2C" w:rsidRDefault="001A5187">
      <w:pPr>
        <w:pStyle w:val="FootnoteText"/>
        <w:rPr>
          <w:rFonts w:ascii="Times New Roman" w:hAnsi="Times New Roman"/>
        </w:rPr>
      </w:pPr>
      <w:r w:rsidRPr="00F44F2C">
        <w:rPr>
          <w:rStyle w:val="FootnoteReference"/>
          <w:rFonts w:ascii="Times New Roman" w:hAnsi="Times New Roman"/>
        </w:rPr>
        <w:footnoteRef/>
      </w:r>
      <w:r>
        <w:rPr>
          <w:rFonts w:ascii="Times New Roman" w:hAnsi="Times New Roman"/>
        </w:rPr>
        <w:t xml:space="preserve"> It</w:t>
      </w:r>
      <w:r w:rsidRPr="00F44F2C">
        <w:rPr>
          <w:rFonts w:ascii="Times New Roman" w:hAnsi="Times New Roman"/>
          <w:color w:val="000000"/>
        </w:rPr>
        <w:t xml:space="preserve"> is recommended that FTAs not use the typical value added approach for d</w:t>
      </w:r>
      <w:r>
        <w:rPr>
          <w:rFonts w:ascii="Times New Roman" w:hAnsi="Times New Roman"/>
          <w:color w:val="000000"/>
        </w:rPr>
        <w:t xml:space="preserve">etermining tariff and taxes on </w:t>
      </w:r>
      <w:r w:rsidRPr="00F44F2C">
        <w:rPr>
          <w:rFonts w:ascii="Times New Roman" w:hAnsi="Times New Roman"/>
          <w:color w:val="000000"/>
        </w:rPr>
        <w:t>a product.</w:t>
      </w:r>
      <w:r>
        <w:rPr>
          <w:rFonts w:ascii="Times New Roman" w:hAnsi="Times New Roman"/>
          <w:color w:val="000000"/>
        </w:rPr>
        <w:t xml:space="preserve"> </w:t>
      </w:r>
      <w:r w:rsidRPr="00F44F2C">
        <w:rPr>
          <w:rFonts w:ascii="Times New Roman" w:hAnsi="Times New Roman"/>
          <w:color w:val="000000"/>
        </w:rPr>
        <w:t>The recommended approach is based on the product having changed enough to have a</w:t>
      </w:r>
      <w:r>
        <w:rPr>
          <w:rFonts w:ascii="Times New Roman" w:hAnsi="Times New Roman"/>
          <w:color w:val="000000"/>
        </w:rPr>
        <w:t xml:space="preserve"> different</w:t>
      </w:r>
      <w:r w:rsidRPr="00F44F2C">
        <w:rPr>
          <w:rFonts w:ascii="Times New Roman" w:hAnsi="Times New Roman"/>
          <w:color w:val="000000"/>
        </w:rPr>
        <w:t xml:space="preserve"> tariff heading.</w:t>
      </w:r>
      <w:r>
        <w:rPr>
          <w:rFonts w:ascii="Times New Roman" w:hAnsi="Times New Roman"/>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7" w:rsidRDefault="001A5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76CF"/>
    <w:multiLevelType w:val="hybridMultilevel"/>
    <w:tmpl w:val="73D8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3CEE"/>
    <w:multiLevelType w:val="hybridMultilevel"/>
    <w:tmpl w:val="FA7AE638"/>
    <w:lvl w:ilvl="0" w:tplc="AEEAF7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63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764A64B6">
      <w:start w:val="1"/>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AE353C"/>
    <w:multiLevelType w:val="hybridMultilevel"/>
    <w:tmpl w:val="837457A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008804A">
      <w:start w:val="1"/>
      <w:numFmt w:val="upperRoman"/>
      <w:lvlText w:val="%4."/>
      <w:lvlJc w:val="left"/>
      <w:pPr>
        <w:ind w:left="3600" w:hanging="72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1596A"/>
    <w:multiLevelType w:val="hybridMultilevel"/>
    <w:tmpl w:val="08921DE2"/>
    <w:lvl w:ilvl="0" w:tplc="04090001">
      <w:start w:val="1"/>
      <w:numFmt w:val="bullet"/>
      <w:lvlText w:val=""/>
      <w:lvlJc w:val="left"/>
      <w:pPr>
        <w:ind w:left="1080" w:hanging="360"/>
      </w:pPr>
      <w:rPr>
        <w:rFonts w:ascii="Symbol" w:hAnsi="Symbol" w:hint="default"/>
        <w:b w:val="0"/>
        <w:i w:val="0"/>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75EAE"/>
    <w:multiLevelType w:val="hybridMultilevel"/>
    <w:tmpl w:val="E4B0EF68"/>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5">
    <w:nsid w:val="1E623C5B"/>
    <w:multiLevelType w:val="hybridMultilevel"/>
    <w:tmpl w:val="80060DE0"/>
    <w:lvl w:ilvl="0" w:tplc="828A5DC0">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24B6E"/>
    <w:multiLevelType w:val="multilevel"/>
    <w:tmpl w:val="B616F890"/>
    <w:lvl w:ilvl="0">
      <w:start w:val="1"/>
      <w:numFmt w:val="upperRoman"/>
      <w:pStyle w:val="Heading1"/>
      <w:lvlText w:val="%1"/>
      <w:lvlJc w:val="left"/>
      <w:pPr>
        <w:tabs>
          <w:tab w:val="num" w:pos="6840"/>
        </w:tabs>
        <w:ind w:left="6480" w:firstLine="0"/>
      </w:pPr>
      <w:rPr>
        <w:rFonts w:ascii="Times New Roman Bold" w:hAnsi="Times New Roman Bold" w:hint="default"/>
        <w:b/>
        <w:i w:val="0"/>
        <w:color w:val="auto"/>
        <w:sz w:val="24"/>
      </w:rPr>
    </w:lvl>
    <w:lvl w:ilvl="1">
      <w:start w:val="1"/>
      <w:numFmt w:val="upperLetter"/>
      <w:lvlText w:val="%2."/>
      <w:lvlJc w:val="left"/>
      <w:pPr>
        <w:tabs>
          <w:tab w:val="num" w:pos="360"/>
        </w:tabs>
        <w:ind w:left="0" w:firstLine="0"/>
      </w:pPr>
      <w:rPr>
        <w:rFonts w:ascii="Times New Roman Bold" w:hAnsi="Times New Roman Bold"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162A2F"/>
    <w:multiLevelType w:val="hybridMultilevel"/>
    <w:tmpl w:val="F2C6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668D6"/>
    <w:multiLevelType w:val="multilevel"/>
    <w:tmpl w:val="F976A734"/>
    <w:lvl w:ilvl="0">
      <w:start w:val="1"/>
      <w:numFmt w:val="decimal"/>
      <w:lvlText w:val="2.%1"/>
      <w:lvlJc w:val="left"/>
      <w:pPr>
        <w:ind w:left="360" w:hanging="360"/>
      </w:pPr>
      <w:rPr>
        <w:rFonts w:ascii="Times New Roman" w:hAnsi="Times New Roman" w:cs="Times New Roman" w:hint="default"/>
        <w:b w:val="0"/>
        <w:i w:val="0"/>
        <w:strike w:val="0"/>
        <w:dstrike w:val="0"/>
        <w:color w:val="auto"/>
        <w:sz w:val="24"/>
        <w:szCs w:val="2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5D81648"/>
    <w:multiLevelType w:val="hybridMultilevel"/>
    <w:tmpl w:val="2BFEF916"/>
    <w:lvl w:ilvl="0" w:tplc="B3962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53B4A"/>
    <w:multiLevelType w:val="hybridMultilevel"/>
    <w:tmpl w:val="8EA0F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B97DC1"/>
    <w:multiLevelType w:val="hybridMultilevel"/>
    <w:tmpl w:val="74429DFC"/>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3">
      <w:start w:val="1"/>
      <w:numFmt w:val="bullet"/>
      <w:lvlText w:val="o"/>
      <w:lvlJc w:val="left"/>
      <w:pPr>
        <w:ind w:left="2664" w:hanging="360"/>
      </w:pPr>
      <w:rPr>
        <w:rFonts w:ascii="Courier New" w:hAnsi="Courier New" w:cs="Courier New"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31EB3BA2"/>
    <w:multiLevelType w:val="hybridMultilevel"/>
    <w:tmpl w:val="01DE1FC2"/>
    <w:lvl w:ilvl="0" w:tplc="CFFC7184">
      <w:start w:val="1"/>
      <w:numFmt w:val="decimal"/>
      <w:lvlText w:val="%1."/>
      <w:lvlJc w:val="left"/>
      <w:pPr>
        <w:ind w:left="720" w:hanging="360"/>
      </w:pPr>
      <w:rPr>
        <w:rFonts w:hint="default"/>
        <w:b w:val="0"/>
        <w:i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C26C5"/>
    <w:multiLevelType w:val="hybridMultilevel"/>
    <w:tmpl w:val="38D8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F6E84"/>
    <w:multiLevelType w:val="hybridMultilevel"/>
    <w:tmpl w:val="4D6C93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1FC90E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0066B"/>
    <w:multiLevelType w:val="hybridMultilevel"/>
    <w:tmpl w:val="B59E05C6"/>
    <w:lvl w:ilvl="0" w:tplc="BE3EF926">
      <w:start w:val="1"/>
      <w:numFmt w:val="upperRoman"/>
      <w:lvlText w:val="%1."/>
      <w:lvlJc w:val="left"/>
      <w:pPr>
        <w:ind w:left="1260" w:hanging="360"/>
      </w:pPr>
      <w:rPr>
        <w:rFonts w:hint="default"/>
      </w:rPr>
    </w:lvl>
    <w:lvl w:ilvl="1" w:tplc="EAC66670">
      <w:numFmt w:val="bullet"/>
      <w:lvlText w:val="•"/>
      <w:lvlJc w:val="left"/>
      <w:pPr>
        <w:ind w:left="1944" w:hanging="360"/>
      </w:pPr>
      <w:rPr>
        <w:rFonts w:ascii="Times New Roman" w:eastAsiaTheme="minorHAnsi" w:hAnsi="Times New Roman" w:cs="Times New Roman"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3C124407"/>
    <w:multiLevelType w:val="hybridMultilevel"/>
    <w:tmpl w:val="F440F50E"/>
    <w:lvl w:ilvl="0" w:tplc="EFD8DC1E">
      <w:start w:val="1"/>
      <w:numFmt w:val="upperRoman"/>
      <w:pStyle w:val="Heading2"/>
      <w:lvlText w:val="%1."/>
      <w:lvlJc w:val="left"/>
      <w:pPr>
        <w:ind w:left="2430" w:hanging="360"/>
      </w:pPr>
      <w:rPr>
        <w:rFonts w:hint="default"/>
        <w:b w:val="0"/>
        <w:i w:val="0"/>
        <w:sz w:val="22"/>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40E24FDB"/>
    <w:multiLevelType w:val="hybridMultilevel"/>
    <w:tmpl w:val="41909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A572B2"/>
    <w:multiLevelType w:val="hybridMultilevel"/>
    <w:tmpl w:val="BD9A460A"/>
    <w:lvl w:ilvl="0" w:tplc="4E7E965A">
      <w:start w:val="1"/>
      <w:numFmt w:val="decimal"/>
      <w:lvlText w:val="%1."/>
      <w:lvlJc w:val="left"/>
      <w:pPr>
        <w:ind w:left="360" w:hanging="360"/>
      </w:pPr>
      <w:rPr>
        <w:rFonts w:ascii="Times New Roman" w:hAnsi="Times New Roman" w:cs="Times New Roman" w:hint="default"/>
        <w:b w:val="0"/>
      </w:rPr>
    </w:lvl>
    <w:lvl w:ilvl="1" w:tplc="0409000F">
      <w:start w:val="1"/>
      <w:numFmt w:val="decimal"/>
      <w:lvlText w:val="%2."/>
      <w:lvlJc w:val="left"/>
      <w:pPr>
        <w:ind w:left="180" w:hanging="360"/>
      </w:pPr>
    </w:lvl>
    <w:lvl w:ilvl="2" w:tplc="04090019">
      <w:start w:val="1"/>
      <w:numFmt w:val="lowerLetter"/>
      <w:lvlText w:val="%3."/>
      <w:lvlJc w:val="lef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nsid w:val="62A76A40"/>
    <w:multiLevelType w:val="hybridMultilevel"/>
    <w:tmpl w:val="C046B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C00260"/>
    <w:multiLevelType w:val="hybridMultilevel"/>
    <w:tmpl w:val="8C4236C4"/>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6DCB47D6"/>
    <w:multiLevelType w:val="hybridMultilevel"/>
    <w:tmpl w:val="21E84654"/>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nsid w:val="7027680F"/>
    <w:multiLevelType w:val="hybridMultilevel"/>
    <w:tmpl w:val="A38236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442D5C"/>
    <w:multiLevelType w:val="hybridMultilevel"/>
    <w:tmpl w:val="7200FED4"/>
    <w:lvl w:ilvl="0" w:tplc="A67EA07E">
      <w:start w:val="1"/>
      <w:numFmt w:val="lowerRoman"/>
      <w:pStyle w:val="Heading3"/>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872BA9"/>
    <w:multiLevelType w:val="hybridMultilevel"/>
    <w:tmpl w:val="6CB6D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BC45CE"/>
    <w:multiLevelType w:val="hybridMultilevel"/>
    <w:tmpl w:val="2A288B02"/>
    <w:lvl w:ilvl="0" w:tplc="63148E82">
      <w:start w:val="1"/>
      <w:numFmt w:val="decimal"/>
      <w:lvlText w:val="%1."/>
      <w:lvlJc w:val="left"/>
      <w:pPr>
        <w:ind w:left="7470" w:hanging="360"/>
      </w:pPr>
      <w:rPr>
        <w:rFonts w:hint="default"/>
        <w:b w:val="0"/>
        <w:i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A03BB7"/>
    <w:multiLevelType w:val="hybridMultilevel"/>
    <w:tmpl w:val="4B988B6A"/>
    <w:lvl w:ilvl="0" w:tplc="F4529552">
      <w:start w:val="3"/>
      <w:numFmt w:val="lowerRoman"/>
      <w:lvlText w:val="%1."/>
      <w:lvlJc w:val="right"/>
      <w:pPr>
        <w:ind w:left="1620" w:hanging="18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693B9A"/>
    <w:multiLevelType w:val="hybridMultilevel"/>
    <w:tmpl w:val="9D8A4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15"/>
  </w:num>
  <w:num w:numId="4">
    <w:abstractNumId w:val="23"/>
  </w:num>
  <w:num w:numId="5">
    <w:abstractNumId w:val="1"/>
  </w:num>
  <w:num w:numId="6">
    <w:abstractNumId w:val="2"/>
  </w:num>
  <w:num w:numId="7">
    <w:abstractNumId w:val="26"/>
  </w:num>
  <w:num w:numId="8">
    <w:abstractNumId w:val="27"/>
  </w:num>
  <w:num w:numId="9">
    <w:abstractNumId w:val="0"/>
  </w:num>
  <w:num w:numId="10">
    <w:abstractNumId w:val="4"/>
  </w:num>
  <w:num w:numId="11">
    <w:abstractNumId w:val="8"/>
  </w:num>
  <w:num w:numId="12">
    <w:abstractNumId w:val="15"/>
  </w:num>
  <w:num w:numId="13">
    <w:abstractNumId w:val="12"/>
  </w:num>
  <w:num w:numId="14">
    <w:abstractNumId w:val="22"/>
  </w:num>
  <w:num w:numId="15">
    <w:abstractNumId w:val="13"/>
  </w:num>
  <w:num w:numId="16">
    <w:abstractNumId w:val="21"/>
  </w:num>
  <w:num w:numId="17">
    <w:abstractNumId w:val="10"/>
  </w:num>
  <w:num w:numId="18">
    <w:abstractNumId w:val="14"/>
  </w:num>
  <w:num w:numId="19">
    <w:abstractNumId w:val="20"/>
  </w:num>
  <w:num w:numId="20">
    <w:abstractNumId w:val="11"/>
  </w:num>
  <w:num w:numId="21">
    <w:abstractNumId w:val="5"/>
  </w:num>
  <w:num w:numId="22">
    <w:abstractNumId w:val="9"/>
  </w:num>
  <w:num w:numId="23">
    <w:abstractNumId w:val="15"/>
  </w:num>
  <w:num w:numId="24">
    <w:abstractNumId w:val="15"/>
  </w:num>
  <w:num w:numId="25">
    <w:abstractNumId w:val="24"/>
  </w:num>
  <w:num w:numId="26">
    <w:abstractNumId w:val="15"/>
  </w:num>
  <w:num w:numId="27">
    <w:abstractNumId w:val="15"/>
  </w:num>
  <w:num w:numId="28">
    <w:abstractNumId w:val="15"/>
  </w:num>
  <w:num w:numId="29">
    <w:abstractNumId w:val="16"/>
  </w:num>
  <w:num w:numId="30">
    <w:abstractNumId w:val="19"/>
  </w:num>
  <w:num w:numId="31">
    <w:abstractNumId w:val="17"/>
  </w:num>
  <w:num w:numId="32">
    <w:abstractNumId w:val="18"/>
  </w:num>
  <w:num w:numId="33">
    <w:abstractNumId w:val="7"/>
  </w:num>
  <w:num w:numId="34">
    <w:abstractNumId w:val="3"/>
  </w:num>
  <w:num w:numId="35">
    <w:abstractNumId w:val="16"/>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0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B2"/>
    <w:rsid w:val="000002D1"/>
    <w:rsid w:val="000007F2"/>
    <w:rsid w:val="0000091D"/>
    <w:rsid w:val="00000C87"/>
    <w:rsid w:val="000011E9"/>
    <w:rsid w:val="00001BF9"/>
    <w:rsid w:val="00001F2B"/>
    <w:rsid w:val="00002539"/>
    <w:rsid w:val="0000313C"/>
    <w:rsid w:val="00003F14"/>
    <w:rsid w:val="00004D2E"/>
    <w:rsid w:val="00005233"/>
    <w:rsid w:val="0000541E"/>
    <w:rsid w:val="000054BF"/>
    <w:rsid w:val="00005649"/>
    <w:rsid w:val="00005922"/>
    <w:rsid w:val="00005B17"/>
    <w:rsid w:val="00005EB1"/>
    <w:rsid w:val="00007023"/>
    <w:rsid w:val="00007691"/>
    <w:rsid w:val="0000774F"/>
    <w:rsid w:val="000078E4"/>
    <w:rsid w:val="00007D50"/>
    <w:rsid w:val="00010243"/>
    <w:rsid w:val="00010A5D"/>
    <w:rsid w:val="00010B33"/>
    <w:rsid w:val="00010C14"/>
    <w:rsid w:val="00010FCC"/>
    <w:rsid w:val="000119B4"/>
    <w:rsid w:val="00011C0A"/>
    <w:rsid w:val="00011EEA"/>
    <w:rsid w:val="000126EC"/>
    <w:rsid w:val="0001276F"/>
    <w:rsid w:val="000130EE"/>
    <w:rsid w:val="0001312F"/>
    <w:rsid w:val="0001314A"/>
    <w:rsid w:val="0001347A"/>
    <w:rsid w:val="000135A2"/>
    <w:rsid w:val="000137AC"/>
    <w:rsid w:val="00013EED"/>
    <w:rsid w:val="00014331"/>
    <w:rsid w:val="000144BD"/>
    <w:rsid w:val="00014E04"/>
    <w:rsid w:val="00015885"/>
    <w:rsid w:val="000159D4"/>
    <w:rsid w:val="0001667A"/>
    <w:rsid w:val="0001680B"/>
    <w:rsid w:val="000168FC"/>
    <w:rsid w:val="00016948"/>
    <w:rsid w:val="00016B65"/>
    <w:rsid w:val="00016D9D"/>
    <w:rsid w:val="00016E0C"/>
    <w:rsid w:val="00017235"/>
    <w:rsid w:val="000175E7"/>
    <w:rsid w:val="00017829"/>
    <w:rsid w:val="00017A9E"/>
    <w:rsid w:val="00017BB4"/>
    <w:rsid w:val="0002052F"/>
    <w:rsid w:val="00020559"/>
    <w:rsid w:val="000205A2"/>
    <w:rsid w:val="00020981"/>
    <w:rsid w:val="00020C5A"/>
    <w:rsid w:val="0002116B"/>
    <w:rsid w:val="00021C4C"/>
    <w:rsid w:val="00021ECE"/>
    <w:rsid w:val="000224B4"/>
    <w:rsid w:val="000229D8"/>
    <w:rsid w:val="00022C05"/>
    <w:rsid w:val="0002307F"/>
    <w:rsid w:val="00023EFE"/>
    <w:rsid w:val="00024306"/>
    <w:rsid w:val="0002434C"/>
    <w:rsid w:val="00024916"/>
    <w:rsid w:val="00025EFB"/>
    <w:rsid w:val="00026ECD"/>
    <w:rsid w:val="000276C0"/>
    <w:rsid w:val="000277BE"/>
    <w:rsid w:val="00027BCB"/>
    <w:rsid w:val="00030233"/>
    <w:rsid w:val="000305BE"/>
    <w:rsid w:val="000309A0"/>
    <w:rsid w:val="00030D14"/>
    <w:rsid w:val="000315D1"/>
    <w:rsid w:val="0003160D"/>
    <w:rsid w:val="00031A3A"/>
    <w:rsid w:val="00031B92"/>
    <w:rsid w:val="000320A0"/>
    <w:rsid w:val="000324A4"/>
    <w:rsid w:val="00033101"/>
    <w:rsid w:val="00033A23"/>
    <w:rsid w:val="00033A74"/>
    <w:rsid w:val="00033C1D"/>
    <w:rsid w:val="00034D0F"/>
    <w:rsid w:val="000359ED"/>
    <w:rsid w:val="0003628D"/>
    <w:rsid w:val="00036370"/>
    <w:rsid w:val="000365C1"/>
    <w:rsid w:val="00036702"/>
    <w:rsid w:val="00037066"/>
    <w:rsid w:val="00037336"/>
    <w:rsid w:val="00037815"/>
    <w:rsid w:val="00037F3A"/>
    <w:rsid w:val="00040179"/>
    <w:rsid w:val="0004055D"/>
    <w:rsid w:val="00040CBF"/>
    <w:rsid w:val="00041094"/>
    <w:rsid w:val="000411B9"/>
    <w:rsid w:val="00041352"/>
    <w:rsid w:val="00041A87"/>
    <w:rsid w:val="000422BA"/>
    <w:rsid w:val="0004297F"/>
    <w:rsid w:val="00042C60"/>
    <w:rsid w:val="000433E4"/>
    <w:rsid w:val="00043B91"/>
    <w:rsid w:val="000444AB"/>
    <w:rsid w:val="00044647"/>
    <w:rsid w:val="00044893"/>
    <w:rsid w:val="00044F6B"/>
    <w:rsid w:val="00045BE4"/>
    <w:rsid w:val="00045C69"/>
    <w:rsid w:val="00046190"/>
    <w:rsid w:val="0004636B"/>
    <w:rsid w:val="0004642A"/>
    <w:rsid w:val="00046995"/>
    <w:rsid w:val="00047092"/>
    <w:rsid w:val="00047130"/>
    <w:rsid w:val="00047B0B"/>
    <w:rsid w:val="00050008"/>
    <w:rsid w:val="00050119"/>
    <w:rsid w:val="0005047D"/>
    <w:rsid w:val="00050498"/>
    <w:rsid w:val="00050F28"/>
    <w:rsid w:val="0005136B"/>
    <w:rsid w:val="0005145D"/>
    <w:rsid w:val="0005172B"/>
    <w:rsid w:val="000517E5"/>
    <w:rsid w:val="00051BF1"/>
    <w:rsid w:val="00052199"/>
    <w:rsid w:val="0005290E"/>
    <w:rsid w:val="00052A5F"/>
    <w:rsid w:val="000532CC"/>
    <w:rsid w:val="00053B61"/>
    <w:rsid w:val="00053C9D"/>
    <w:rsid w:val="000543D5"/>
    <w:rsid w:val="00054447"/>
    <w:rsid w:val="00054D4F"/>
    <w:rsid w:val="00054E5A"/>
    <w:rsid w:val="00055580"/>
    <w:rsid w:val="000555B1"/>
    <w:rsid w:val="000557B6"/>
    <w:rsid w:val="00055B7E"/>
    <w:rsid w:val="00055C8D"/>
    <w:rsid w:val="00056605"/>
    <w:rsid w:val="00056A07"/>
    <w:rsid w:val="00056A8D"/>
    <w:rsid w:val="00057164"/>
    <w:rsid w:val="0005722C"/>
    <w:rsid w:val="0005739C"/>
    <w:rsid w:val="00057605"/>
    <w:rsid w:val="0005781D"/>
    <w:rsid w:val="00057F26"/>
    <w:rsid w:val="00060327"/>
    <w:rsid w:val="00060E5A"/>
    <w:rsid w:val="00061611"/>
    <w:rsid w:val="00061963"/>
    <w:rsid w:val="00061C26"/>
    <w:rsid w:val="00061DA1"/>
    <w:rsid w:val="000622BF"/>
    <w:rsid w:val="00062589"/>
    <w:rsid w:val="00062C43"/>
    <w:rsid w:val="00062C8A"/>
    <w:rsid w:val="00063423"/>
    <w:rsid w:val="000638A1"/>
    <w:rsid w:val="00063B0F"/>
    <w:rsid w:val="00063DAA"/>
    <w:rsid w:val="00063E90"/>
    <w:rsid w:val="00063FBA"/>
    <w:rsid w:val="00064CCF"/>
    <w:rsid w:val="00064CD4"/>
    <w:rsid w:val="000656FE"/>
    <w:rsid w:val="0006593F"/>
    <w:rsid w:val="00065EF5"/>
    <w:rsid w:val="00065FEC"/>
    <w:rsid w:val="00066643"/>
    <w:rsid w:val="000668B1"/>
    <w:rsid w:val="00066EF0"/>
    <w:rsid w:val="000670F8"/>
    <w:rsid w:val="0006755D"/>
    <w:rsid w:val="00067687"/>
    <w:rsid w:val="000676C4"/>
    <w:rsid w:val="00067D4E"/>
    <w:rsid w:val="00067F51"/>
    <w:rsid w:val="000701CA"/>
    <w:rsid w:val="00070F3D"/>
    <w:rsid w:val="00070FCD"/>
    <w:rsid w:val="0007149E"/>
    <w:rsid w:val="000716CA"/>
    <w:rsid w:val="00072A26"/>
    <w:rsid w:val="00073E78"/>
    <w:rsid w:val="00074000"/>
    <w:rsid w:val="000740E7"/>
    <w:rsid w:val="000744FC"/>
    <w:rsid w:val="0007454E"/>
    <w:rsid w:val="00074602"/>
    <w:rsid w:val="00074C77"/>
    <w:rsid w:val="00074CB2"/>
    <w:rsid w:val="00074D08"/>
    <w:rsid w:val="00074F11"/>
    <w:rsid w:val="00074FBD"/>
    <w:rsid w:val="00075241"/>
    <w:rsid w:val="00075767"/>
    <w:rsid w:val="00075D35"/>
    <w:rsid w:val="00076461"/>
    <w:rsid w:val="00076572"/>
    <w:rsid w:val="00076A8B"/>
    <w:rsid w:val="00076EC7"/>
    <w:rsid w:val="00076EE0"/>
    <w:rsid w:val="000771D1"/>
    <w:rsid w:val="00077393"/>
    <w:rsid w:val="00077F3C"/>
    <w:rsid w:val="0008066A"/>
    <w:rsid w:val="000813E2"/>
    <w:rsid w:val="000816D5"/>
    <w:rsid w:val="000818C1"/>
    <w:rsid w:val="00081AE6"/>
    <w:rsid w:val="00081C75"/>
    <w:rsid w:val="00082189"/>
    <w:rsid w:val="00082E95"/>
    <w:rsid w:val="00083458"/>
    <w:rsid w:val="000835F9"/>
    <w:rsid w:val="000836DB"/>
    <w:rsid w:val="000837F9"/>
    <w:rsid w:val="00083AF2"/>
    <w:rsid w:val="00083B27"/>
    <w:rsid w:val="00084479"/>
    <w:rsid w:val="00084733"/>
    <w:rsid w:val="0008476D"/>
    <w:rsid w:val="00084818"/>
    <w:rsid w:val="00084941"/>
    <w:rsid w:val="000852DA"/>
    <w:rsid w:val="00085336"/>
    <w:rsid w:val="00085758"/>
    <w:rsid w:val="00085B18"/>
    <w:rsid w:val="00085E3A"/>
    <w:rsid w:val="00086016"/>
    <w:rsid w:val="00086E49"/>
    <w:rsid w:val="00087EF9"/>
    <w:rsid w:val="00090365"/>
    <w:rsid w:val="000905AD"/>
    <w:rsid w:val="00090F7D"/>
    <w:rsid w:val="0009111E"/>
    <w:rsid w:val="000911FF"/>
    <w:rsid w:val="0009138D"/>
    <w:rsid w:val="00091524"/>
    <w:rsid w:val="00091E4B"/>
    <w:rsid w:val="00091E80"/>
    <w:rsid w:val="00091FBF"/>
    <w:rsid w:val="000920F3"/>
    <w:rsid w:val="0009213C"/>
    <w:rsid w:val="0009252D"/>
    <w:rsid w:val="00092E43"/>
    <w:rsid w:val="00093509"/>
    <w:rsid w:val="00093A70"/>
    <w:rsid w:val="00093BDA"/>
    <w:rsid w:val="000940E8"/>
    <w:rsid w:val="000946F7"/>
    <w:rsid w:val="00094A01"/>
    <w:rsid w:val="00094AAF"/>
    <w:rsid w:val="00094EE6"/>
    <w:rsid w:val="00095306"/>
    <w:rsid w:val="00095754"/>
    <w:rsid w:val="00095A79"/>
    <w:rsid w:val="00095C9E"/>
    <w:rsid w:val="00095EFE"/>
    <w:rsid w:val="0009780C"/>
    <w:rsid w:val="000A030A"/>
    <w:rsid w:val="000A057F"/>
    <w:rsid w:val="000A06C3"/>
    <w:rsid w:val="000A093A"/>
    <w:rsid w:val="000A0EFF"/>
    <w:rsid w:val="000A1033"/>
    <w:rsid w:val="000A1155"/>
    <w:rsid w:val="000A1353"/>
    <w:rsid w:val="000A14BB"/>
    <w:rsid w:val="000A164B"/>
    <w:rsid w:val="000A1B7C"/>
    <w:rsid w:val="000A1C1F"/>
    <w:rsid w:val="000A2015"/>
    <w:rsid w:val="000A204F"/>
    <w:rsid w:val="000A278A"/>
    <w:rsid w:val="000A2E8A"/>
    <w:rsid w:val="000A30D1"/>
    <w:rsid w:val="000A34DA"/>
    <w:rsid w:val="000A3624"/>
    <w:rsid w:val="000A371B"/>
    <w:rsid w:val="000A3AB9"/>
    <w:rsid w:val="000A3C05"/>
    <w:rsid w:val="000A3CC3"/>
    <w:rsid w:val="000A4184"/>
    <w:rsid w:val="000A43C7"/>
    <w:rsid w:val="000A46B1"/>
    <w:rsid w:val="000A48D5"/>
    <w:rsid w:val="000A4EB9"/>
    <w:rsid w:val="000A5A19"/>
    <w:rsid w:val="000A5AE0"/>
    <w:rsid w:val="000A5D95"/>
    <w:rsid w:val="000A657A"/>
    <w:rsid w:val="000A6632"/>
    <w:rsid w:val="000A6725"/>
    <w:rsid w:val="000A6882"/>
    <w:rsid w:val="000A69AF"/>
    <w:rsid w:val="000A6B2E"/>
    <w:rsid w:val="000A72D8"/>
    <w:rsid w:val="000A7744"/>
    <w:rsid w:val="000A77F9"/>
    <w:rsid w:val="000A7964"/>
    <w:rsid w:val="000A7A15"/>
    <w:rsid w:val="000A7B16"/>
    <w:rsid w:val="000A7BA6"/>
    <w:rsid w:val="000A7C35"/>
    <w:rsid w:val="000A7C8E"/>
    <w:rsid w:val="000B03FB"/>
    <w:rsid w:val="000B128D"/>
    <w:rsid w:val="000B13E6"/>
    <w:rsid w:val="000B1515"/>
    <w:rsid w:val="000B18BC"/>
    <w:rsid w:val="000B1948"/>
    <w:rsid w:val="000B1B1D"/>
    <w:rsid w:val="000B25DA"/>
    <w:rsid w:val="000B2867"/>
    <w:rsid w:val="000B2F84"/>
    <w:rsid w:val="000B3439"/>
    <w:rsid w:val="000B3F26"/>
    <w:rsid w:val="000B3F7B"/>
    <w:rsid w:val="000B3F89"/>
    <w:rsid w:val="000B40BA"/>
    <w:rsid w:val="000B43C3"/>
    <w:rsid w:val="000B48A2"/>
    <w:rsid w:val="000B48E1"/>
    <w:rsid w:val="000B4ED4"/>
    <w:rsid w:val="000B4FAE"/>
    <w:rsid w:val="000B569C"/>
    <w:rsid w:val="000B57C0"/>
    <w:rsid w:val="000B5C3F"/>
    <w:rsid w:val="000B5FA1"/>
    <w:rsid w:val="000B61AB"/>
    <w:rsid w:val="000B6A91"/>
    <w:rsid w:val="000B6EB4"/>
    <w:rsid w:val="000B6EBA"/>
    <w:rsid w:val="000B713F"/>
    <w:rsid w:val="000B78F8"/>
    <w:rsid w:val="000B7CF1"/>
    <w:rsid w:val="000B7FE1"/>
    <w:rsid w:val="000C043A"/>
    <w:rsid w:val="000C09B9"/>
    <w:rsid w:val="000C0A49"/>
    <w:rsid w:val="000C0BB1"/>
    <w:rsid w:val="000C1BAB"/>
    <w:rsid w:val="000C2258"/>
    <w:rsid w:val="000C2B64"/>
    <w:rsid w:val="000C2F74"/>
    <w:rsid w:val="000C322F"/>
    <w:rsid w:val="000C3243"/>
    <w:rsid w:val="000C3996"/>
    <w:rsid w:val="000C4038"/>
    <w:rsid w:val="000C404F"/>
    <w:rsid w:val="000C60C6"/>
    <w:rsid w:val="000C621B"/>
    <w:rsid w:val="000C6B98"/>
    <w:rsid w:val="000C6C54"/>
    <w:rsid w:val="000C6CE6"/>
    <w:rsid w:val="000C6F62"/>
    <w:rsid w:val="000C7242"/>
    <w:rsid w:val="000C7338"/>
    <w:rsid w:val="000C73AD"/>
    <w:rsid w:val="000C7442"/>
    <w:rsid w:val="000C74C8"/>
    <w:rsid w:val="000C778B"/>
    <w:rsid w:val="000C7841"/>
    <w:rsid w:val="000C7B53"/>
    <w:rsid w:val="000D02B3"/>
    <w:rsid w:val="000D0468"/>
    <w:rsid w:val="000D08D0"/>
    <w:rsid w:val="000D099B"/>
    <w:rsid w:val="000D0B58"/>
    <w:rsid w:val="000D1653"/>
    <w:rsid w:val="000D1D45"/>
    <w:rsid w:val="000D1E1C"/>
    <w:rsid w:val="000D20DF"/>
    <w:rsid w:val="000D2FD6"/>
    <w:rsid w:val="000D32ED"/>
    <w:rsid w:val="000D3361"/>
    <w:rsid w:val="000D3645"/>
    <w:rsid w:val="000D3A19"/>
    <w:rsid w:val="000D3AF4"/>
    <w:rsid w:val="000D3D0A"/>
    <w:rsid w:val="000D3D9D"/>
    <w:rsid w:val="000D3FD2"/>
    <w:rsid w:val="000D417D"/>
    <w:rsid w:val="000D45D2"/>
    <w:rsid w:val="000D4A81"/>
    <w:rsid w:val="000D54F1"/>
    <w:rsid w:val="000D556D"/>
    <w:rsid w:val="000D5596"/>
    <w:rsid w:val="000D579E"/>
    <w:rsid w:val="000D5834"/>
    <w:rsid w:val="000D59D4"/>
    <w:rsid w:val="000D5D15"/>
    <w:rsid w:val="000D5EAA"/>
    <w:rsid w:val="000D5FDA"/>
    <w:rsid w:val="000D61E4"/>
    <w:rsid w:val="000D681A"/>
    <w:rsid w:val="000D6EF4"/>
    <w:rsid w:val="000D711E"/>
    <w:rsid w:val="000D7132"/>
    <w:rsid w:val="000D75FC"/>
    <w:rsid w:val="000E02A2"/>
    <w:rsid w:val="000E0350"/>
    <w:rsid w:val="000E070D"/>
    <w:rsid w:val="000E1174"/>
    <w:rsid w:val="000E12D7"/>
    <w:rsid w:val="000E13D9"/>
    <w:rsid w:val="000E1573"/>
    <w:rsid w:val="000E2370"/>
    <w:rsid w:val="000E2534"/>
    <w:rsid w:val="000E2592"/>
    <w:rsid w:val="000E2DA9"/>
    <w:rsid w:val="000E3249"/>
    <w:rsid w:val="000E3CD0"/>
    <w:rsid w:val="000E3F4B"/>
    <w:rsid w:val="000E40F7"/>
    <w:rsid w:val="000E411E"/>
    <w:rsid w:val="000E43E0"/>
    <w:rsid w:val="000E44D7"/>
    <w:rsid w:val="000E4589"/>
    <w:rsid w:val="000E45C2"/>
    <w:rsid w:val="000E46B5"/>
    <w:rsid w:val="000E4C09"/>
    <w:rsid w:val="000E4EF4"/>
    <w:rsid w:val="000E51C8"/>
    <w:rsid w:val="000E536D"/>
    <w:rsid w:val="000E5C35"/>
    <w:rsid w:val="000E6238"/>
    <w:rsid w:val="000E68C7"/>
    <w:rsid w:val="000E6BAF"/>
    <w:rsid w:val="000E70E6"/>
    <w:rsid w:val="000E7410"/>
    <w:rsid w:val="000E782F"/>
    <w:rsid w:val="000E7956"/>
    <w:rsid w:val="000E7D6B"/>
    <w:rsid w:val="000F04EB"/>
    <w:rsid w:val="000F1C0E"/>
    <w:rsid w:val="000F1E93"/>
    <w:rsid w:val="000F1FF7"/>
    <w:rsid w:val="000F201B"/>
    <w:rsid w:val="000F206F"/>
    <w:rsid w:val="000F30A3"/>
    <w:rsid w:val="000F35A7"/>
    <w:rsid w:val="000F3820"/>
    <w:rsid w:val="000F3A8E"/>
    <w:rsid w:val="000F40CD"/>
    <w:rsid w:val="000F4318"/>
    <w:rsid w:val="000F4352"/>
    <w:rsid w:val="000F4E93"/>
    <w:rsid w:val="000F4FA2"/>
    <w:rsid w:val="000F52AA"/>
    <w:rsid w:val="000F52B6"/>
    <w:rsid w:val="000F53AA"/>
    <w:rsid w:val="000F5404"/>
    <w:rsid w:val="000F56BA"/>
    <w:rsid w:val="000F59FC"/>
    <w:rsid w:val="000F5FFF"/>
    <w:rsid w:val="000F6170"/>
    <w:rsid w:val="000F61B5"/>
    <w:rsid w:val="000F64BA"/>
    <w:rsid w:val="000F6691"/>
    <w:rsid w:val="000F67C3"/>
    <w:rsid w:val="000F6D95"/>
    <w:rsid w:val="000F6E7A"/>
    <w:rsid w:val="000F71E5"/>
    <w:rsid w:val="000F728F"/>
    <w:rsid w:val="000F7B43"/>
    <w:rsid w:val="000F7C17"/>
    <w:rsid w:val="000F7C18"/>
    <w:rsid w:val="0010075B"/>
    <w:rsid w:val="001007F4"/>
    <w:rsid w:val="00100A95"/>
    <w:rsid w:val="00100C4A"/>
    <w:rsid w:val="00100C5A"/>
    <w:rsid w:val="00100C68"/>
    <w:rsid w:val="001013A2"/>
    <w:rsid w:val="0010165A"/>
    <w:rsid w:val="00101839"/>
    <w:rsid w:val="00102057"/>
    <w:rsid w:val="001024C8"/>
    <w:rsid w:val="00103803"/>
    <w:rsid w:val="00103888"/>
    <w:rsid w:val="00103919"/>
    <w:rsid w:val="00103975"/>
    <w:rsid w:val="00103A7E"/>
    <w:rsid w:val="00104D91"/>
    <w:rsid w:val="001055CC"/>
    <w:rsid w:val="001056C3"/>
    <w:rsid w:val="00105B2F"/>
    <w:rsid w:val="00106262"/>
    <w:rsid w:val="00106366"/>
    <w:rsid w:val="00106B21"/>
    <w:rsid w:val="00106D87"/>
    <w:rsid w:val="00106E4B"/>
    <w:rsid w:val="001070BB"/>
    <w:rsid w:val="001075CD"/>
    <w:rsid w:val="00107A9F"/>
    <w:rsid w:val="0011000B"/>
    <w:rsid w:val="001102BB"/>
    <w:rsid w:val="0011088D"/>
    <w:rsid w:val="00110A9D"/>
    <w:rsid w:val="001111F4"/>
    <w:rsid w:val="00111262"/>
    <w:rsid w:val="001112DD"/>
    <w:rsid w:val="001113C6"/>
    <w:rsid w:val="001118C2"/>
    <w:rsid w:val="00111E8F"/>
    <w:rsid w:val="00112269"/>
    <w:rsid w:val="001122A3"/>
    <w:rsid w:val="0011231D"/>
    <w:rsid w:val="00113BC8"/>
    <w:rsid w:val="00114264"/>
    <w:rsid w:val="00114344"/>
    <w:rsid w:val="0011455F"/>
    <w:rsid w:val="00115963"/>
    <w:rsid w:val="00115A47"/>
    <w:rsid w:val="00115C9C"/>
    <w:rsid w:val="00116AFC"/>
    <w:rsid w:val="00116B8F"/>
    <w:rsid w:val="00116D67"/>
    <w:rsid w:val="00117252"/>
    <w:rsid w:val="001172E6"/>
    <w:rsid w:val="00117D6A"/>
    <w:rsid w:val="001200BA"/>
    <w:rsid w:val="001200F4"/>
    <w:rsid w:val="00120149"/>
    <w:rsid w:val="00120156"/>
    <w:rsid w:val="00120B56"/>
    <w:rsid w:val="00120E1A"/>
    <w:rsid w:val="00120F6E"/>
    <w:rsid w:val="00120F95"/>
    <w:rsid w:val="001211A9"/>
    <w:rsid w:val="00121355"/>
    <w:rsid w:val="0012144D"/>
    <w:rsid w:val="00121929"/>
    <w:rsid w:val="00121C4E"/>
    <w:rsid w:val="00121DF5"/>
    <w:rsid w:val="00122681"/>
    <w:rsid w:val="001226F4"/>
    <w:rsid w:val="0012291C"/>
    <w:rsid w:val="00123991"/>
    <w:rsid w:val="00123A9A"/>
    <w:rsid w:val="0012481A"/>
    <w:rsid w:val="0012510F"/>
    <w:rsid w:val="001253CC"/>
    <w:rsid w:val="0012543F"/>
    <w:rsid w:val="00125530"/>
    <w:rsid w:val="001256CD"/>
    <w:rsid w:val="001269B0"/>
    <w:rsid w:val="00126A10"/>
    <w:rsid w:val="00126F18"/>
    <w:rsid w:val="001271A6"/>
    <w:rsid w:val="001272EF"/>
    <w:rsid w:val="0012773D"/>
    <w:rsid w:val="001278C2"/>
    <w:rsid w:val="00127A27"/>
    <w:rsid w:val="00127C9C"/>
    <w:rsid w:val="00127D35"/>
    <w:rsid w:val="00127F29"/>
    <w:rsid w:val="0013007D"/>
    <w:rsid w:val="00130419"/>
    <w:rsid w:val="001304CE"/>
    <w:rsid w:val="001306A2"/>
    <w:rsid w:val="00130937"/>
    <w:rsid w:val="00130AAE"/>
    <w:rsid w:val="00130ABB"/>
    <w:rsid w:val="00130BDF"/>
    <w:rsid w:val="001316D9"/>
    <w:rsid w:val="00131701"/>
    <w:rsid w:val="00131A4E"/>
    <w:rsid w:val="00131C36"/>
    <w:rsid w:val="00132170"/>
    <w:rsid w:val="00132252"/>
    <w:rsid w:val="00132B32"/>
    <w:rsid w:val="0013342A"/>
    <w:rsid w:val="0013345E"/>
    <w:rsid w:val="00133551"/>
    <w:rsid w:val="00133594"/>
    <w:rsid w:val="00133A05"/>
    <w:rsid w:val="00133B74"/>
    <w:rsid w:val="00134130"/>
    <w:rsid w:val="0013496A"/>
    <w:rsid w:val="00134D5E"/>
    <w:rsid w:val="00134F93"/>
    <w:rsid w:val="0013588A"/>
    <w:rsid w:val="00135B3B"/>
    <w:rsid w:val="00135DC0"/>
    <w:rsid w:val="00135E4A"/>
    <w:rsid w:val="001360A1"/>
    <w:rsid w:val="0013687D"/>
    <w:rsid w:val="00136F69"/>
    <w:rsid w:val="001370C5"/>
    <w:rsid w:val="00137556"/>
    <w:rsid w:val="00140424"/>
    <w:rsid w:val="00140584"/>
    <w:rsid w:val="00141465"/>
    <w:rsid w:val="00141809"/>
    <w:rsid w:val="00141856"/>
    <w:rsid w:val="00141A27"/>
    <w:rsid w:val="00141A74"/>
    <w:rsid w:val="00141F6B"/>
    <w:rsid w:val="00142168"/>
    <w:rsid w:val="001429F0"/>
    <w:rsid w:val="00143543"/>
    <w:rsid w:val="00143A3C"/>
    <w:rsid w:val="00143E86"/>
    <w:rsid w:val="00144392"/>
    <w:rsid w:val="00144A1B"/>
    <w:rsid w:val="00144F88"/>
    <w:rsid w:val="00145482"/>
    <w:rsid w:val="00145657"/>
    <w:rsid w:val="00145A63"/>
    <w:rsid w:val="0014605E"/>
    <w:rsid w:val="001462EE"/>
    <w:rsid w:val="00146F37"/>
    <w:rsid w:val="0014787D"/>
    <w:rsid w:val="00150365"/>
    <w:rsid w:val="00150535"/>
    <w:rsid w:val="001512F8"/>
    <w:rsid w:val="00151C3B"/>
    <w:rsid w:val="00151FE2"/>
    <w:rsid w:val="00152FF3"/>
    <w:rsid w:val="00153740"/>
    <w:rsid w:val="00153800"/>
    <w:rsid w:val="00153920"/>
    <w:rsid w:val="00153CD5"/>
    <w:rsid w:val="00153DBA"/>
    <w:rsid w:val="00153F26"/>
    <w:rsid w:val="00154024"/>
    <w:rsid w:val="00155210"/>
    <w:rsid w:val="0015527A"/>
    <w:rsid w:val="001555CC"/>
    <w:rsid w:val="00155B45"/>
    <w:rsid w:val="001563DF"/>
    <w:rsid w:val="00156A9E"/>
    <w:rsid w:val="0015760C"/>
    <w:rsid w:val="0015793F"/>
    <w:rsid w:val="00157C05"/>
    <w:rsid w:val="00157C19"/>
    <w:rsid w:val="001601ED"/>
    <w:rsid w:val="001603D9"/>
    <w:rsid w:val="00160601"/>
    <w:rsid w:val="0016065F"/>
    <w:rsid w:val="00160737"/>
    <w:rsid w:val="00160F41"/>
    <w:rsid w:val="001611DB"/>
    <w:rsid w:val="0016162B"/>
    <w:rsid w:val="00161773"/>
    <w:rsid w:val="0016227A"/>
    <w:rsid w:val="00162372"/>
    <w:rsid w:val="00162438"/>
    <w:rsid w:val="00162E2A"/>
    <w:rsid w:val="00163223"/>
    <w:rsid w:val="00163E01"/>
    <w:rsid w:val="00164B99"/>
    <w:rsid w:val="00164DE4"/>
    <w:rsid w:val="00165223"/>
    <w:rsid w:val="00165755"/>
    <w:rsid w:val="0016606F"/>
    <w:rsid w:val="00166458"/>
    <w:rsid w:val="001668D6"/>
    <w:rsid w:val="0016691B"/>
    <w:rsid w:val="00166FE8"/>
    <w:rsid w:val="00167195"/>
    <w:rsid w:val="0016773C"/>
    <w:rsid w:val="00167DDF"/>
    <w:rsid w:val="00167E1C"/>
    <w:rsid w:val="00167EEA"/>
    <w:rsid w:val="0017002E"/>
    <w:rsid w:val="00170293"/>
    <w:rsid w:val="0017045F"/>
    <w:rsid w:val="00170F90"/>
    <w:rsid w:val="001711B4"/>
    <w:rsid w:val="00171999"/>
    <w:rsid w:val="0017252D"/>
    <w:rsid w:val="001729A2"/>
    <w:rsid w:val="00172FEE"/>
    <w:rsid w:val="001736E6"/>
    <w:rsid w:val="001737A8"/>
    <w:rsid w:val="00173EE9"/>
    <w:rsid w:val="00173F04"/>
    <w:rsid w:val="0017409C"/>
    <w:rsid w:val="00174123"/>
    <w:rsid w:val="0017419F"/>
    <w:rsid w:val="00174C7B"/>
    <w:rsid w:val="0017527F"/>
    <w:rsid w:val="00175A3D"/>
    <w:rsid w:val="001761DF"/>
    <w:rsid w:val="001764D5"/>
    <w:rsid w:val="001766C6"/>
    <w:rsid w:val="001769B4"/>
    <w:rsid w:val="00176B4C"/>
    <w:rsid w:val="00177147"/>
    <w:rsid w:val="001773CB"/>
    <w:rsid w:val="00177590"/>
    <w:rsid w:val="00177D05"/>
    <w:rsid w:val="00177F59"/>
    <w:rsid w:val="00177FA0"/>
    <w:rsid w:val="00180078"/>
    <w:rsid w:val="0018039D"/>
    <w:rsid w:val="0018182B"/>
    <w:rsid w:val="00181C17"/>
    <w:rsid w:val="00182211"/>
    <w:rsid w:val="001823E9"/>
    <w:rsid w:val="00182B04"/>
    <w:rsid w:val="001834EA"/>
    <w:rsid w:val="00183E2B"/>
    <w:rsid w:val="00184294"/>
    <w:rsid w:val="00184467"/>
    <w:rsid w:val="00184527"/>
    <w:rsid w:val="00184DEF"/>
    <w:rsid w:val="00184F95"/>
    <w:rsid w:val="00185498"/>
    <w:rsid w:val="001860A0"/>
    <w:rsid w:val="00186242"/>
    <w:rsid w:val="001863A8"/>
    <w:rsid w:val="00186407"/>
    <w:rsid w:val="0018644C"/>
    <w:rsid w:val="001865A3"/>
    <w:rsid w:val="00186D0B"/>
    <w:rsid w:val="00187176"/>
    <w:rsid w:val="001879CF"/>
    <w:rsid w:val="001909E4"/>
    <w:rsid w:val="001909E7"/>
    <w:rsid w:val="00190BE6"/>
    <w:rsid w:val="00190C6B"/>
    <w:rsid w:val="00190F39"/>
    <w:rsid w:val="00191AB4"/>
    <w:rsid w:val="00192248"/>
    <w:rsid w:val="00192312"/>
    <w:rsid w:val="00192946"/>
    <w:rsid w:val="00192D05"/>
    <w:rsid w:val="00192D4B"/>
    <w:rsid w:val="00193052"/>
    <w:rsid w:val="001936DD"/>
    <w:rsid w:val="001938AF"/>
    <w:rsid w:val="00193D64"/>
    <w:rsid w:val="00194106"/>
    <w:rsid w:val="00194A88"/>
    <w:rsid w:val="00194CF1"/>
    <w:rsid w:val="0019532D"/>
    <w:rsid w:val="001957BF"/>
    <w:rsid w:val="0019589E"/>
    <w:rsid w:val="00195A85"/>
    <w:rsid w:val="00196232"/>
    <w:rsid w:val="00196817"/>
    <w:rsid w:val="00196BA6"/>
    <w:rsid w:val="0019719F"/>
    <w:rsid w:val="00197438"/>
    <w:rsid w:val="00197877"/>
    <w:rsid w:val="001A018B"/>
    <w:rsid w:val="001A0E28"/>
    <w:rsid w:val="001A2083"/>
    <w:rsid w:val="001A2653"/>
    <w:rsid w:val="001A2E7C"/>
    <w:rsid w:val="001A315B"/>
    <w:rsid w:val="001A3E20"/>
    <w:rsid w:val="001A3F82"/>
    <w:rsid w:val="001A4702"/>
    <w:rsid w:val="001A47C6"/>
    <w:rsid w:val="001A48A3"/>
    <w:rsid w:val="001A5187"/>
    <w:rsid w:val="001A5188"/>
    <w:rsid w:val="001A56F3"/>
    <w:rsid w:val="001A5AFE"/>
    <w:rsid w:val="001A6EAF"/>
    <w:rsid w:val="001A6F55"/>
    <w:rsid w:val="001A70C3"/>
    <w:rsid w:val="001A7738"/>
    <w:rsid w:val="001A7807"/>
    <w:rsid w:val="001A7B0B"/>
    <w:rsid w:val="001A7D2B"/>
    <w:rsid w:val="001A7D83"/>
    <w:rsid w:val="001A7D9C"/>
    <w:rsid w:val="001B085A"/>
    <w:rsid w:val="001B0944"/>
    <w:rsid w:val="001B0C7B"/>
    <w:rsid w:val="001B1074"/>
    <w:rsid w:val="001B133B"/>
    <w:rsid w:val="001B1477"/>
    <w:rsid w:val="001B1751"/>
    <w:rsid w:val="001B17E7"/>
    <w:rsid w:val="001B184E"/>
    <w:rsid w:val="001B1A3A"/>
    <w:rsid w:val="001B1BC0"/>
    <w:rsid w:val="001B1C8E"/>
    <w:rsid w:val="001B1D03"/>
    <w:rsid w:val="001B210C"/>
    <w:rsid w:val="001B3210"/>
    <w:rsid w:val="001B35CE"/>
    <w:rsid w:val="001B39E7"/>
    <w:rsid w:val="001B3BBF"/>
    <w:rsid w:val="001B4155"/>
    <w:rsid w:val="001B483B"/>
    <w:rsid w:val="001B4A74"/>
    <w:rsid w:val="001B5391"/>
    <w:rsid w:val="001B57A2"/>
    <w:rsid w:val="001B5907"/>
    <w:rsid w:val="001B59CD"/>
    <w:rsid w:val="001B5B0C"/>
    <w:rsid w:val="001B5B59"/>
    <w:rsid w:val="001B6819"/>
    <w:rsid w:val="001B6A66"/>
    <w:rsid w:val="001B6B95"/>
    <w:rsid w:val="001B6D2A"/>
    <w:rsid w:val="001B7156"/>
    <w:rsid w:val="001B7438"/>
    <w:rsid w:val="001B7B13"/>
    <w:rsid w:val="001B7D9F"/>
    <w:rsid w:val="001C0262"/>
    <w:rsid w:val="001C089E"/>
    <w:rsid w:val="001C12FE"/>
    <w:rsid w:val="001C1909"/>
    <w:rsid w:val="001C197E"/>
    <w:rsid w:val="001C1C4E"/>
    <w:rsid w:val="001C1D12"/>
    <w:rsid w:val="001C1E39"/>
    <w:rsid w:val="001C2057"/>
    <w:rsid w:val="001C23B3"/>
    <w:rsid w:val="001C2BA8"/>
    <w:rsid w:val="001C2E59"/>
    <w:rsid w:val="001C2FD4"/>
    <w:rsid w:val="001C309A"/>
    <w:rsid w:val="001C30EE"/>
    <w:rsid w:val="001C355B"/>
    <w:rsid w:val="001C3A2A"/>
    <w:rsid w:val="001C3B23"/>
    <w:rsid w:val="001C406F"/>
    <w:rsid w:val="001C484D"/>
    <w:rsid w:val="001C4A97"/>
    <w:rsid w:val="001C4CC5"/>
    <w:rsid w:val="001C509C"/>
    <w:rsid w:val="001C5FCA"/>
    <w:rsid w:val="001C66F0"/>
    <w:rsid w:val="001C70AD"/>
    <w:rsid w:val="001C723D"/>
    <w:rsid w:val="001C7399"/>
    <w:rsid w:val="001C79E7"/>
    <w:rsid w:val="001C7EF3"/>
    <w:rsid w:val="001C7F9F"/>
    <w:rsid w:val="001D0264"/>
    <w:rsid w:val="001D0657"/>
    <w:rsid w:val="001D0885"/>
    <w:rsid w:val="001D0B8C"/>
    <w:rsid w:val="001D0D08"/>
    <w:rsid w:val="001D0DEF"/>
    <w:rsid w:val="001D0FF2"/>
    <w:rsid w:val="001D13BD"/>
    <w:rsid w:val="001D1492"/>
    <w:rsid w:val="001D14D5"/>
    <w:rsid w:val="001D152B"/>
    <w:rsid w:val="001D1634"/>
    <w:rsid w:val="001D1721"/>
    <w:rsid w:val="001D1C89"/>
    <w:rsid w:val="001D1DF8"/>
    <w:rsid w:val="001D212B"/>
    <w:rsid w:val="001D2175"/>
    <w:rsid w:val="001D2271"/>
    <w:rsid w:val="001D24C9"/>
    <w:rsid w:val="001D2F51"/>
    <w:rsid w:val="001D3081"/>
    <w:rsid w:val="001D3165"/>
    <w:rsid w:val="001D3273"/>
    <w:rsid w:val="001D569E"/>
    <w:rsid w:val="001D56AF"/>
    <w:rsid w:val="001D573A"/>
    <w:rsid w:val="001D5EE0"/>
    <w:rsid w:val="001D60F9"/>
    <w:rsid w:val="001D62AC"/>
    <w:rsid w:val="001D6486"/>
    <w:rsid w:val="001D656B"/>
    <w:rsid w:val="001D6902"/>
    <w:rsid w:val="001D6A19"/>
    <w:rsid w:val="001D6FE3"/>
    <w:rsid w:val="001D710B"/>
    <w:rsid w:val="001E007A"/>
    <w:rsid w:val="001E0F0D"/>
    <w:rsid w:val="001E17CE"/>
    <w:rsid w:val="001E17ED"/>
    <w:rsid w:val="001E1A0B"/>
    <w:rsid w:val="001E1A27"/>
    <w:rsid w:val="001E211D"/>
    <w:rsid w:val="001E21A1"/>
    <w:rsid w:val="001E21A8"/>
    <w:rsid w:val="001E28A8"/>
    <w:rsid w:val="001E3708"/>
    <w:rsid w:val="001E456C"/>
    <w:rsid w:val="001E4DC2"/>
    <w:rsid w:val="001E4FB3"/>
    <w:rsid w:val="001E51D2"/>
    <w:rsid w:val="001E5330"/>
    <w:rsid w:val="001E53EC"/>
    <w:rsid w:val="001E5E43"/>
    <w:rsid w:val="001E5E68"/>
    <w:rsid w:val="001E60E9"/>
    <w:rsid w:val="001E6F06"/>
    <w:rsid w:val="001E71C1"/>
    <w:rsid w:val="001E727E"/>
    <w:rsid w:val="001E746E"/>
    <w:rsid w:val="001F0011"/>
    <w:rsid w:val="001F03DA"/>
    <w:rsid w:val="001F046B"/>
    <w:rsid w:val="001F0826"/>
    <w:rsid w:val="001F0A4E"/>
    <w:rsid w:val="001F0A75"/>
    <w:rsid w:val="001F0C3D"/>
    <w:rsid w:val="001F14E3"/>
    <w:rsid w:val="001F16C7"/>
    <w:rsid w:val="001F2CF1"/>
    <w:rsid w:val="001F2D4C"/>
    <w:rsid w:val="001F2F72"/>
    <w:rsid w:val="001F2FD8"/>
    <w:rsid w:val="001F31A0"/>
    <w:rsid w:val="001F33AE"/>
    <w:rsid w:val="001F36D2"/>
    <w:rsid w:val="001F3714"/>
    <w:rsid w:val="001F387B"/>
    <w:rsid w:val="001F39FD"/>
    <w:rsid w:val="001F3D66"/>
    <w:rsid w:val="001F43D2"/>
    <w:rsid w:val="001F441F"/>
    <w:rsid w:val="001F4F2D"/>
    <w:rsid w:val="001F533E"/>
    <w:rsid w:val="001F5E2E"/>
    <w:rsid w:val="001F6148"/>
    <w:rsid w:val="001F6FFC"/>
    <w:rsid w:val="001F70C6"/>
    <w:rsid w:val="001F72F6"/>
    <w:rsid w:val="001F778E"/>
    <w:rsid w:val="001F7954"/>
    <w:rsid w:val="001F7A0F"/>
    <w:rsid w:val="001F7D16"/>
    <w:rsid w:val="001F7F5E"/>
    <w:rsid w:val="0020011E"/>
    <w:rsid w:val="0020029C"/>
    <w:rsid w:val="00200A5D"/>
    <w:rsid w:val="00200E07"/>
    <w:rsid w:val="00201837"/>
    <w:rsid w:val="00201953"/>
    <w:rsid w:val="00201AE7"/>
    <w:rsid w:val="00201CC8"/>
    <w:rsid w:val="00201FFA"/>
    <w:rsid w:val="00202794"/>
    <w:rsid w:val="002028CB"/>
    <w:rsid w:val="00202AD3"/>
    <w:rsid w:val="00202CD6"/>
    <w:rsid w:val="00202D40"/>
    <w:rsid w:val="002031A2"/>
    <w:rsid w:val="0020350A"/>
    <w:rsid w:val="002038C4"/>
    <w:rsid w:val="00203C41"/>
    <w:rsid w:val="00203DC8"/>
    <w:rsid w:val="0020449D"/>
    <w:rsid w:val="002046FD"/>
    <w:rsid w:val="00204CCF"/>
    <w:rsid w:val="002050BC"/>
    <w:rsid w:val="00205957"/>
    <w:rsid w:val="00205EEE"/>
    <w:rsid w:val="002064C8"/>
    <w:rsid w:val="00206575"/>
    <w:rsid w:val="00206774"/>
    <w:rsid w:val="0020695B"/>
    <w:rsid w:val="00206BB6"/>
    <w:rsid w:val="002077C4"/>
    <w:rsid w:val="0021028E"/>
    <w:rsid w:val="0021059C"/>
    <w:rsid w:val="00212349"/>
    <w:rsid w:val="0021291D"/>
    <w:rsid w:val="00213DE4"/>
    <w:rsid w:val="00215103"/>
    <w:rsid w:val="0021549B"/>
    <w:rsid w:val="00215D9E"/>
    <w:rsid w:val="0021688D"/>
    <w:rsid w:val="00216A85"/>
    <w:rsid w:val="00216B3E"/>
    <w:rsid w:val="00216F5E"/>
    <w:rsid w:val="002170A7"/>
    <w:rsid w:val="0021730C"/>
    <w:rsid w:val="0021747D"/>
    <w:rsid w:val="00217521"/>
    <w:rsid w:val="00217BD9"/>
    <w:rsid w:val="00220389"/>
    <w:rsid w:val="002203AB"/>
    <w:rsid w:val="00220417"/>
    <w:rsid w:val="00220A38"/>
    <w:rsid w:val="00220AFE"/>
    <w:rsid w:val="00220FDD"/>
    <w:rsid w:val="00221072"/>
    <w:rsid w:val="00221391"/>
    <w:rsid w:val="002214CA"/>
    <w:rsid w:val="00221653"/>
    <w:rsid w:val="00221690"/>
    <w:rsid w:val="002217E9"/>
    <w:rsid w:val="00221C55"/>
    <w:rsid w:val="002224D9"/>
    <w:rsid w:val="00223425"/>
    <w:rsid w:val="002234D1"/>
    <w:rsid w:val="00223A82"/>
    <w:rsid w:val="002241B1"/>
    <w:rsid w:val="002243D5"/>
    <w:rsid w:val="002245DF"/>
    <w:rsid w:val="0022486E"/>
    <w:rsid w:val="00224D11"/>
    <w:rsid w:val="00224E72"/>
    <w:rsid w:val="00224EB8"/>
    <w:rsid w:val="00225126"/>
    <w:rsid w:val="00225214"/>
    <w:rsid w:val="00225344"/>
    <w:rsid w:val="00225A26"/>
    <w:rsid w:val="00225DAC"/>
    <w:rsid w:val="00225EC5"/>
    <w:rsid w:val="00225F27"/>
    <w:rsid w:val="0022669B"/>
    <w:rsid w:val="00226AC1"/>
    <w:rsid w:val="00226CFF"/>
    <w:rsid w:val="0022748B"/>
    <w:rsid w:val="00227694"/>
    <w:rsid w:val="00227A66"/>
    <w:rsid w:val="00227E15"/>
    <w:rsid w:val="002301CB"/>
    <w:rsid w:val="002303F0"/>
    <w:rsid w:val="00230615"/>
    <w:rsid w:val="0023285F"/>
    <w:rsid w:val="0023291A"/>
    <w:rsid w:val="00232F37"/>
    <w:rsid w:val="00232F4D"/>
    <w:rsid w:val="00233160"/>
    <w:rsid w:val="002339B2"/>
    <w:rsid w:val="00233A14"/>
    <w:rsid w:val="002348D5"/>
    <w:rsid w:val="00234D23"/>
    <w:rsid w:val="002350D4"/>
    <w:rsid w:val="00235141"/>
    <w:rsid w:val="0023533F"/>
    <w:rsid w:val="00235B3D"/>
    <w:rsid w:val="00235C1F"/>
    <w:rsid w:val="00235E8D"/>
    <w:rsid w:val="002360FB"/>
    <w:rsid w:val="00236100"/>
    <w:rsid w:val="002363FC"/>
    <w:rsid w:val="00236437"/>
    <w:rsid w:val="0023644B"/>
    <w:rsid w:val="00236970"/>
    <w:rsid w:val="00237097"/>
    <w:rsid w:val="0023750B"/>
    <w:rsid w:val="00237BEF"/>
    <w:rsid w:val="002402D8"/>
    <w:rsid w:val="002406F1"/>
    <w:rsid w:val="002408AF"/>
    <w:rsid w:val="00240B8D"/>
    <w:rsid w:val="00240BD9"/>
    <w:rsid w:val="00240CFB"/>
    <w:rsid w:val="00240E38"/>
    <w:rsid w:val="00240FD4"/>
    <w:rsid w:val="00241555"/>
    <w:rsid w:val="0024161E"/>
    <w:rsid w:val="002419EC"/>
    <w:rsid w:val="00241AB0"/>
    <w:rsid w:val="00241B48"/>
    <w:rsid w:val="002422E2"/>
    <w:rsid w:val="002423C9"/>
    <w:rsid w:val="00242699"/>
    <w:rsid w:val="00242A6D"/>
    <w:rsid w:val="00242DFB"/>
    <w:rsid w:val="00242FBD"/>
    <w:rsid w:val="002432A6"/>
    <w:rsid w:val="002432FD"/>
    <w:rsid w:val="00243B01"/>
    <w:rsid w:val="00243E4C"/>
    <w:rsid w:val="00244260"/>
    <w:rsid w:val="0024461B"/>
    <w:rsid w:val="0024526C"/>
    <w:rsid w:val="002452A2"/>
    <w:rsid w:val="00245B48"/>
    <w:rsid w:val="00245DF2"/>
    <w:rsid w:val="002469BD"/>
    <w:rsid w:val="0024700E"/>
    <w:rsid w:val="002472AA"/>
    <w:rsid w:val="00250025"/>
    <w:rsid w:val="0025002C"/>
    <w:rsid w:val="0025048A"/>
    <w:rsid w:val="00250501"/>
    <w:rsid w:val="0025056B"/>
    <w:rsid w:val="002512E6"/>
    <w:rsid w:val="00251946"/>
    <w:rsid w:val="00252ABB"/>
    <w:rsid w:val="002530A1"/>
    <w:rsid w:val="00253108"/>
    <w:rsid w:val="0025377C"/>
    <w:rsid w:val="002539AB"/>
    <w:rsid w:val="00253BC1"/>
    <w:rsid w:val="0025441F"/>
    <w:rsid w:val="002549A4"/>
    <w:rsid w:val="00255308"/>
    <w:rsid w:val="0025538D"/>
    <w:rsid w:val="002557A7"/>
    <w:rsid w:val="002559FB"/>
    <w:rsid w:val="00255FC3"/>
    <w:rsid w:val="002567B3"/>
    <w:rsid w:val="00256B9B"/>
    <w:rsid w:val="00257898"/>
    <w:rsid w:val="002579A7"/>
    <w:rsid w:val="00257A58"/>
    <w:rsid w:val="00257F2C"/>
    <w:rsid w:val="00260C01"/>
    <w:rsid w:val="00261395"/>
    <w:rsid w:val="00261E29"/>
    <w:rsid w:val="00262077"/>
    <w:rsid w:val="00262CBD"/>
    <w:rsid w:val="00262D5B"/>
    <w:rsid w:val="00263638"/>
    <w:rsid w:val="002637A0"/>
    <w:rsid w:val="002638C7"/>
    <w:rsid w:val="00263EBC"/>
    <w:rsid w:val="00263FAF"/>
    <w:rsid w:val="00264015"/>
    <w:rsid w:val="002645D8"/>
    <w:rsid w:val="00264818"/>
    <w:rsid w:val="00264D75"/>
    <w:rsid w:val="00265282"/>
    <w:rsid w:val="002653C1"/>
    <w:rsid w:val="0026569B"/>
    <w:rsid w:val="00265AE0"/>
    <w:rsid w:val="00265DC8"/>
    <w:rsid w:val="00265F53"/>
    <w:rsid w:val="00265F98"/>
    <w:rsid w:val="00266290"/>
    <w:rsid w:val="00266C4C"/>
    <w:rsid w:val="00267711"/>
    <w:rsid w:val="00267DDD"/>
    <w:rsid w:val="00267DF4"/>
    <w:rsid w:val="002700CA"/>
    <w:rsid w:val="002702B4"/>
    <w:rsid w:val="00270AC9"/>
    <w:rsid w:val="00270C39"/>
    <w:rsid w:val="00270DA0"/>
    <w:rsid w:val="0027165E"/>
    <w:rsid w:val="0027187F"/>
    <w:rsid w:val="00272319"/>
    <w:rsid w:val="00273199"/>
    <w:rsid w:val="00273ADF"/>
    <w:rsid w:val="00273C93"/>
    <w:rsid w:val="00273CC4"/>
    <w:rsid w:val="002745CD"/>
    <w:rsid w:val="0027463E"/>
    <w:rsid w:val="0027494E"/>
    <w:rsid w:val="002757EA"/>
    <w:rsid w:val="002758B3"/>
    <w:rsid w:val="0027610D"/>
    <w:rsid w:val="0027618F"/>
    <w:rsid w:val="002761F7"/>
    <w:rsid w:val="0027676F"/>
    <w:rsid w:val="002769A1"/>
    <w:rsid w:val="00276A4C"/>
    <w:rsid w:val="002803E7"/>
    <w:rsid w:val="002805BC"/>
    <w:rsid w:val="0028087B"/>
    <w:rsid w:val="00280F9D"/>
    <w:rsid w:val="00281308"/>
    <w:rsid w:val="002813CC"/>
    <w:rsid w:val="00281965"/>
    <w:rsid w:val="00281D1E"/>
    <w:rsid w:val="002820A5"/>
    <w:rsid w:val="0028297A"/>
    <w:rsid w:val="002829ED"/>
    <w:rsid w:val="002831C9"/>
    <w:rsid w:val="002834E4"/>
    <w:rsid w:val="002837D1"/>
    <w:rsid w:val="002837E7"/>
    <w:rsid w:val="00284759"/>
    <w:rsid w:val="0028487F"/>
    <w:rsid w:val="00284934"/>
    <w:rsid w:val="002849DB"/>
    <w:rsid w:val="00284BF3"/>
    <w:rsid w:val="00284D1C"/>
    <w:rsid w:val="002850BD"/>
    <w:rsid w:val="0028549A"/>
    <w:rsid w:val="00285538"/>
    <w:rsid w:val="00285B9A"/>
    <w:rsid w:val="002870BE"/>
    <w:rsid w:val="00287567"/>
    <w:rsid w:val="00287AB6"/>
    <w:rsid w:val="00287D92"/>
    <w:rsid w:val="00287E38"/>
    <w:rsid w:val="002901BE"/>
    <w:rsid w:val="002901D2"/>
    <w:rsid w:val="00290214"/>
    <w:rsid w:val="0029145B"/>
    <w:rsid w:val="002918E8"/>
    <w:rsid w:val="00291B67"/>
    <w:rsid w:val="00291E11"/>
    <w:rsid w:val="00291FEF"/>
    <w:rsid w:val="002923EA"/>
    <w:rsid w:val="002925A2"/>
    <w:rsid w:val="00293221"/>
    <w:rsid w:val="002936E8"/>
    <w:rsid w:val="00293BAA"/>
    <w:rsid w:val="00293CDA"/>
    <w:rsid w:val="00293DC3"/>
    <w:rsid w:val="00294379"/>
    <w:rsid w:val="002944A3"/>
    <w:rsid w:val="002945B3"/>
    <w:rsid w:val="00294D12"/>
    <w:rsid w:val="00294D62"/>
    <w:rsid w:val="00294E2C"/>
    <w:rsid w:val="002951A6"/>
    <w:rsid w:val="00295250"/>
    <w:rsid w:val="0029583E"/>
    <w:rsid w:val="00295871"/>
    <w:rsid w:val="00295D12"/>
    <w:rsid w:val="00296098"/>
    <w:rsid w:val="0029619C"/>
    <w:rsid w:val="002962ED"/>
    <w:rsid w:val="00296507"/>
    <w:rsid w:val="002965F2"/>
    <w:rsid w:val="00296DBA"/>
    <w:rsid w:val="002970C9"/>
    <w:rsid w:val="002974AB"/>
    <w:rsid w:val="0029750D"/>
    <w:rsid w:val="002977D7"/>
    <w:rsid w:val="002978CA"/>
    <w:rsid w:val="00297AE4"/>
    <w:rsid w:val="00297DB9"/>
    <w:rsid w:val="002A00AB"/>
    <w:rsid w:val="002A0535"/>
    <w:rsid w:val="002A05CE"/>
    <w:rsid w:val="002A09B8"/>
    <w:rsid w:val="002A0A05"/>
    <w:rsid w:val="002A0B79"/>
    <w:rsid w:val="002A0FE1"/>
    <w:rsid w:val="002A13DD"/>
    <w:rsid w:val="002A175B"/>
    <w:rsid w:val="002A2651"/>
    <w:rsid w:val="002A2660"/>
    <w:rsid w:val="002A28CC"/>
    <w:rsid w:val="002A2ADA"/>
    <w:rsid w:val="002A2CBC"/>
    <w:rsid w:val="002A2E49"/>
    <w:rsid w:val="002A2EA6"/>
    <w:rsid w:val="002A3982"/>
    <w:rsid w:val="002A4984"/>
    <w:rsid w:val="002A4B35"/>
    <w:rsid w:val="002A4E3B"/>
    <w:rsid w:val="002A5045"/>
    <w:rsid w:val="002A5106"/>
    <w:rsid w:val="002A534F"/>
    <w:rsid w:val="002A5717"/>
    <w:rsid w:val="002A5D7A"/>
    <w:rsid w:val="002A5EF9"/>
    <w:rsid w:val="002A62FD"/>
    <w:rsid w:val="002A66B3"/>
    <w:rsid w:val="002A6ACC"/>
    <w:rsid w:val="002A6B95"/>
    <w:rsid w:val="002A7A87"/>
    <w:rsid w:val="002A7D55"/>
    <w:rsid w:val="002B1267"/>
    <w:rsid w:val="002B146E"/>
    <w:rsid w:val="002B1652"/>
    <w:rsid w:val="002B1EE7"/>
    <w:rsid w:val="002B23E8"/>
    <w:rsid w:val="002B25DF"/>
    <w:rsid w:val="002B26A6"/>
    <w:rsid w:val="002B274C"/>
    <w:rsid w:val="002B4030"/>
    <w:rsid w:val="002B40FB"/>
    <w:rsid w:val="002B4390"/>
    <w:rsid w:val="002B47EA"/>
    <w:rsid w:val="002B488A"/>
    <w:rsid w:val="002B4E64"/>
    <w:rsid w:val="002B5215"/>
    <w:rsid w:val="002B5EEC"/>
    <w:rsid w:val="002B6A74"/>
    <w:rsid w:val="002B6C3B"/>
    <w:rsid w:val="002B6D20"/>
    <w:rsid w:val="002B72C1"/>
    <w:rsid w:val="002B74DC"/>
    <w:rsid w:val="002B7550"/>
    <w:rsid w:val="002B776C"/>
    <w:rsid w:val="002B77DD"/>
    <w:rsid w:val="002C00BB"/>
    <w:rsid w:val="002C048F"/>
    <w:rsid w:val="002C0E37"/>
    <w:rsid w:val="002C1641"/>
    <w:rsid w:val="002C1697"/>
    <w:rsid w:val="002C235F"/>
    <w:rsid w:val="002C283A"/>
    <w:rsid w:val="002C2A40"/>
    <w:rsid w:val="002C2D1A"/>
    <w:rsid w:val="002C32FB"/>
    <w:rsid w:val="002C33EA"/>
    <w:rsid w:val="002C39DB"/>
    <w:rsid w:val="002C3C11"/>
    <w:rsid w:val="002C3D3E"/>
    <w:rsid w:val="002C3E0F"/>
    <w:rsid w:val="002C43CF"/>
    <w:rsid w:val="002C4538"/>
    <w:rsid w:val="002C4AC9"/>
    <w:rsid w:val="002C4C08"/>
    <w:rsid w:val="002C4ED7"/>
    <w:rsid w:val="002C50CA"/>
    <w:rsid w:val="002C5A14"/>
    <w:rsid w:val="002C600F"/>
    <w:rsid w:val="002C66F9"/>
    <w:rsid w:val="002C6832"/>
    <w:rsid w:val="002C6A11"/>
    <w:rsid w:val="002C6BE2"/>
    <w:rsid w:val="002C6D0D"/>
    <w:rsid w:val="002C6DFA"/>
    <w:rsid w:val="002C6EB2"/>
    <w:rsid w:val="002C7107"/>
    <w:rsid w:val="002C74C7"/>
    <w:rsid w:val="002C7643"/>
    <w:rsid w:val="002C7A56"/>
    <w:rsid w:val="002D073D"/>
    <w:rsid w:val="002D0776"/>
    <w:rsid w:val="002D103E"/>
    <w:rsid w:val="002D112A"/>
    <w:rsid w:val="002D1281"/>
    <w:rsid w:val="002D1435"/>
    <w:rsid w:val="002D18EA"/>
    <w:rsid w:val="002D19A3"/>
    <w:rsid w:val="002D1D20"/>
    <w:rsid w:val="002D1EF6"/>
    <w:rsid w:val="002D2266"/>
    <w:rsid w:val="002D258B"/>
    <w:rsid w:val="002D2698"/>
    <w:rsid w:val="002D26F7"/>
    <w:rsid w:val="002D29EF"/>
    <w:rsid w:val="002D2A79"/>
    <w:rsid w:val="002D2DCA"/>
    <w:rsid w:val="002D2DEB"/>
    <w:rsid w:val="002D3061"/>
    <w:rsid w:val="002D3622"/>
    <w:rsid w:val="002D38AE"/>
    <w:rsid w:val="002D3C43"/>
    <w:rsid w:val="002D406A"/>
    <w:rsid w:val="002D49FD"/>
    <w:rsid w:val="002D4D1E"/>
    <w:rsid w:val="002D4E8B"/>
    <w:rsid w:val="002D51FF"/>
    <w:rsid w:val="002D5EC7"/>
    <w:rsid w:val="002D6046"/>
    <w:rsid w:val="002D6AFA"/>
    <w:rsid w:val="002D6CBD"/>
    <w:rsid w:val="002D6F74"/>
    <w:rsid w:val="002D6FA6"/>
    <w:rsid w:val="002E04D1"/>
    <w:rsid w:val="002E0609"/>
    <w:rsid w:val="002E0623"/>
    <w:rsid w:val="002E16B9"/>
    <w:rsid w:val="002E174E"/>
    <w:rsid w:val="002E186A"/>
    <w:rsid w:val="002E1937"/>
    <w:rsid w:val="002E1AD8"/>
    <w:rsid w:val="002E1ED5"/>
    <w:rsid w:val="002E1FF5"/>
    <w:rsid w:val="002E264B"/>
    <w:rsid w:val="002E3BE8"/>
    <w:rsid w:val="002E3E33"/>
    <w:rsid w:val="002E5068"/>
    <w:rsid w:val="002E549A"/>
    <w:rsid w:val="002E5AD3"/>
    <w:rsid w:val="002E606A"/>
    <w:rsid w:val="002E6332"/>
    <w:rsid w:val="002E63F9"/>
    <w:rsid w:val="002E643B"/>
    <w:rsid w:val="002E64F8"/>
    <w:rsid w:val="002E67DA"/>
    <w:rsid w:val="002E6C8B"/>
    <w:rsid w:val="002E6D0D"/>
    <w:rsid w:val="002E774F"/>
    <w:rsid w:val="002E7E56"/>
    <w:rsid w:val="002F094C"/>
    <w:rsid w:val="002F0A49"/>
    <w:rsid w:val="002F0AF6"/>
    <w:rsid w:val="002F18B8"/>
    <w:rsid w:val="002F1B1C"/>
    <w:rsid w:val="002F1E87"/>
    <w:rsid w:val="002F2240"/>
    <w:rsid w:val="002F2562"/>
    <w:rsid w:val="002F3296"/>
    <w:rsid w:val="002F36C6"/>
    <w:rsid w:val="002F389F"/>
    <w:rsid w:val="002F47AB"/>
    <w:rsid w:val="002F47FA"/>
    <w:rsid w:val="002F5104"/>
    <w:rsid w:val="002F51E7"/>
    <w:rsid w:val="002F5D7E"/>
    <w:rsid w:val="002F601E"/>
    <w:rsid w:val="002F642F"/>
    <w:rsid w:val="002F6566"/>
    <w:rsid w:val="002F6D33"/>
    <w:rsid w:val="002F6E5D"/>
    <w:rsid w:val="002F6FFF"/>
    <w:rsid w:val="002F759C"/>
    <w:rsid w:val="002F7786"/>
    <w:rsid w:val="002F779A"/>
    <w:rsid w:val="002F7921"/>
    <w:rsid w:val="003001B5"/>
    <w:rsid w:val="003006C8"/>
    <w:rsid w:val="00300855"/>
    <w:rsid w:val="003009D2"/>
    <w:rsid w:val="003009E6"/>
    <w:rsid w:val="00300CF3"/>
    <w:rsid w:val="00301184"/>
    <w:rsid w:val="003012DF"/>
    <w:rsid w:val="0030141D"/>
    <w:rsid w:val="0030156F"/>
    <w:rsid w:val="003018B3"/>
    <w:rsid w:val="00301B67"/>
    <w:rsid w:val="00301EF8"/>
    <w:rsid w:val="00302423"/>
    <w:rsid w:val="003026C9"/>
    <w:rsid w:val="00302C7F"/>
    <w:rsid w:val="003033F4"/>
    <w:rsid w:val="00303532"/>
    <w:rsid w:val="00303717"/>
    <w:rsid w:val="00303798"/>
    <w:rsid w:val="003042C2"/>
    <w:rsid w:val="00304306"/>
    <w:rsid w:val="00304627"/>
    <w:rsid w:val="00304651"/>
    <w:rsid w:val="0030485F"/>
    <w:rsid w:val="003049A5"/>
    <w:rsid w:val="00304A4A"/>
    <w:rsid w:val="00305E97"/>
    <w:rsid w:val="003061A5"/>
    <w:rsid w:val="003061E8"/>
    <w:rsid w:val="003062FA"/>
    <w:rsid w:val="0030645C"/>
    <w:rsid w:val="00306554"/>
    <w:rsid w:val="00306673"/>
    <w:rsid w:val="00306920"/>
    <w:rsid w:val="00306C05"/>
    <w:rsid w:val="0030702A"/>
    <w:rsid w:val="003071AD"/>
    <w:rsid w:val="003077E9"/>
    <w:rsid w:val="003078B0"/>
    <w:rsid w:val="003078EA"/>
    <w:rsid w:val="00307D6D"/>
    <w:rsid w:val="00307EDD"/>
    <w:rsid w:val="003100EE"/>
    <w:rsid w:val="0031051B"/>
    <w:rsid w:val="003107C8"/>
    <w:rsid w:val="00310F1F"/>
    <w:rsid w:val="00311092"/>
    <w:rsid w:val="00311781"/>
    <w:rsid w:val="00311876"/>
    <w:rsid w:val="00311EDB"/>
    <w:rsid w:val="00312A7C"/>
    <w:rsid w:val="0031363A"/>
    <w:rsid w:val="00313DEA"/>
    <w:rsid w:val="0031447F"/>
    <w:rsid w:val="0031456E"/>
    <w:rsid w:val="00314BEE"/>
    <w:rsid w:val="00315714"/>
    <w:rsid w:val="00315B3F"/>
    <w:rsid w:val="00315CA6"/>
    <w:rsid w:val="00315F36"/>
    <w:rsid w:val="0031617F"/>
    <w:rsid w:val="0031630E"/>
    <w:rsid w:val="003166AB"/>
    <w:rsid w:val="00316C45"/>
    <w:rsid w:val="00316CA8"/>
    <w:rsid w:val="00316D48"/>
    <w:rsid w:val="00317018"/>
    <w:rsid w:val="00317470"/>
    <w:rsid w:val="00317A55"/>
    <w:rsid w:val="00317E0B"/>
    <w:rsid w:val="003205EA"/>
    <w:rsid w:val="003205F9"/>
    <w:rsid w:val="00320670"/>
    <w:rsid w:val="00320891"/>
    <w:rsid w:val="00320C76"/>
    <w:rsid w:val="00320F50"/>
    <w:rsid w:val="0032103F"/>
    <w:rsid w:val="0032128D"/>
    <w:rsid w:val="00321566"/>
    <w:rsid w:val="00321A51"/>
    <w:rsid w:val="00321C45"/>
    <w:rsid w:val="003226DF"/>
    <w:rsid w:val="00322746"/>
    <w:rsid w:val="003230A3"/>
    <w:rsid w:val="003231CF"/>
    <w:rsid w:val="00323365"/>
    <w:rsid w:val="003234A3"/>
    <w:rsid w:val="0032408E"/>
    <w:rsid w:val="00324263"/>
    <w:rsid w:val="003245B0"/>
    <w:rsid w:val="00324B75"/>
    <w:rsid w:val="0032600A"/>
    <w:rsid w:val="003267FE"/>
    <w:rsid w:val="00327F1D"/>
    <w:rsid w:val="00327F4B"/>
    <w:rsid w:val="00330A79"/>
    <w:rsid w:val="00330AF6"/>
    <w:rsid w:val="00330CC1"/>
    <w:rsid w:val="00330E7B"/>
    <w:rsid w:val="00331950"/>
    <w:rsid w:val="00331CFB"/>
    <w:rsid w:val="00331D7C"/>
    <w:rsid w:val="003324F3"/>
    <w:rsid w:val="00332528"/>
    <w:rsid w:val="00333535"/>
    <w:rsid w:val="00333782"/>
    <w:rsid w:val="00333876"/>
    <w:rsid w:val="00333884"/>
    <w:rsid w:val="00333D98"/>
    <w:rsid w:val="00333F1D"/>
    <w:rsid w:val="0033405F"/>
    <w:rsid w:val="00334476"/>
    <w:rsid w:val="003345EC"/>
    <w:rsid w:val="00334817"/>
    <w:rsid w:val="00334D0B"/>
    <w:rsid w:val="003358B6"/>
    <w:rsid w:val="00336068"/>
    <w:rsid w:val="003365E4"/>
    <w:rsid w:val="00336881"/>
    <w:rsid w:val="00336B28"/>
    <w:rsid w:val="00336D16"/>
    <w:rsid w:val="00337D36"/>
    <w:rsid w:val="00337E4B"/>
    <w:rsid w:val="00340420"/>
    <w:rsid w:val="003407D4"/>
    <w:rsid w:val="00340DA3"/>
    <w:rsid w:val="00340FE3"/>
    <w:rsid w:val="00341300"/>
    <w:rsid w:val="003413B8"/>
    <w:rsid w:val="00341583"/>
    <w:rsid w:val="003415D4"/>
    <w:rsid w:val="00342481"/>
    <w:rsid w:val="00342A17"/>
    <w:rsid w:val="00343032"/>
    <w:rsid w:val="00344FC8"/>
    <w:rsid w:val="00345123"/>
    <w:rsid w:val="003454A4"/>
    <w:rsid w:val="003459CB"/>
    <w:rsid w:val="00345C9D"/>
    <w:rsid w:val="00345E44"/>
    <w:rsid w:val="00345EFD"/>
    <w:rsid w:val="00345F34"/>
    <w:rsid w:val="0034670B"/>
    <w:rsid w:val="00346AD5"/>
    <w:rsid w:val="00346B57"/>
    <w:rsid w:val="003471A8"/>
    <w:rsid w:val="00347505"/>
    <w:rsid w:val="003477AB"/>
    <w:rsid w:val="00347899"/>
    <w:rsid w:val="003479CC"/>
    <w:rsid w:val="00347EA1"/>
    <w:rsid w:val="00347EB0"/>
    <w:rsid w:val="003502A4"/>
    <w:rsid w:val="0035031B"/>
    <w:rsid w:val="003503A5"/>
    <w:rsid w:val="003504AF"/>
    <w:rsid w:val="00352819"/>
    <w:rsid w:val="00353234"/>
    <w:rsid w:val="00353710"/>
    <w:rsid w:val="003537CD"/>
    <w:rsid w:val="003539B1"/>
    <w:rsid w:val="003539C5"/>
    <w:rsid w:val="00353A5D"/>
    <w:rsid w:val="00353A7A"/>
    <w:rsid w:val="00353E19"/>
    <w:rsid w:val="0035440E"/>
    <w:rsid w:val="00354A8B"/>
    <w:rsid w:val="00354FC8"/>
    <w:rsid w:val="0035549C"/>
    <w:rsid w:val="00355A4D"/>
    <w:rsid w:val="00355BC6"/>
    <w:rsid w:val="00355C37"/>
    <w:rsid w:val="00355D27"/>
    <w:rsid w:val="0035656A"/>
    <w:rsid w:val="0035657B"/>
    <w:rsid w:val="003568CC"/>
    <w:rsid w:val="00357053"/>
    <w:rsid w:val="0035724A"/>
    <w:rsid w:val="0035759C"/>
    <w:rsid w:val="003576D4"/>
    <w:rsid w:val="00357F59"/>
    <w:rsid w:val="00360176"/>
    <w:rsid w:val="0036054A"/>
    <w:rsid w:val="00360BE6"/>
    <w:rsid w:val="00361156"/>
    <w:rsid w:val="003617DA"/>
    <w:rsid w:val="00361805"/>
    <w:rsid w:val="00361971"/>
    <w:rsid w:val="003619A8"/>
    <w:rsid w:val="00361A8F"/>
    <w:rsid w:val="00362029"/>
    <w:rsid w:val="0036207F"/>
    <w:rsid w:val="00362133"/>
    <w:rsid w:val="003623C4"/>
    <w:rsid w:val="003625DE"/>
    <w:rsid w:val="00362746"/>
    <w:rsid w:val="00362B46"/>
    <w:rsid w:val="00362E46"/>
    <w:rsid w:val="003632E4"/>
    <w:rsid w:val="00363631"/>
    <w:rsid w:val="00363B63"/>
    <w:rsid w:val="00364B9E"/>
    <w:rsid w:val="00364BF8"/>
    <w:rsid w:val="00364D3F"/>
    <w:rsid w:val="003658A2"/>
    <w:rsid w:val="00365BD2"/>
    <w:rsid w:val="00365E7A"/>
    <w:rsid w:val="003662DD"/>
    <w:rsid w:val="00366503"/>
    <w:rsid w:val="0036663B"/>
    <w:rsid w:val="00366FCF"/>
    <w:rsid w:val="003672CB"/>
    <w:rsid w:val="003675C3"/>
    <w:rsid w:val="0036763E"/>
    <w:rsid w:val="00367F5E"/>
    <w:rsid w:val="003700F0"/>
    <w:rsid w:val="003703D8"/>
    <w:rsid w:val="0037083F"/>
    <w:rsid w:val="00370A36"/>
    <w:rsid w:val="00370E56"/>
    <w:rsid w:val="00371128"/>
    <w:rsid w:val="003718E7"/>
    <w:rsid w:val="00371E0A"/>
    <w:rsid w:val="003722F9"/>
    <w:rsid w:val="00372C85"/>
    <w:rsid w:val="00373179"/>
    <w:rsid w:val="003739E7"/>
    <w:rsid w:val="00374D29"/>
    <w:rsid w:val="00374E1D"/>
    <w:rsid w:val="00374E7A"/>
    <w:rsid w:val="00375261"/>
    <w:rsid w:val="003755AC"/>
    <w:rsid w:val="003755F7"/>
    <w:rsid w:val="00375E68"/>
    <w:rsid w:val="0037662D"/>
    <w:rsid w:val="00376F17"/>
    <w:rsid w:val="00377481"/>
    <w:rsid w:val="00377890"/>
    <w:rsid w:val="003778FF"/>
    <w:rsid w:val="00377CF4"/>
    <w:rsid w:val="00380263"/>
    <w:rsid w:val="003805E7"/>
    <w:rsid w:val="00380751"/>
    <w:rsid w:val="00381296"/>
    <w:rsid w:val="003812EB"/>
    <w:rsid w:val="003816A1"/>
    <w:rsid w:val="003817A1"/>
    <w:rsid w:val="0038186D"/>
    <w:rsid w:val="00381CF4"/>
    <w:rsid w:val="00381D90"/>
    <w:rsid w:val="00381DDF"/>
    <w:rsid w:val="0038238A"/>
    <w:rsid w:val="00382470"/>
    <w:rsid w:val="003824BC"/>
    <w:rsid w:val="00382626"/>
    <w:rsid w:val="00382886"/>
    <w:rsid w:val="00382D9D"/>
    <w:rsid w:val="00382F9F"/>
    <w:rsid w:val="00383BF4"/>
    <w:rsid w:val="00383D9F"/>
    <w:rsid w:val="0038412C"/>
    <w:rsid w:val="00384436"/>
    <w:rsid w:val="0038447E"/>
    <w:rsid w:val="00384927"/>
    <w:rsid w:val="00384A41"/>
    <w:rsid w:val="00385555"/>
    <w:rsid w:val="0038575C"/>
    <w:rsid w:val="0038617E"/>
    <w:rsid w:val="003864A5"/>
    <w:rsid w:val="00386B97"/>
    <w:rsid w:val="00386C13"/>
    <w:rsid w:val="00386ED0"/>
    <w:rsid w:val="00387259"/>
    <w:rsid w:val="00387355"/>
    <w:rsid w:val="00387494"/>
    <w:rsid w:val="003877E2"/>
    <w:rsid w:val="00387960"/>
    <w:rsid w:val="00387982"/>
    <w:rsid w:val="0039003E"/>
    <w:rsid w:val="00390169"/>
    <w:rsid w:val="00390392"/>
    <w:rsid w:val="00390AE4"/>
    <w:rsid w:val="00390CC9"/>
    <w:rsid w:val="00391271"/>
    <w:rsid w:val="00391504"/>
    <w:rsid w:val="00391798"/>
    <w:rsid w:val="00391830"/>
    <w:rsid w:val="00391896"/>
    <w:rsid w:val="0039214C"/>
    <w:rsid w:val="0039221C"/>
    <w:rsid w:val="0039243C"/>
    <w:rsid w:val="003926C9"/>
    <w:rsid w:val="00392D13"/>
    <w:rsid w:val="00392F75"/>
    <w:rsid w:val="00393268"/>
    <w:rsid w:val="0039374C"/>
    <w:rsid w:val="003937F9"/>
    <w:rsid w:val="00393F58"/>
    <w:rsid w:val="00394136"/>
    <w:rsid w:val="00394776"/>
    <w:rsid w:val="00394847"/>
    <w:rsid w:val="00394E71"/>
    <w:rsid w:val="00394ECD"/>
    <w:rsid w:val="00394F99"/>
    <w:rsid w:val="003951F6"/>
    <w:rsid w:val="00395212"/>
    <w:rsid w:val="003958D9"/>
    <w:rsid w:val="00395AFD"/>
    <w:rsid w:val="003961B0"/>
    <w:rsid w:val="0039728E"/>
    <w:rsid w:val="003973BD"/>
    <w:rsid w:val="00397707"/>
    <w:rsid w:val="00397FC0"/>
    <w:rsid w:val="003A06B3"/>
    <w:rsid w:val="003A0B76"/>
    <w:rsid w:val="003A1614"/>
    <w:rsid w:val="003A1B99"/>
    <w:rsid w:val="003A1BA9"/>
    <w:rsid w:val="003A2292"/>
    <w:rsid w:val="003A2408"/>
    <w:rsid w:val="003A2992"/>
    <w:rsid w:val="003A2CC6"/>
    <w:rsid w:val="003A30B2"/>
    <w:rsid w:val="003A339C"/>
    <w:rsid w:val="003A391C"/>
    <w:rsid w:val="003A3C50"/>
    <w:rsid w:val="003A443C"/>
    <w:rsid w:val="003A4817"/>
    <w:rsid w:val="003A4BB9"/>
    <w:rsid w:val="003A55D5"/>
    <w:rsid w:val="003A5C00"/>
    <w:rsid w:val="003A5D3E"/>
    <w:rsid w:val="003A6828"/>
    <w:rsid w:val="003A692A"/>
    <w:rsid w:val="003A7087"/>
    <w:rsid w:val="003A7698"/>
    <w:rsid w:val="003A79F7"/>
    <w:rsid w:val="003B04D8"/>
    <w:rsid w:val="003B05ED"/>
    <w:rsid w:val="003B0A18"/>
    <w:rsid w:val="003B0F46"/>
    <w:rsid w:val="003B1DD4"/>
    <w:rsid w:val="003B1F11"/>
    <w:rsid w:val="003B2B62"/>
    <w:rsid w:val="003B3600"/>
    <w:rsid w:val="003B3DC2"/>
    <w:rsid w:val="003B4934"/>
    <w:rsid w:val="003B4F6C"/>
    <w:rsid w:val="003B5B58"/>
    <w:rsid w:val="003B623C"/>
    <w:rsid w:val="003B65B0"/>
    <w:rsid w:val="003B6A37"/>
    <w:rsid w:val="003B6D1A"/>
    <w:rsid w:val="003B74A7"/>
    <w:rsid w:val="003B7773"/>
    <w:rsid w:val="003B7778"/>
    <w:rsid w:val="003B792B"/>
    <w:rsid w:val="003C0B12"/>
    <w:rsid w:val="003C0D40"/>
    <w:rsid w:val="003C1F8F"/>
    <w:rsid w:val="003C287D"/>
    <w:rsid w:val="003C2AD7"/>
    <w:rsid w:val="003C3071"/>
    <w:rsid w:val="003C3268"/>
    <w:rsid w:val="003C3C6C"/>
    <w:rsid w:val="003C4AA6"/>
    <w:rsid w:val="003C4E74"/>
    <w:rsid w:val="003C4F6F"/>
    <w:rsid w:val="003C52F2"/>
    <w:rsid w:val="003C5467"/>
    <w:rsid w:val="003C596F"/>
    <w:rsid w:val="003C59C6"/>
    <w:rsid w:val="003C5A13"/>
    <w:rsid w:val="003C5EF1"/>
    <w:rsid w:val="003C6207"/>
    <w:rsid w:val="003C6216"/>
    <w:rsid w:val="003C66BA"/>
    <w:rsid w:val="003C745C"/>
    <w:rsid w:val="003C78D6"/>
    <w:rsid w:val="003C7CC2"/>
    <w:rsid w:val="003C7D03"/>
    <w:rsid w:val="003D0208"/>
    <w:rsid w:val="003D0FDE"/>
    <w:rsid w:val="003D110E"/>
    <w:rsid w:val="003D16F4"/>
    <w:rsid w:val="003D1AD4"/>
    <w:rsid w:val="003D1CD5"/>
    <w:rsid w:val="003D1DF1"/>
    <w:rsid w:val="003D2BDA"/>
    <w:rsid w:val="003D2CEB"/>
    <w:rsid w:val="003D2DAF"/>
    <w:rsid w:val="003D3114"/>
    <w:rsid w:val="003D354E"/>
    <w:rsid w:val="003D356A"/>
    <w:rsid w:val="003D372F"/>
    <w:rsid w:val="003D38A6"/>
    <w:rsid w:val="003D3AD2"/>
    <w:rsid w:val="003D3C8A"/>
    <w:rsid w:val="003D4940"/>
    <w:rsid w:val="003D49D3"/>
    <w:rsid w:val="003D49F2"/>
    <w:rsid w:val="003D4B43"/>
    <w:rsid w:val="003D528D"/>
    <w:rsid w:val="003D52A9"/>
    <w:rsid w:val="003D58A7"/>
    <w:rsid w:val="003D5C3D"/>
    <w:rsid w:val="003D6A26"/>
    <w:rsid w:val="003D6FB3"/>
    <w:rsid w:val="003D7754"/>
    <w:rsid w:val="003E0459"/>
    <w:rsid w:val="003E0774"/>
    <w:rsid w:val="003E0B70"/>
    <w:rsid w:val="003E0F09"/>
    <w:rsid w:val="003E157A"/>
    <w:rsid w:val="003E19CF"/>
    <w:rsid w:val="003E1DFF"/>
    <w:rsid w:val="003E1FE8"/>
    <w:rsid w:val="003E215D"/>
    <w:rsid w:val="003E28B4"/>
    <w:rsid w:val="003E2B24"/>
    <w:rsid w:val="003E340E"/>
    <w:rsid w:val="003E3DEA"/>
    <w:rsid w:val="003E5FB7"/>
    <w:rsid w:val="003E604D"/>
    <w:rsid w:val="003E606D"/>
    <w:rsid w:val="003E635F"/>
    <w:rsid w:val="003E717C"/>
    <w:rsid w:val="003E7433"/>
    <w:rsid w:val="003E7A9C"/>
    <w:rsid w:val="003F054E"/>
    <w:rsid w:val="003F0649"/>
    <w:rsid w:val="003F0C40"/>
    <w:rsid w:val="003F10F9"/>
    <w:rsid w:val="003F1352"/>
    <w:rsid w:val="003F1600"/>
    <w:rsid w:val="003F1F98"/>
    <w:rsid w:val="003F2712"/>
    <w:rsid w:val="003F3130"/>
    <w:rsid w:val="003F35DF"/>
    <w:rsid w:val="003F3EA3"/>
    <w:rsid w:val="003F3EC1"/>
    <w:rsid w:val="003F424C"/>
    <w:rsid w:val="003F43AA"/>
    <w:rsid w:val="003F4476"/>
    <w:rsid w:val="003F4484"/>
    <w:rsid w:val="003F4783"/>
    <w:rsid w:val="003F4950"/>
    <w:rsid w:val="003F51A1"/>
    <w:rsid w:val="003F58B8"/>
    <w:rsid w:val="003F5AEB"/>
    <w:rsid w:val="003F5D46"/>
    <w:rsid w:val="003F5D9B"/>
    <w:rsid w:val="003F5F7B"/>
    <w:rsid w:val="003F6901"/>
    <w:rsid w:val="003F6A90"/>
    <w:rsid w:val="003F7538"/>
    <w:rsid w:val="003F7830"/>
    <w:rsid w:val="003F78C2"/>
    <w:rsid w:val="003F7A00"/>
    <w:rsid w:val="003F7CAB"/>
    <w:rsid w:val="004009DE"/>
    <w:rsid w:val="00400A33"/>
    <w:rsid w:val="00401451"/>
    <w:rsid w:val="004015BF"/>
    <w:rsid w:val="00401F23"/>
    <w:rsid w:val="00402706"/>
    <w:rsid w:val="0040281A"/>
    <w:rsid w:val="00402CF4"/>
    <w:rsid w:val="00403F75"/>
    <w:rsid w:val="00404135"/>
    <w:rsid w:val="004049A2"/>
    <w:rsid w:val="00404CA7"/>
    <w:rsid w:val="00405654"/>
    <w:rsid w:val="0040572A"/>
    <w:rsid w:val="00406086"/>
    <w:rsid w:val="004062CA"/>
    <w:rsid w:val="004064AB"/>
    <w:rsid w:val="00406AD8"/>
    <w:rsid w:val="00406C77"/>
    <w:rsid w:val="00406DB0"/>
    <w:rsid w:val="004072EC"/>
    <w:rsid w:val="00407B2F"/>
    <w:rsid w:val="00407BF4"/>
    <w:rsid w:val="00410185"/>
    <w:rsid w:val="00410470"/>
    <w:rsid w:val="00410709"/>
    <w:rsid w:val="004114A1"/>
    <w:rsid w:val="004119A0"/>
    <w:rsid w:val="00411B17"/>
    <w:rsid w:val="004122A0"/>
    <w:rsid w:val="00412431"/>
    <w:rsid w:val="004124E5"/>
    <w:rsid w:val="0041283E"/>
    <w:rsid w:val="00412955"/>
    <w:rsid w:val="00412B95"/>
    <w:rsid w:val="00412E4B"/>
    <w:rsid w:val="00413758"/>
    <w:rsid w:val="00413B5F"/>
    <w:rsid w:val="004140A9"/>
    <w:rsid w:val="00414205"/>
    <w:rsid w:val="004146C5"/>
    <w:rsid w:val="004149C4"/>
    <w:rsid w:val="00414ABA"/>
    <w:rsid w:val="00414D26"/>
    <w:rsid w:val="00415184"/>
    <w:rsid w:val="004155E9"/>
    <w:rsid w:val="004169CE"/>
    <w:rsid w:val="004171A5"/>
    <w:rsid w:val="00417268"/>
    <w:rsid w:val="004174B1"/>
    <w:rsid w:val="00417872"/>
    <w:rsid w:val="00417E15"/>
    <w:rsid w:val="00420875"/>
    <w:rsid w:val="00420957"/>
    <w:rsid w:val="00420E67"/>
    <w:rsid w:val="0042103D"/>
    <w:rsid w:val="0042127B"/>
    <w:rsid w:val="0042133F"/>
    <w:rsid w:val="00421B00"/>
    <w:rsid w:val="004220C3"/>
    <w:rsid w:val="004221A7"/>
    <w:rsid w:val="0042287C"/>
    <w:rsid w:val="004231B7"/>
    <w:rsid w:val="00423202"/>
    <w:rsid w:val="0042324C"/>
    <w:rsid w:val="004233FD"/>
    <w:rsid w:val="0042352C"/>
    <w:rsid w:val="00423989"/>
    <w:rsid w:val="00423993"/>
    <w:rsid w:val="00423F3A"/>
    <w:rsid w:val="00424289"/>
    <w:rsid w:val="00424744"/>
    <w:rsid w:val="00424B92"/>
    <w:rsid w:val="00424E61"/>
    <w:rsid w:val="00424E86"/>
    <w:rsid w:val="00424F07"/>
    <w:rsid w:val="00424F0B"/>
    <w:rsid w:val="00425549"/>
    <w:rsid w:val="00425DB6"/>
    <w:rsid w:val="0042619E"/>
    <w:rsid w:val="00426286"/>
    <w:rsid w:val="00426767"/>
    <w:rsid w:val="00426BAF"/>
    <w:rsid w:val="00426FCD"/>
    <w:rsid w:val="00430531"/>
    <w:rsid w:val="00430869"/>
    <w:rsid w:val="00431043"/>
    <w:rsid w:val="0043193F"/>
    <w:rsid w:val="00432351"/>
    <w:rsid w:val="00432497"/>
    <w:rsid w:val="004325B5"/>
    <w:rsid w:val="0043269C"/>
    <w:rsid w:val="00432BFE"/>
    <w:rsid w:val="00432F9E"/>
    <w:rsid w:val="0043313F"/>
    <w:rsid w:val="00433824"/>
    <w:rsid w:val="004338D1"/>
    <w:rsid w:val="00433AD6"/>
    <w:rsid w:val="0043429B"/>
    <w:rsid w:val="00434769"/>
    <w:rsid w:val="00434994"/>
    <w:rsid w:val="00434B32"/>
    <w:rsid w:val="0043546B"/>
    <w:rsid w:val="004356D2"/>
    <w:rsid w:val="00435816"/>
    <w:rsid w:val="00435AC1"/>
    <w:rsid w:val="00435C37"/>
    <w:rsid w:val="00435EC7"/>
    <w:rsid w:val="004362D7"/>
    <w:rsid w:val="00436B62"/>
    <w:rsid w:val="00436E8D"/>
    <w:rsid w:val="0043742A"/>
    <w:rsid w:val="004401A3"/>
    <w:rsid w:val="004405BA"/>
    <w:rsid w:val="00440633"/>
    <w:rsid w:val="00440A04"/>
    <w:rsid w:val="00440D9D"/>
    <w:rsid w:val="004410E9"/>
    <w:rsid w:val="004414C1"/>
    <w:rsid w:val="00441ADA"/>
    <w:rsid w:val="004420FC"/>
    <w:rsid w:val="00442792"/>
    <w:rsid w:val="00442D7F"/>
    <w:rsid w:val="00443066"/>
    <w:rsid w:val="0044319D"/>
    <w:rsid w:val="00443212"/>
    <w:rsid w:val="00443C03"/>
    <w:rsid w:val="00443E91"/>
    <w:rsid w:val="0044407E"/>
    <w:rsid w:val="004440D2"/>
    <w:rsid w:val="004446B6"/>
    <w:rsid w:val="004447F6"/>
    <w:rsid w:val="00445528"/>
    <w:rsid w:val="0044565A"/>
    <w:rsid w:val="004456CF"/>
    <w:rsid w:val="00445B30"/>
    <w:rsid w:val="0044614D"/>
    <w:rsid w:val="00446254"/>
    <w:rsid w:val="004468EB"/>
    <w:rsid w:val="00446CC7"/>
    <w:rsid w:val="00446FF1"/>
    <w:rsid w:val="0044714D"/>
    <w:rsid w:val="004473E5"/>
    <w:rsid w:val="004478F4"/>
    <w:rsid w:val="00450871"/>
    <w:rsid w:val="004513D7"/>
    <w:rsid w:val="004515B6"/>
    <w:rsid w:val="00451756"/>
    <w:rsid w:val="00451859"/>
    <w:rsid w:val="004518D4"/>
    <w:rsid w:val="00451B37"/>
    <w:rsid w:val="0045222D"/>
    <w:rsid w:val="00452D1E"/>
    <w:rsid w:val="0045398C"/>
    <w:rsid w:val="00453BAB"/>
    <w:rsid w:val="00453F25"/>
    <w:rsid w:val="00454222"/>
    <w:rsid w:val="004545FF"/>
    <w:rsid w:val="00454BB3"/>
    <w:rsid w:val="00455067"/>
    <w:rsid w:val="00455BF5"/>
    <w:rsid w:val="004563B1"/>
    <w:rsid w:val="0045640F"/>
    <w:rsid w:val="00456CD2"/>
    <w:rsid w:val="00456DE1"/>
    <w:rsid w:val="00457918"/>
    <w:rsid w:val="00457B05"/>
    <w:rsid w:val="00460AE0"/>
    <w:rsid w:val="00460ECC"/>
    <w:rsid w:val="004610CA"/>
    <w:rsid w:val="0046179E"/>
    <w:rsid w:val="004617F9"/>
    <w:rsid w:val="00461DE4"/>
    <w:rsid w:val="0046236C"/>
    <w:rsid w:val="00462497"/>
    <w:rsid w:val="004626CF"/>
    <w:rsid w:val="00462AB1"/>
    <w:rsid w:val="00462B96"/>
    <w:rsid w:val="00462CD2"/>
    <w:rsid w:val="00463E47"/>
    <w:rsid w:val="00464AA4"/>
    <w:rsid w:val="00464D41"/>
    <w:rsid w:val="004657E9"/>
    <w:rsid w:val="00465C53"/>
    <w:rsid w:val="00465D59"/>
    <w:rsid w:val="00466C15"/>
    <w:rsid w:val="00466D1E"/>
    <w:rsid w:val="00466DB3"/>
    <w:rsid w:val="00466F36"/>
    <w:rsid w:val="0046751F"/>
    <w:rsid w:val="004700DB"/>
    <w:rsid w:val="004702C4"/>
    <w:rsid w:val="004704CC"/>
    <w:rsid w:val="00470AA0"/>
    <w:rsid w:val="00470D89"/>
    <w:rsid w:val="00470E70"/>
    <w:rsid w:val="00470EF6"/>
    <w:rsid w:val="00471483"/>
    <w:rsid w:val="004717BD"/>
    <w:rsid w:val="00471B72"/>
    <w:rsid w:val="00471F35"/>
    <w:rsid w:val="0047224D"/>
    <w:rsid w:val="00472514"/>
    <w:rsid w:val="00472AFD"/>
    <w:rsid w:val="00472D79"/>
    <w:rsid w:val="00473016"/>
    <w:rsid w:val="00473563"/>
    <w:rsid w:val="00473C2A"/>
    <w:rsid w:val="00473DA3"/>
    <w:rsid w:val="00474415"/>
    <w:rsid w:val="004744B9"/>
    <w:rsid w:val="00474543"/>
    <w:rsid w:val="004746E9"/>
    <w:rsid w:val="0047480F"/>
    <w:rsid w:val="00474872"/>
    <w:rsid w:val="004751D7"/>
    <w:rsid w:val="00475693"/>
    <w:rsid w:val="00475937"/>
    <w:rsid w:val="00475BAA"/>
    <w:rsid w:val="00475C2D"/>
    <w:rsid w:val="00475C49"/>
    <w:rsid w:val="004764A4"/>
    <w:rsid w:val="00476B51"/>
    <w:rsid w:val="00476C9A"/>
    <w:rsid w:val="00477E53"/>
    <w:rsid w:val="00480150"/>
    <w:rsid w:val="00480854"/>
    <w:rsid w:val="004808F7"/>
    <w:rsid w:val="00480906"/>
    <w:rsid w:val="00481224"/>
    <w:rsid w:val="00481745"/>
    <w:rsid w:val="00481890"/>
    <w:rsid w:val="004818BF"/>
    <w:rsid w:val="004837A6"/>
    <w:rsid w:val="00483D1D"/>
    <w:rsid w:val="00483F26"/>
    <w:rsid w:val="00485534"/>
    <w:rsid w:val="00485555"/>
    <w:rsid w:val="00485F87"/>
    <w:rsid w:val="00485FF8"/>
    <w:rsid w:val="004865FA"/>
    <w:rsid w:val="0048677C"/>
    <w:rsid w:val="00486B60"/>
    <w:rsid w:val="00486E62"/>
    <w:rsid w:val="00486F0A"/>
    <w:rsid w:val="00487203"/>
    <w:rsid w:val="00487677"/>
    <w:rsid w:val="0048783F"/>
    <w:rsid w:val="0048784E"/>
    <w:rsid w:val="004906FA"/>
    <w:rsid w:val="00490E92"/>
    <w:rsid w:val="004914EA"/>
    <w:rsid w:val="004919AE"/>
    <w:rsid w:val="00491AF5"/>
    <w:rsid w:val="00491DE7"/>
    <w:rsid w:val="00492343"/>
    <w:rsid w:val="004923CE"/>
    <w:rsid w:val="00492691"/>
    <w:rsid w:val="00492DDD"/>
    <w:rsid w:val="00493372"/>
    <w:rsid w:val="0049378F"/>
    <w:rsid w:val="00493F33"/>
    <w:rsid w:val="0049417E"/>
    <w:rsid w:val="0049491E"/>
    <w:rsid w:val="0049582F"/>
    <w:rsid w:val="00495A67"/>
    <w:rsid w:val="00495CEA"/>
    <w:rsid w:val="00495F54"/>
    <w:rsid w:val="00496B18"/>
    <w:rsid w:val="0049706A"/>
    <w:rsid w:val="004971B1"/>
    <w:rsid w:val="00497917"/>
    <w:rsid w:val="00497A4D"/>
    <w:rsid w:val="00497F28"/>
    <w:rsid w:val="00497FD6"/>
    <w:rsid w:val="004A004C"/>
    <w:rsid w:val="004A0778"/>
    <w:rsid w:val="004A0BB6"/>
    <w:rsid w:val="004A0C3D"/>
    <w:rsid w:val="004A0E86"/>
    <w:rsid w:val="004A0EA0"/>
    <w:rsid w:val="004A10CA"/>
    <w:rsid w:val="004A11EE"/>
    <w:rsid w:val="004A1251"/>
    <w:rsid w:val="004A1904"/>
    <w:rsid w:val="004A1C49"/>
    <w:rsid w:val="004A1EA2"/>
    <w:rsid w:val="004A209B"/>
    <w:rsid w:val="004A27FB"/>
    <w:rsid w:val="004A280A"/>
    <w:rsid w:val="004A2829"/>
    <w:rsid w:val="004A2DDD"/>
    <w:rsid w:val="004A380F"/>
    <w:rsid w:val="004A392C"/>
    <w:rsid w:val="004A395C"/>
    <w:rsid w:val="004A42BE"/>
    <w:rsid w:val="004A5D6A"/>
    <w:rsid w:val="004A6091"/>
    <w:rsid w:val="004A613B"/>
    <w:rsid w:val="004A685D"/>
    <w:rsid w:val="004A688C"/>
    <w:rsid w:val="004A6BD9"/>
    <w:rsid w:val="004A7193"/>
    <w:rsid w:val="004A771B"/>
    <w:rsid w:val="004A7C5C"/>
    <w:rsid w:val="004B0E8F"/>
    <w:rsid w:val="004B0EF3"/>
    <w:rsid w:val="004B1B9D"/>
    <w:rsid w:val="004B1D25"/>
    <w:rsid w:val="004B2063"/>
    <w:rsid w:val="004B2363"/>
    <w:rsid w:val="004B23DE"/>
    <w:rsid w:val="004B26B6"/>
    <w:rsid w:val="004B2ECC"/>
    <w:rsid w:val="004B307E"/>
    <w:rsid w:val="004B30BA"/>
    <w:rsid w:val="004B350D"/>
    <w:rsid w:val="004B3CCE"/>
    <w:rsid w:val="004B3E74"/>
    <w:rsid w:val="004B415E"/>
    <w:rsid w:val="004B433B"/>
    <w:rsid w:val="004B46F2"/>
    <w:rsid w:val="004B4713"/>
    <w:rsid w:val="004B4F4A"/>
    <w:rsid w:val="004B5626"/>
    <w:rsid w:val="004B5744"/>
    <w:rsid w:val="004B5E34"/>
    <w:rsid w:val="004B6563"/>
    <w:rsid w:val="004B6D68"/>
    <w:rsid w:val="004B70CF"/>
    <w:rsid w:val="004C0147"/>
    <w:rsid w:val="004C02A5"/>
    <w:rsid w:val="004C02E5"/>
    <w:rsid w:val="004C0CDC"/>
    <w:rsid w:val="004C0F0D"/>
    <w:rsid w:val="004C122C"/>
    <w:rsid w:val="004C1641"/>
    <w:rsid w:val="004C1B07"/>
    <w:rsid w:val="004C1DE4"/>
    <w:rsid w:val="004C1F14"/>
    <w:rsid w:val="004C2389"/>
    <w:rsid w:val="004C2637"/>
    <w:rsid w:val="004C2A56"/>
    <w:rsid w:val="004C2ECE"/>
    <w:rsid w:val="004C3515"/>
    <w:rsid w:val="004C38D3"/>
    <w:rsid w:val="004C3932"/>
    <w:rsid w:val="004C4681"/>
    <w:rsid w:val="004C4694"/>
    <w:rsid w:val="004C4B59"/>
    <w:rsid w:val="004C4C2B"/>
    <w:rsid w:val="004C55FE"/>
    <w:rsid w:val="004C5646"/>
    <w:rsid w:val="004C5D5A"/>
    <w:rsid w:val="004C5D6B"/>
    <w:rsid w:val="004C5F87"/>
    <w:rsid w:val="004C669E"/>
    <w:rsid w:val="004C6CE6"/>
    <w:rsid w:val="004C6DBC"/>
    <w:rsid w:val="004C720D"/>
    <w:rsid w:val="004C746B"/>
    <w:rsid w:val="004C7856"/>
    <w:rsid w:val="004C7961"/>
    <w:rsid w:val="004C7A42"/>
    <w:rsid w:val="004C7D84"/>
    <w:rsid w:val="004D079C"/>
    <w:rsid w:val="004D0E0A"/>
    <w:rsid w:val="004D0E53"/>
    <w:rsid w:val="004D13F6"/>
    <w:rsid w:val="004D14E2"/>
    <w:rsid w:val="004D15D6"/>
    <w:rsid w:val="004D15D9"/>
    <w:rsid w:val="004D1660"/>
    <w:rsid w:val="004D1782"/>
    <w:rsid w:val="004D1796"/>
    <w:rsid w:val="004D17BA"/>
    <w:rsid w:val="004D1B20"/>
    <w:rsid w:val="004D1CCD"/>
    <w:rsid w:val="004D1EB4"/>
    <w:rsid w:val="004D1FF0"/>
    <w:rsid w:val="004D2474"/>
    <w:rsid w:val="004D2E3F"/>
    <w:rsid w:val="004D364C"/>
    <w:rsid w:val="004D36CF"/>
    <w:rsid w:val="004D39E5"/>
    <w:rsid w:val="004D40E2"/>
    <w:rsid w:val="004D4154"/>
    <w:rsid w:val="004D494E"/>
    <w:rsid w:val="004D496B"/>
    <w:rsid w:val="004D4DAD"/>
    <w:rsid w:val="004D51BB"/>
    <w:rsid w:val="004D57A9"/>
    <w:rsid w:val="004D5F61"/>
    <w:rsid w:val="004D6421"/>
    <w:rsid w:val="004D67F5"/>
    <w:rsid w:val="004D71B6"/>
    <w:rsid w:val="004E0489"/>
    <w:rsid w:val="004E05D0"/>
    <w:rsid w:val="004E0D40"/>
    <w:rsid w:val="004E1DC4"/>
    <w:rsid w:val="004E219D"/>
    <w:rsid w:val="004E285D"/>
    <w:rsid w:val="004E3154"/>
    <w:rsid w:val="004E324D"/>
    <w:rsid w:val="004E3836"/>
    <w:rsid w:val="004E3B11"/>
    <w:rsid w:val="004E44D7"/>
    <w:rsid w:val="004E4926"/>
    <w:rsid w:val="004E4DE0"/>
    <w:rsid w:val="004E52C0"/>
    <w:rsid w:val="004E65B8"/>
    <w:rsid w:val="004E6BA1"/>
    <w:rsid w:val="004E6C71"/>
    <w:rsid w:val="004E6D74"/>
    <w:rsid w:val="004E75FF"/>
    <w:rsid w:val="004E767E"/>
    <w:rsid w:val="004F0709"/>
    <w:rsid w:val="004F157F"/>
    <w:rsid w:val="004F159D"/>
    <w:rsid w:val="004F1B21"/>
    <w:rsid w:val="004F1D23"/>
    <w:rsid w:val="004F1F0A"/>
    <w:rsid w:val="004F2027"/>
    <w:rsid w:val="004F21E8"/>
    <w:rsid w:val="004F226D"/>
    <w:rsid w:val="004F28A3"/>
    <w:rsid w:val="004F29D5"/>
    <w:rsid w:val="004F329B"/>
    <w:rsid w:val="004F33D4"/>
    <w:rsid w:val="004F3A54"/>
    <w:rsid w:val="004F41B3"/>
    <w:rsid w:val="004F445B"/>
    <w:rsid w:val="004F4860"/>
    <w:rsid w:val="004F50EA"/>
    <w:rsid w:val="004F5121"/>
    <w:rsid w:val="004F5619"/>
    <w:rsid w:val="004F5DC4"/>
    <w:rsid w:val="004F6655"/>
    <w:rsid w:val="004F667A"/>
    <w:rsid w:val="004F716A"/>
    <w:rsid w:val="004F7871"/>
    <w:rsid w:val="004F79AB"/>
    <w:rsid w:val="004F7B12"/>
    <w:rsid w:val="0050048F"/>
    <w:rsid w:val="00500AD0"/>
    <w:rsid w:val="00501924"/>
    <w:rsid w:val="00501B88"/>
    <w:rsid w:val="0050252D"/>
    <w:rsid w:val="005025B9"/>
    <w:rsid w:val="00502D9F"/>
    <w:rsid w:val="00503E7A"/>
    <w:rsid w:val="00504217"/>
    <w:rsid w:val="005050BC"/>
    <w:rsid w:val="00505AA9"/>
    <w:rsid w:val="00505B40"/>
    <w:rsid w:val="00506371"/>
    <w:rsid w:val="005065FB"/>
    <w:rsid w:val="00506884"/>
    <w:rsid w:val="00506B96"/>
    <w:rsid w:val="00506C1B"/>
    <w:rsid w:val="00506E6A"/>
    <w:rsid w:val="005076C2"/>
    <w:rsid w:val="00507E35"/>
    <w:rsid w:val="005105CC"/>
    <w:rsid w:val="005106B0"/>
    <w:rsid w:val="0051092F"/>
    <w:rsid w:val="00511368"/>
    <w:rsid w:val="00511456"/>
    <w:rsid w:val="005116D1"/>
    <w:rsid w:val="005120B9"/>
    <w:rsid w:val="00512348"/>
    <w:rsid w:val="0051256D"/>
    <w:rsid w:val="005128AF"/>
    <w:rsid w:val="00512AF0"/>
    <w:rsid w:val="00512B04"/>
    <w:rsid w:val="00512C11"/>
    <w:rsid w:val="00512F95"/>
    <w:rsid w:val="00515A11"/>
    <w:rsid w:val="00515DCE"/>
    <w:rsid w:val="00516136"/>
    <w:rsid w:val="005162B6"/>
    <w:rsid w:val="00516451"/>
    <w:rsid w:val="00516D6D"/>
    <w:rsid w:val="00516D73"/>
    <w:rsid w:val="00517635"/>
    <w:rsid w:val="00517768"/>
    <w:rsid w:val="0052029A"/>
    <w:rsid w:val="00520569"/>
    <w:rsid w:val="005205C2"/>
    <w:rsid w:val="005206AC"/>
    <w:rsid w:val="00520820"/>
    <w:rsid w:val="00520CC6"/>
    <w:rsid w:val="00520DB1"/>
    <w:rsid w:val="00520DBB"/>
    <w:rsid w:val="00521042"/>
    <w:rsid w:val="00521F80"/>
    <w:rsid w:val="00521FC6"/>
    <w:rsid w:val="00522262"/>
    <w:rsid w:val="0052295E"/>
    <w:rsid w:val="00522B20"/>
    <w:rsid w:val="00522BCE"/>
    <w:rsid w:val="00522DB0"/>
    <w:rsid w:val="005232F8"/>
    <w:rsid w:val="005234D3"/>
    <w:rsid w:val="0052359F"/>
    <w:rsid w:val="0052368B"/>
    <w:rsid w:val="0052437E"/>
    <w:rsid w:val="005244FE"/>
    <w:rsid w:val="005247B2"/>
    <w:rsid w:val="00524FBE"/>
    <w:rsid w:val="005251E8"/>
    <w:rsid w:val="005253CF"/>
    <w:rsid w:val="0052563B"/>
    <w:rsid w:val="00526760"/>
    <w:rsid w:val="0052681F"/>
    <w:rsid w:val="00526CDB"/>
    <w:rsid w:val="0052714E"/>
    <w:rsid w:val="00527532"/>
    <w:rsid w:val="00527655"/>
    <w:rsid w:val="0052774E"/>
    <w:rsid w:val="00527D78"/>
    <w:rsid w:val="005301F2"/>
    <w:rsid w:val="00531771"/>
    <w:rsid w:val="0053181F"/>
    <w:rsid w:val="005318C7"/>
    <w:rsid w:val="00531B00"/>
    <w:rsid w:val="00532267"/>
    <w:rsid w:val="00532549"/>
    <w:rsid w:val="0053292E"/>
    <w:rsid w:val="00532BBD"/>
    <w:rsid w:val="005330B3"/>
    <w:rsid w:val="00533190"/>
    <w:rsid w:val="005332B7"/>
    <w:rsid w:val="005334E4"/>
    <w:rsid w:val="00533865"/>
    <w:rsid w:val="0053433B"/>
    <w:rsid w:val="00534442"/>
    <w:rsid w:val="0053453E"/>
    <w:rsid w:val="005346B1"/>
    <w:rsid w:val="00534BDB"/>
    <w:rsid w:val="00534D0E"/>
    <w:rsid w:val="0053569C"/>
    <w:rsid w:val="00535949"/>
    <w:rsid w:val="00535FF5"/>
    <w:rsid w:val="00536470"/>
    <w:rsid w:val="00536A44"/>
    <w:rsid w:val="00537D77"/>
    <w:rsid w:val="00537FD1"/>
    <w:rsid w:val="00540365"/>
    <w:rsid w:val="005405A0"/>
    <w:rsid w:val="00540AC8"/>
    <w:rsid w:val="00540BA3"/>
    <w:rsid w:val="005413E3"/>
    <w:rsid w:val="00541442"/>
    <w:rsid w:val="00541640"/>
    <w:rsid w:val="005416EB"/>
    <w:rsid w:val="00541D0D"/>
    <w:rsid w:val="0054237C"/>
    <w:rsid w:val="0054289A"/>
    <w:rsid w:val="00542D97"/>
    <w:rsid w:val="005432C7"/>
    <w:rsid w:val="00543549"/>
    <w:rsid w:val="00543A12"/>
    <w:rsid w:val="00543EF7"/>
    <w:rsid w:val="00544FCA"/>
    <w:rsid w:val="00546438"/>
    <w:rsid w:val="005464D8"/>
    <w:rsid w:val="00546A2D"/>
    <w:rsid w:val="00546D44"/>
    <w:rsid w:val="00547283"/>
    <w:rsid w:val="00547F5F"/>
    <w:rsid w:val="005505E2"/>
    <w:rsid w:val="00551867"/>
    <w:rsid w:val="00551DBA"/>
    <w:rsid w:val="00552325"/>
    <w:rsid w:val="0055326A"/>
    <w:rsid w:val="00553298"/>
    <w:rsid w:val="00553430"/>
    <w:rsid w:val="00553A3E"/>
    <w:rsid w:val="00553CC7"/>
    <w:rsid w:val="005544A9"/>
    <w:rsid w:val="0055469D"/>
    <w:rsid w:val="00554CD2"/>
    <w:rsid w:val="00555959"/>
    <w:rsid w:val="005559A6"/>
    <w:rsid w:val="00555AE7"/>
    <w:rsid w:val="00556438"/>
    <w:rsid w:val="005565B3"/>
    <w:rsid w:val="005569A6"/>
    <w:rsid w:val="00556A04"/>
    <w:rsid w:val="00556B4B"/>
    <w:rsid w:val="00557023"/>
    <w:rsid w:val="0055707A"/>
    <w:rsid w:val="005574B7"/>
    <w:rsid w:val="0056192E"/>
    <w:rsid w:val="00561DED"/>
    <w:rsid w:val="00561F4D"/>
    <w:rsid w:val="0056232A"/>
    <w:rsid w:val="00563ED6"/>
    <w:rsid w:val="005646C0"/>
    <w:rsid w:val="005652FE"/>
    <w:rsid w:val="00565A70"/>
    <w:rsid w:val="00565B50"/>
    <w:rsid w:val="0056606D"/>
    <w:rsid w:val="005671FD"/>
    <w:rsid w:val="00567495"/>
    <w:rsid w:val="005674CB"/>
    <w:rsid w:val="00567731"/>
    <w:rsid w:val="00567A6C"/>
    <w:rsid w:val="00567AC0"/>
    <w:rsid w:val="00567B25"/>
    <w:rsid w:val="00570358"/>
    <w:rsid w:val="005707E4"/>
    <w:rsid w:val="00570940"/>
    <w:rsid w:val="00571079"/>
    <w:rsid w:val="005710CE"/>
    <w:rsid w:val="00571416"/>
    <w:rsid w:val="0057265D"/>
    <w:rsid w:val="00572714"/>
    <w:rsid w:val="0057286A"/>
    <w:rsid w:val="00572BE0"/>
    <w:rsid w:val="00573036"/>
    <w:rsid w:val="0057355F"/>
    <w:rsid w:val="005736D4"/>
    <w:rsid w:val="00573C6A"/>
    <w:rsid w:val="00574145"/>
    <w:rsid w:val="00574182"/>
    <w:rsid w:val="00574D11"/>
    <w:rsid w:val="0057512C"/>
    <w:rsid w:val="00575516"/>
    <w:rsid w:val="00575612"/>
    <w:rsid w:val="00575748"/>
    <w:rsid w:val="00575754"/>
    <w:rsid w:val="00575760"/>
    <w:rsid w:val="005764F4"/>
    <w:rsid w:val="005766D2"/>
    <w:rsid w:val="00576866"/>
    <w:rsid w:val="00576BB2"/>
    <w:rsid w:val="00577294"/>
    <w:rsid w:val="00577518"/>
    <w:rsid w:val="00577A02"/>
    <w:rsid w:val="00577BA6"/>
    <w:rsid w:val="00577BBA"/>
    <w:rsid w:val="00577C62"/>
    <w:rsid w:val="00580BD9"/>
    <w:rsid w:val="00581D8A"/>
    <w:rsid w:val="005831EF"/>
    <w:rsid w:val="00583AC0"/>
    <w:rsid w:val="00583D67"/>
    <w:rsid w:val="00583E06"/>
    <w:rsid w:val="00583FDF"/>
    <w:rsid w:val="0058407C"/>
    <w:rsid w:val="00584FF4"/>
    <w:rsid w:val="0058525D"/>
    <w:rsid w:val="0058537F"/>
    <w:rsid w:val="00585451"/>
    <w:rsid w:val="00585B25"/>
    <w:rsid w:val="00586053"/>
    <w:rsid w:val="00586386"/>
    <w:rsid w:val="005864A8"/>
    <w:rsid w:val="0058660F"/>
    <w:rsid w:val="005876AC"/>
    <w:rsid w:val="005876E8"/>
    <w:rsid w:val="00590689"/>
    <w:rsid w:val="00590C80"/>
    <w:rsid w:val="00591066"/>
    <w:rsid w:val="005911C2"/>
    <w:rsid w:val="00591365"/>
    <w:rsid w:val="00591615"/>
    <w:rsid w:val="00592158"/>
    <w:rsid w:val="005923BF"/>
    <w:rsid w:val="005924F2"/>
    <w:rsid w:val="00592512"/>
    <w:rsid w:val="00592723"/>
    <w:rsid w:val="00592EA8"/>
    <w:rsid w:val="00593330"/>
    <w:rsid w:val="005933BF"/>
    <w:rsid w:val="00593498"/>
    <w:rsid w:val="00593D49"/>
    <w:rsid w:val="00593E03"/>
    <w:rsid w:val="00593E0E"/>
    <w:rsid w:val="005946CB"/>
    <w:rsid w:val="0059487B"/>
    <w:rsid w:val="00594D5A"/>
    <w:rsid w:val="00594FC3"/>
    <w:rsid w:val="00595440"/>
    <w:rsid w:val="005956A0"/>
    <w:rsid w:val="00596502"/>
    <w:rsid w:val="00596A03"/>
    <w:rsid w:val="00596E95"/>
    <w:rsid w:val="005974EF"/>
    <w:rsid w:val="00597CFC"/>
    <w:rsid w:val="00597DE1"/>
    <w:rsid w:val="005A020E"/>
    <w:rsid w:val="005A0414"/>
    <w:rsid w:val="005A053D"/>
    <w:rsid w:val="005A0689"/>
    <w:rsid w:val="005A110F"/>
    <w:rsid w:val="005A1294"/>
    <w:rsid w:val="005A131D"/>
    <w:rsid w:val="005A2E61"/>
    <w:rsid w:val="005A3081"/>
    <w:rsid w:val="005A30F6"/>
    <w:rsid w:val="005A31DC"/>
    <w:rsid w:val="005A32B1"/>
    <w:rsid w:val="005A3618"/>
    <w:rsid w:val="005A3711"/>
    <w:rsid w:val="005A4594"/>
    <w:rsid w:val="005A487F"/>
    <w:rsid w:val="005A50AC"/>
    <w:rsid w:val="005A5562"/>
    <w:rsid w:val="005A5816"/>
    <w:rsid w:val="005A5D73"/>
    <w:rsid w:val="005A646E"/>
    <w:rsid w:val="005A6717"/>
    <w:rsid w:val="005A6C5C"/>
    <w:rsid w:val="005A770B"/>
    <w:rsid w:val="005A7BEA"/>
    <w:rsid w:val="005A7CB1"/>
    <w:rsid w:val="005A7CE5"/>
    <w:rsid w:val="005B0291"/>
    <w:rsid w:val="005B0C74"/>
    <w:rsid w:val="005B0D44"/>
    <w:rsid w:val="005B10A7"/>
    <w:rsid w:val="005B1995"/>
    <w:rsid w:val="005B1AD2"/>
    <w:rsid w:val="005B2588"/>
    <w:rsid w:val="005B2869"/>
    <w:rsid w:val="005B2EE7"/>
    <w:rsid w:val="005B30B4"/>
    <w:rsid w:val="005B32F1"/>
    <w:rsid w:val="005B34E6"/>
    <w:rsid w:val="005B36CF"/>
    <w:rsid w:val="005B372E"/>
    <w:rsid w:val="005B406D"/>
    <w:rsid w:val="005B414F"/>
    <w:rsid w:val="005B43D1"/>
    <w:rsid w:val="005B5086"/>
    <w:rsid w:val="005B548E"/>
    <w:rsid w:val="005B59EA"/>
    <w:rsid w:val="005B5CA5"/>
    <w:rsid w:val="005B60CB"/>
    <w:rsid w:val="005B637B"/>
    <w:rsid w:val="005B63F3"/>
    <w:rsid w:val="005B67B7"/>
    <w:rsid w:val="005B71BC"/>
    <w:rsid w:val="005B7970"/>
    <w:rsid w:val="005B7A4A"/>
    <w:rsid w:val="005B7C64"/>
    <w:rsid w:val="005B7D67"/>
    <w:rsid w:val="005B7F48"/>
    <w:rsid w:val="005C016D"/>
    <w:rsid w:val="005C068F"/>
    <w:rsid w:val="005C135F"/>
    <w:rsid w:val="005C16BC"/>
    <w:rsid w:val="005C19E9"/>
    <w:rsid w:val="005C1AF9"/>
    <w:rsid w:val="005C1DA0"/>
    <w:rsid w:val="005C2152"/>
    <w:rsid w:val="005C2664"/>
    <w:rsid w:val="005C2C2B"/>
    <w:rsid w:val="005C3327"/>
    <w:rsid w:val="005C3653"/>
    <w:rsid w:val="005C36DF"/>
    <w:rsid w:val="005C38A0"/>
    <w:rsid w:val="005C3C0D"/>
    <w:rsid w:val="005C40C2"/>
    <w:rsid w:val="005C4C05"/>
    <w:rsid w:val="005C4FB3"/>
    <w:rsid w:val="005C4FDD"/>
    <w:rsid w:val="005C572E"/>
    <w:rsid w:val="005C6503"/>
    <w:rsid w:val="005C672C"/>
    <w:rsid w:val="005C6754"/>
    <w:rsid w:val="005C73DD"/>
    <w:rsid w:val="005C7400"/>
    <w:rsid w:val="005C7709"/>
    <w:rsid w:val="005C7CA1"/>
    <w:rsid w:val="005D0740"/>
    <w:rsid w:val="005D0E22"/>
    <w:rsid w:val="005D0EC9"/>
    <w:rsid w:val="005D18C7"/>
    <w:rsid w:val="005D1DF1"/>
    <w:rsid w:val="005D218E"/>
    <w:rsid w:val="005D2321"/>
    <w:rsid w:val="005D23C3"/>
    <w:rsid w:val="005D37F2"/>
    <w:rsid w:val="005D3831"/>
    <w:rsid w:val="005D3C71"/>
    <w:rsid w:val="005D3F08"/>
    <w:rsid w:val="005D4165"/>
    <w:rsid w:val="005D467E"/>
    <w:rsid w:val="005D5074"/>
    <w:rsid w:val="005D5505"/>
    <w:rsid w:val="005D56FD"/>
    <w:rsid w:val="005D5CD8"/>
    <w:rsid w:val="005D62F9"/>
    <w:rsid w:val="005D63CC"/>
    <w:rsid w:val="005D647B"/>
    <w:rsid w:val="005D7119"/>
    <w:rsid w:val="005D711A"/>
    <w:rsid w:val="005D7C7E"/>
    <w:rsid w:val="005E0C71"/>
    <w:rsid w:val="005E0CF3"/>
    <w:rsid w:val="005E10A2"/>
    <w:rsid w:val="005E1145"/>
    <w:rsid w:val="005E1687"/>
    <w:rsid w:val="005E179F"/>
    <w:rsid w:val="005E1D63"/>
    <w:rsid w:val="005E20EA"/>
    <w:rsid w:val="005E2144"/>
    <w:rsid w:val="005E225C"/>
    <w:rsid w:val="005E2BA3"/>
    <w:rsid w:val="005E2C81"/>
    <w:rsid w:val="005E2FE3"/>
    <w:rsid w:val="005E30B5"/>
    <w:rsid w:val="005E3106"/>
    <w:rsid w:val="005E3590"/>
    <w:rsid w:val="005E36E8"/>
    <w:rsid w:val="005E3C2B"/>
    <w:rsid w:val="005E4244"/>
    <w:rsid w:val="005E4343"/>
    <w:rsid w:val="005E448C"/>
    <w:rsid w:val="005E495F"/>
    <w:rsid w:val="005E4C3A"/>
    <w:rsid w:val="005E51C3"/>
    <w:rsid w:val="005E5391"/>
    <w:rsid w:val="005E5401"/>
    <w:rsid w:val="005E563A"/>
    <w:rsid w:val="005E58D9"/>
    <w:rsid w:val="005E5A81"/>
    <w:rsid w:val="005E62AE"/>
    <w:rsid w:val="005E6D4D"/>
    <w:rsid w:val="005E6D5C"/>
    <w:rsid w:val="005E6F2F"/>
    <w:rsid w:val="005E700A"/>
    <w:rsid w:val="005E706C"/>
    <w:rsid w:val="005E70E8"/>
    <w:rsid w:val="005E729D"/>
    <w:rsid w:val="005E79C8"/>
    <w:rsid w:val="005E7D20"/>
    <w:rsid w:val="005F048A"/>
    <w:rsid w:val="005F071A"/>
    <w:rsid w:val="005F1685"/>
    <w:rsid w:val="005F18B5"/>
    <w:rsid w:val="005F1A5A"/>
    <w:rsid w:val="005F1E6A"/>
    <w:rsid w:val="005F2061"/>
    <w:rsid w:val="005F2099"/>
    <w:rsid w:val="005F22EA"/>
    <w:rsid w:val="005F2409"/>
    <w:rsid w:val="005F26BD"/>
    <w:rsid w:val="005F2B99"/>
    <w:rsid w:val="005F2D9C"/>
    <w:rsid w:val="005F2E50"/>
    <w:rsid w:val="005F324E"/>
    <w:rsid w:val="005F3470"/>
    <w:rsid w:val="005F4762"/>
    <w:rsid w:val="005F47DB"/>
    <w:rsid w:val="005F4ABD"/>
    <w:rsid w:val="005F53D6"/>
    <w:rsid w:val="005F5A90"/>
    <w:rsid w:val="005F6025"/>
    <w:rsid w:val="005F7B3C"/>
    <w:rsid w:val="005F7D9E"/>
    <w:rsid w:val="00600071"/>
    <w:rsid w:val="00600349"/>
    <w:rsid w:val="0060071A"/>
    <w:rsid w:val="006008AB"/>
    <w:rsid w:val="006009D0"/>
    <w:rsid w:val="00600EDF"/>
    <w:rsid w:val="006019B2"/>
    <w:rsid w:val="00601CF3"/>
    <w:rsid w:val="0060249E"/>
    <w:rsid w:val="006026A8"/>
    <w:rsid w:val="0060299F"/>
    <w:rsid w:val="00603067"/>
    <w:rsid w:val="00603A18"/>
    <w:rsid w:val="00603B53"/>
    <w:rsid w:val="00603B8C"/>
    <w:rsid w:val="00603EBA"/>
    <w:rsid w:val="00603FCE"/>
    <w:rsid w:val="006042AA"/>
    <w:rsid w:val="006047B3"/>
    <w:rsid w:val="00604B73"/>
    <w:rsid w:val="00604E4E"/>
    <w:rsid w:val="00605700"/>
    <w:rsid w:val="006057FA"/>
    <w:rsid w:val="00605BEB"/>
    <w:rsid w:val="00605D1A"/>
    <w:rsid w:val="006060F7"/>
    <w:rsid w:val="006068F6"/>
    <w:rsid w:val="00606DCD"/>
    <w:rsid w:val="00607395"/>
    <w:rsid w:val="00607723"/>
    <w:rsid w:val="006078FE"/>
    <w:rsid w:val="006079F7"/>
    <w:rsid w:val="00607AD9"/>
    <w:rsid w:val="00607B3E"/>
    <w:rsid w:val="00607D85"/>
    <w:rsid w:val="00607DFA"/>
    <w:rsid w:val="00610217"/>
    <w:rsid w:val="00610279"/>
    <w:rsid w:val="0061072B"/>
    <w:rsid w:val="006109F3"/>
    <w:rsid w:val="00610AAC"/>
    <w:rsid w:val="00610E03"/>
    <w:rsid w:val="006110DE"/>
    <w:rsid w:val="0061157B"/>
    <w:rsid w:val="00611A61"/>
    <w:rsid w:val="00611AC4"/>
    <w:rsid w:val="00611ED5"/>
    <w:rsid w:val="006122E7"/>
    <w:rsid w:val="0061257E"/>
    <w:rsid w:val="006126E0"/>
    <w:rsid w:val="0061275A"/>
    <w:rsid w:val="006128E9"/>
    <w:rsid w:val="00613432"/>
    <w:rsid w:val="0061350B"/>
    <w:rsid w:val="00613772"/>
    <w:rsid w:val="006137D2"/>
    <w:rsid w:val="006145C4"/>
    <w:rsid w:val="00614ADB"/>
    <w:rsid w:val="00614CD8"/>
    <w:rsid w:val="00615023"/>
    <w:rsid w:val="00615DA9"/>
    <w:rsid w:val="0061651C"/>
    <w:rsid w:val="00616B58"/>
    <w:rsid w:val="00616C77"/>
    <w:rsid w:val="00616D38"/>
    <w:rsid w:val="00616F81"/>
    <w:rsid w:val="006171BE"/>
    <w:rsid w:val="0061739A"/>
    <w:rsid w:val="00617402"/>
    <w:rsid w:val="0061756A"/>
    <w:rsid w:val="0061787D"/>
    <w:rsid w:val="006178DE"/>
    <w:rsid w:val="0062048F"/>
    <w:rsid w:val="00620821"/>
    <w:rsid w:val="00621341"/>
    <w:rsid w:val="0062137D"/>
    <w:rsid w:val="00621B53"/>
    <w:rsid w:val="00621C91"/>
    <w:rsid w:val="00621DA3"/>
    <w:rsid w:val="00621E2C"/>
    <w:rsid w:val="006220E6"/>
    <w:rsid w:val="0062231E"/>
    <w:rsid w:val="0062271C"/>
    <w:rsid w:val="0062280E"/>
    <w:rsid w:val="006228C1"/>
    <w:rsid w:val="00622D49"/>
    <w:rsid w:val="00623778"/>
    <w:rsid w:val="00623BC5"/>
    <w:rsid w:val="006241BD"/>
    <w:rsid w:val="006243E6"/>
    <w:rsid w:val="00624E2B"/>
    <w:rsid w:val="00625015"/>
    <w:rsid w:val="00625570"/>
    <w:rsid w:val="006255ED"/>
    <w:rsid w:val="006256B1"/>
    <w:rsid w:val="00626429"/>
    <w:rsid w:val="006268E5"/>
    <w:rsid w:val="00626A9B"/>
    <w:rsid w:val="006270BE"/>
    <w:rsid w:val="0062733D"/>
    <w:rsid w:val="006273D1"/>
    <w:rsid w:val="0062770A"/>
    <w:rsid w:val="00627B7C"/>
    <w:rsid w:val="00627DF8"/>
    <w:rsid w:val="006300AD"/>
    <w:rsid w:val="0063041A"/>
    <w:rsid w:val="006318E3"/>
    <w:rsid w:val="006318FE"/>
    <w:rsid w:val="00631D51"/>
    <w:rsid w:val="00631F9D"/>
    <w:rsid w:val="00632314"/>
    <w:rsid w:val="00633299"/>
    <w:rsid w:val="0063455E"/>
    <w:rsid w:val="0063480A"/>
    <w:rsid w:val="0063523B"/>
    <w:rsid w:val="006352C5"/>
    <w:rsid w:val="00635A90"/>
    <w:rsid w:val="00635AD5"/>
    <w:rsid w:val="00635F2B"/>
    <w:rsid w:val="00635F59"/>
    <w:rsid w:val="00636498"/>
    <w:rsid w:val="006366B9"/>
    <w:rsid w:val="00636805"/>
    <w:rsid w:val="006371A0"/>
    <w:rsid w:val="00637904"/>
    <w:rsid w:val="006379AD"/>
    <w:rsid w:val="00637C75"/>
    <w:rsid w:val="00640144"/>
    <w:rsid w:val="0064065D"/>
    <w:rsid w:val="00640905"/>
    <w:rsid w:val="0064098A"/>
    <w:rsid w:val="00641208"/>
    <w:rsid w:val="00641565"/>
    <w:rsid w:val="0064181B"/>
    <w:rsid w:val="0064199E"/>
    <w:rsid w:val="0064282B"/>
    <w:rsid w:val="00642935"/>
    <w:rsid w:val="00642BEA"/>
    <w:rsid w:val="00642C6A"/>
    <w:rsid w:val="00643AA2"/>
    <w:rsid w:val="00643FDB"/>
    <w:rsid w:val="006440B6"/>
    <w:rsid w:val="006446F6"/>
    <w:rsid w:val="00645235"/>
    <w:rsid w:val="00645326"/>
    <w:rsid w:val="00645746"/>
    <w:rsid w:val="00645AB8"/>
    <w:rsid w:val="00645B51"/>
    <w:rsid w:val="00646077"/>
    <w:rsid w:val="006462D9"/>
    <w:rsid w:val="00646320"/>
    <w:rsid w:val="006468C8"/>
    <w:rsid w:val="006479F6"/>
    <w:rsid w:val="00647BFE"/>
    <w:rsid w:val="00647CEA"/>
    <w:rsid w:val="00647EDA"/>
    <w:rsid w:val="006503AB"/>
    <w:rsid w:val="00650B0B"/>
    <w:rsid w:val="00651A9D"/>
    <w:rsid w:val="0065236A"/>
    <w:rsid w:val="00652A32"/>
    <w:rsid w:val="00653098"/>
    <w:rsid w:val="00653265"/>
    <w:rsid w:val="00653660"/>
    <w:rsid w:val="00653E1F"/>
    <w:rsid w:val="006542B7"/>
    <w:rsid w:val="00654EC5"/>
    <w:rsid w:val="00655080"/>
    <w:rsid w:val="00655162"/>
    <w:rsid w:val="006557BC"/>
    <w:rsid w:val="006558F8"/>
    <w:rsid w:val="0065618E"/>
    <w:rsid w:val="006562B5"/>
    <w:rsid w:val="00656716"/>
    <w:rsid w:val="00656730"/>
    <w:rsid w:val="00656F2D"/>
    <w:rsid w:val="00657009"/>
    <w:rsid w:val="00657C16"/>
    <w:rsid w:val="006603A8"/>
    <w:rsid w:val="00660892"/>
    <w:rsid w:val="00660BF8"/>
    <w:rsid w:val="00660C9E"/>
    <w:rsid w:val="00661F36"/>
    <w:rsid w:val="0066205A"/>
    <w:rsid w:val="00662AC2"/>
    <w:rsid w:val="00663582"/>
    <w:rsid w:val="0066373C"/>
    <w:rsid w:val="00663C71"/>
    <w:rsid w:val="00663D72"/>
    <w:rsid w:val="006640BF"/>
    <w:rsid w:val="006640EA"/>
    <w:rsid w:val="00664675"/>
    <w:rsid w:val="006648D5"/>
    <w:rsid w:val="00664B68"/>
    <w:rsid w:val="00665055"/>
    <w:rsid w:val="00666A25"/>
    <w:rsid w:val="00666A9F"/>
    <w:rsid w:val="00667079"/>
    <w:rsid w:val="00667153"/>
    <w:rsid w:val="00667841"/>
    <w:rsid w:val="00667C9B"/>
    <w:rsid w:val="00667EFE"/>
    <w:rsid w:val="00667F28"/>
    <w:rsid w:val="006705CA"/>
    <w:rsid w:val="006725AC"/>
    <w:rsid w:val="006727C4"/>
    <w:rsid w:val="00672867"/>
    <w:rsid w:val="00673028"/>
    <w:rsid w:val="00673357"/>
    <w:rsid w:val="00673550"/>
    <w:rsid w:val="00673B4D"/>
    <w:rsid w:val="00674E0B"/>
    <w:rsid w:val="00675237"/>
    <w:rsid w:val="006758EC"/>
    <w:rsid w:val="006759CE"/>
    <w:rsid w:val="00675C87"/>
    <w:rsid w:val="00675E25"/>
    <w:rsid w:val="00676115"/>
    <w:rsid w:val="006762F6"/>
    <w:rsid w:val="00676632"/>
    <w:rsid w:val="00676698"/>
    <w:rsid w:val="00676780"/>
    <w:rsid w:val="00676F66"/>
    <w:rsid w:val="00677FC7"/>
    <w:rsid w:val="00677FF0"/>
    <w:rsid w:val="0068053F"/>
    <w:rsid w:val="00680E3E"/>
    <w:rsid w:val="00680EC8"/>
    <w:rsid w:val="00681320"/>
    <w:rsid w:val="00681F59"/>
    <w:rsid w:val="00681FDB"/>
    <w:rsid w:val="0068201B"/>
    <w:rsid w:val="0068216C"/>
    <w:rsid w:val="0068256B"/>
    <w:rsid w:val="006825C2"/>
    <w:rsid w:val="00682DF3"/>
    <w:rsid w:val="00682E8F"/>
    <w:rsid w:val="0068333D"/>
    <w:rsid w:val="006837F7"/>
    <w:rsid w:val="006838F4"/>
    <w:rsid w:val="00683C64"/>
    <w:rsid w:val="00683DBE"/>
    <w:rsid w:val="0068423C"/>
    <w:rsid w:val="00684378"/>
    <w:rsid w:val="00684395"/>
    <w:rsid w:val="00684505"/>
    <w:rsid w:val="006846B0"/>
    <w:rsid w:val="00684C81"/>
    <w:rsid w:val="006851AD"/>
    <w:rsid w:val="0068527D"/>
    <w:rsid w:val="0068660A"/>
    <w:rsid w:val="00686950"/>
    <w:rsid w:val="0068724F"/>
    <w:rsid w:val="00687409"/>
    <w:rsid w:val="006879BE"/>
    <w:rsid w:val="0069024B"/>
    <w:rsid w:val="0069054E"/>
    <w:rsid w:val="006907E1"/>
    <w:rsid w:val="00690B3C"/>
    <w:rsid w:val="0069108B"/>
    <w:rsid w:val="006914C9"/>
    <w:rsid w:val="0069163B"/>
    <w:rsid w:val="00691D87"/>
    <w:rsid w:val="00692478"/>
    <w:rsid w:val="00692906"/>
    <w:rsid w:val="00692F25"/>
    <w:rsid w:val="006931A5"/>
    <w:rsid w:val="006942C4"/>
    <w:rsid w:val="006946B6"/>
    <w:rsid w:val="00694E0D"/>
    <w:rsid w:val="0069516C"/>
    <w:rsid w:val="00695997"/>
    <w:rsid w:val="00695A32"/>
    <w:rsid w:val="0069646B"/>
    <w:rsid w:val="0069647F"/>
    <w:rsid w:val="00696B44"/>
    <w:rsid w:val="00697676"/>
    <w:rsid w:val="006977DD"/>
    <w:rsid w:val="006979D3"/>
    <w:rsid w:val="00697A4E"/>
    <w:rsid w:val="006A02A8"/>
    <w:rsid w:val="006A03F3"/>
    <w:rsid w:val="006A0A1B"/>
    <w:rsid w:val="006A0AB3"/>
    <w:rsid w:val="006A0B9B"/>
    <w:rsid w:val="006A0F8F"/>
    <w:rsid w:val="006A116D"/>
    <w:rsid w:val="006A14E3"/>
    <w:rsid w:val="006A150D"/>
    <w:rsid w:val="006A1526"/>
    <w:rsid w:val="006A1568"/>
    <w:rsid w:val="006A1C35"/>
    <w:rsid w:val="006A222D"/>
    <w:rsid w:val="006A2C96"/>
    <w:rsid w:val="006A2D0B"/>
    <w:rsid w:val="006A391A"/>
    <w:rsid w:val="006A3C94"/>
    <w:rsid w:val="006A417E"/>
    <w:rsid w:val="006A42CB"/>
    <w:rsid w:val="006A43B3"/>
    <w:rsid w:val="006A47CA"/>
    <w:rsid w:val="006A4857"/>
    <w:rsid w:val="006A49B3"/>
    <w:rsid w:val="006A5001"/>
    <w:rsid w:val="006A51C8"/>
    <w:rsid w:val="006A56A5"/>
    <w:rsid w:val="006A56CE"/>
    <w:rsid w:val="006A6079"/>
    <w:rsid w:val="006A62D9"/>
    <w:rsid w:val="006A6878"/>
    <w:rsid w:val="006A70CB"/>
    <w:rsid w:val="006A71A2"/>
    <w:rsid w:val="006A72FA"/>
    <w:rsid w:val="006A76D7"/>
    <w:rsid w:val="006B0182"/>
    <w:rsid w:val="006B01FD"/>
    <w:rsid w:val="006B02C2"/>
    <w:rsid w:val="006B0E7C"/>
    <w:rsid w:val="006B0EA4"/>
    <w:rsid w:val="006B13B0"/>
    <w:rsid w:val="006B1524"/>
    <w:rsid w:val="006B168A"/>
    <w:rsid w:val="006B1BD0"/>
    <w:rsid w:val="006B1BDA"/>
    <w:rsid w:val="006B1D48"/>
    <w:rsid w:val="006B271E"/>
    <w:rsid w:val="006B2CC6"/>
    <w:rsid w:val="006B2D25"/>
    <w:rsid w:val="006B3E79"/>
    <w:rsid w:val="006B4199"/>
    <w:rsid w:val="006B4645"/>
    <w:rsid w:val="006B46CB"/>
    <w:rsid w:val="006B481B"/>
    <w:rsid w:val="006B49D4"/>
    <w:rsid w:val="006B4B47"/>
    <w:rsid w:val="006B58A7"/>
    <w:rsid w:val="006B594C"/>
    <w:rsid w:val="006B59C4"/>
    <w:rsid w:val="006B74F8"/>
    <w:rsid w:val="006B7907"/>
    <w:rsid w:val="006B7BDD"/>
    <w:rsid w:val="006C0C1E"/>
    <w:rsid w:val="006C1409"/>
    <w:rsid w:val="006C140C"/>
    <w:rsid w:val="006C1601"/>
    <w:rsid w:val="006C19AE"/>
    <w:rsid w:val="006C1D5D"/>
    <w:rsid w:val="006C20D3"/>
    <w:rsid w:val="006C277C"/>
    <w:rsid w:val="006C2AE2"/>
    <w:rsid w:val="006C35E9"/>
    <w:rsid w:val="006C38F0"/>
    <w:rsid w:val="006C40D0"/>
    <w:rsid w:val="006C4714"/>
    <w:rsid w:val="006C4B2A"/>
    <w:rsid w:val="006C4CDD"/>
    <w:rsid w:val="006C4E2A"/>
    <w:rsid w:val="006C51A3"/>
    <w:rsid w:val="006C5225"/>
    <w:rsid w:val="006C524C"/>
    <w:rsid w:val="006C5818"/>
    <w:rsid w:val="006C5DD0"/>
    <w:rsid w:val="006C6D1B"/>
    <w:rsid w:val="006C7A3A"/>
    <w:rsid w:val="006C7DC2"/>
    <w:rsid w:val="006D09E7"/>
    <w:rsid w:val="006D0A77"/>
    <w:rsid w:val="006D0B65"/>
    <w:rsid w:val="006D10A5"/>
    <w:rsid w:val="006D11A7"/>
    <w:rsid w:val="006D1404"/>
    <w:rsid w:val="006D1F2C"/>
    <w:rsid w:val="006D214F"/>
    <w:rsid w:val="006D2C7C"/>
    <w:rsid w:val="006D2D74"/>
    <w:rsid w:val="006D3044"/>
    <w:rsid w:val="006D374C"/>
    <w:rsid w:val="006D4049"/>
    <w:rsid w:val="006D4828"/>
    <w:rsid w:val="006D489B"/>
    <w:rsid w:val="006D4992"/>
    <w:rsid w:val="006D49C2"/>
    <w:rsid w:val="006D4F13"/>
    <w:rsid w:val="006D5335"/>
    <w:rsid w:val="006D59A1"/>
    <w:rsid w:val="006D5E16"/>
    <w:rsid w:val="006D5EC7"/>
    <w:rsid w:val="006D60DF"/>
    <w:rsid w:val="006D6824"/>
    <w:rsid w:val="006D69C8"/>
    <w:rsid w:val="006D6E7B"/>
    <w:rsid w:val="006D7066"/>
    <w:rsid w:val="006D78F2"/>
    <w:rsid w:val="006D7D65"/>
    <w:rsid w:val="006D7EF1"/>
    <w:rsid w:val="006E00C0"/>
    <w:rsid w:val="006E018D"/>
    <w:rsid w:val="006E03FB"/>
    <w:rsid w:val="006E1A55"/>
    <w:rsid w:val="006E1A6E"/>
    <w:rsid w:val="006E1B92"/>
    <w:rsid w:val="006E1F97"/>
    <w:rsid w:val="006E2122"/>
    <w:rsid w:val="006E216A"/>
    <w:rsid w:val="006E2835"/>
    <w:rsid w:val="006E29D1"/>
    <w:rsid w:val="006E29FB"/>
    <w:rsid w:val="006E2E72"/>
    <w:rsid w:val="006E3306"/>
    <w:rsid w:val="006E4122"/>
    <w:rsid w:val="006E4CC9"/>
    <w:rsid w:val="006E4E70"/>
    <w:rsid w:val="006E549F"/>
    <w:rsid w:val="006E5D21"/>
    <w:rsid w:val="006E5F6E"/>
    <w:rsid w:val="006E620A"/>
    <w:rsid w:val="006E6715"/>
    <w:rsid w:val="006E6C08"/>
    <w:rsid w:val="006E75B8"/>
    <w:rsid w:val="006E7DD8"/>
    <w:rsid w:val="006E7FBB"/>
    <w:rsid w:val="006F0A8E"/>
    <w:rsid w:val="006F0EE9"/>
    <w:rsid w:val="006F1BA5"/>
    <w:rsid w:val="006F1D5A"/>
    <w:rsid w:val="006F1E6D"/>
    <w:rsid w:val="006F209B"/>
    <w:rsid w:val="006F209D"/>
    <w:rsid w:val="006F20F2"/>
    <w:rsid w:val="006F223C"/>
    <w:rsid w:val="006F28EC"/>
    <w:rsid w:val="006F2B2C"/>
    <w:rsid w:val="006F3934"/>
    <w:rsid w:val="006F39E4"/>
    <w:rsid w:val="006F3E4C"/>
    <w:rsid w:val="006F3F17"/>
    <w:rsid w:val="006F421C"/>
    <w:rsid w:val="006F50B2"/>
    <w:rsid w:val="006F5232"/>
    <w:rsid w:val="006F533B"/>
    <w:rsid w:val="006F5BB0"/>
    <w:rsid w:val="006F5C0C"/>
    <w:rsid w:val="006F6356"/>
    <w:rsid w:val="006F6B93"/>
    <w:rsid w:val="006F74DC"/>
    <w:rsid w:val="006F7760"/>
    <w:rsid w:val="007001D6"/>
    <w:rsid w:val="007006CC"/>
    <w:rsid w:val="00700E3D"/>
    <w:rsid w:val="00700E62"/>
    <w:rsid w:val="007011F8"/>
    <w:rsid w:val="00701864"/>
    <w:rsid w:val="00701C33"/>
    <w:rsid w:val="00701E2F"/>
    <w:rsid w:val="00703660"/>
    <w:rsid w:val="0070437D"/>
    <w:rsid w:val="00704580"/>
    <w:rsid w:val="0070475F"/>
    <w:rsid w:val="0070483E"/>
    <w:rsid w:val="00704D84"/>
    <w:rsid w:val="00704EDD"/>
    <w:rsid w:val="00704F0E"/>
    <w:rsid w:val="00704FA7"/>
    <w:rsid w:val="0070524C"/>
    <w:rsid w:val="007054F9"/>
    <w:rsid w:val="007059DE"/>
    <w:rsid w:val="00705DDE"/>
    <w:rsid w:val="00705E94"/>
    <w:rsid w:val="00706AF0"/>
    <w:rsid w:val="00706DFF"/>
    <w:rsid w:val="00710298"/>
    <w:rsid w:val="007102C1"/>
    <w:rsid w:val="00710D2E"/>
    <w:rsid w:val="0071141C"/>
    <w:rsid w:val="007116CC"/>
    <w:rsid w:val="007119C1"/>
    <w:rsid w:val="00711C17"/>
    <w:rsid w:val="00711C49"/>
    <w:rsid w:val="00711E85"/>
    <w:rsid w:val="00711F40"/>
    <w:rsid w:val="00712028"/>
    <w:rsid w:val="0071227B"/>
    <w:rsid w:val="007123F3"/>
    <w:rsid w:val="007125F4"/>
    <w:rsid w:val="00712E4C"/>
    <w:rsid w:val="007140CB"/>
    <w:rsid w:val="00714682"/>
    <w:rsid w:val="00714B44"/>
    <w:rsid w:val="007151F5"/>
    <w:rsid w:val="00715421"/>
    <w:rsid w:val="00715946"/>
    <w:rsid w:val="00715E08"/>
    <w:rsid w:val="0071601C"/>
    <w:rsid w:val="00716479"/>
    <w:rsid w:val="0071683C"/>
    <w:rsid w:val="0071689E"/>
    <w:rsid w:val="00716E1A"/>
    <w:rsid w:val="00716F48"/>
    <w:rsid w:val="00717309"/>
    <w:rsid w:val="00717874"/>
    <w:rsid w:val="00717B49"/>
    <w:rsid w:val="00717C95"/>
    <w:rsid w:val="00717CEC"/>
    <w:rsid w:val="007202C8"/>
    <w:rsid w:val="00720B81"/>
    <w:rsid w:val="00720F2A"/>
    <w:rsid w:val="0072152D"/>
    <w:rsid w:val="00721A81"/>
    <w:rsid w:val="00721ABA"/>
    <w:rsid w:val="00721E20"/>
    <w:rsid w:val="00721FC4"/>
    <w:rsid w:val="0072207A"/>
    <w:rsid w:val="007222B4"/>
    <w:rsid w:val="00722384"/>
    <w:rsid w:val="00722957"/>
    <w:rsid w:val="00722A4C"/>
    <w:rsid w:val="00722B7B"/>
    <w:rsid w:val="00722E61"/>
    <w:rsid w:val="00722F14"/>
    <w:rsid w:val="00723CE9"/>
    <w:rsid w:val="007242FC"/>
    <w:rsid w:val="007243B2"/>
    <w:rsid w:val="0072446F"/>
    <w:rsid w:val="00725881"/>
    <w:rsid w:val="00726539"/>
    <w:rsid w:val="0072704B"/>
    <w:rsid w:val="007277C5"/>
    <w:rsid w:val="0073048F"/>
    <w:rsid w:val="00731326"/>
    <w:rsid w:val="00731A13"/>
    <w:rsid w:val="00731DA0"/>
    <w:rsid w:val="00732AAE"/>
    <w:rsid w:val="00732CE0"/>
    <w:rsid w:val="00732D5E"/>
    <w:rsid w:val="0073319D"/>
    <w:rsid w:val="00733310"/>
    <w:rsid w:val="007333E4"/>
    <w:rsid w:val="00733807"/>
    <w:rsid w:val="00734442"/>
    <w:rsid w:val="00734DF9"/>
    <w:rsid w:val="007355C6"/>
    <w:rsid w:val="00735968"/>
    <w:rsid w:val="00735AC4"/>
    <w:rsid w:val="00735C4F"/>
    <w:rsid w:val="0073622D"/>
    <w:rsid w:val="00736746"/>
    <w:rsid w:val="007374D3"/>
    <w:rsid w:val="00737579"/>
    <w:rsid w:val="007375E4"/>
    <w:rsid w:val="0073771E"/>
    <w:rsid w:val="00737BD3"/>
    <w:rsid w:val="00737D0A"/>
    <w:rsid w:val="00740793"/>
    <w:rsid w:val="00740966"/>
    <w:rsid w:val="00740AAF"/>
    <w:rsid w:val="007410F0"/>
    <w:rsid w:val="0074110D"/>
    <w:rsid w:val="0074112E"/>
    <w:rsid w:val="00741B99"/>
    <w:rsid w:val="00742326"/>
    <w:rsid w:val="00742547"/>
    <w:rsid w:val="007426CB"/>
    <w:rsid w:val="00742846"/>
    <w:rsid w:val="00742E29"/>
    <w:rsid w:val="00743063"/>
    <w:rsid w:val="007430A0"/>
    <w:rsid w:val="00743658"/>
    <w:rsid w:val="00743728"/>
    <w:rsid w:val="007438F4"/>
    <w:rsid w:val="00743BE9"/>
    <w:rsid w:val="00744414"/>
    <w:rsid w:val="00744671"/>
    <w:rsid w:val="007446DA"/>
    <w:rsid w:val="00744DE3"/>
    <w:rsid w:val="007458ED"/>
    <w:rsid w:val="0074599D"/>
    <w:rsid w:val="00746472"/>
    <w:rsid w:val="0074671C"/>
    <w:rsid w:val="00746A42"/>
    <w:rsid w:val="00747129"/>
    <w:rsid w:val="00747A47"/>
    <w:rsid w:val="00747AC8"/>
    <w:rsid w:val="00747AE8"/>
    <w:rsid w:val="00747D42"/>
    <w:rsid w:val="007507CC"/>
    <w:rsid w:val="00750877"/>
    <w:rsid w:val="007509A9"/>
    <w:rsid w:val="00750C7E"/>
    <w:rsid w:val="0075148E"/>
    <w:rsid w:val="0075159E"/>
    <w:rsid w:val="007515C5"/>
    <w:rsid w:val="007515D8"/>
    <w:rsid w:val="007517C1"/>
    <w:rsid w:val="00751C7C"/>
    <w:rsid w:val="00751F69"/>
    <w:rsid w:val="00752636"/>
    <w:rsid w:val="0075281C"/>
    <w:rsid w:val="00753157"/>
    <w:rsid w:val="007531B8"/>
    <w:rsid w:val="0075321D"/>
    <w:rsid w:val="007535C3"/>
    <w:rsid w:val="007537FB"/>
    <w:rsid w:val="007538A1"/>
    <w:rsid w:val="00753E78"/>
    <w:rsid w:val="00755A11"/>
    <w:rsid w:val="007562B6"/>
    <w:rsid w:val="00756844"/>
    <w:rsid w:val="00756922"/>
    <w:rsid w:val="00756D41"/>
    <w:rsid w:val="007571FF"/>
    <w:rsid w:val="0076032B"/>
    <w:rsid w:val="00760692"/>
    <w:rsid w:val="00760A79"/>
    <w:rsid w:val="00760B90"/>
    <w:rsid w:val="00760D57"/>
    <w:rsid w:val="0076106B"/>
    <w:rsid w:val="00761770"/>
    <w:rsid w:val="00761E9B"/>
    <w:rsid w:val="00761F31"/>
    <w:rsid w:val="0076223C"/>
    <w:rsid w:val="0076236D"/>
    <w:rsid w:val="00762644"/>
    <w:rsid w:val="00762673"/>
    <w:rsid w:val="00762C7E"/>
    <w:rsid w:val="00763017"/>
    <w:rsid w:val="007638D8"/>
    <w:rsid w:val="00763BD2"/>
    <w:rsid w:val="00763F21"/>
    <w:rsid w:val="00764A90"/>
    <w:rsid w:val="00764AED"/>
    <w:rsid w:val="00764E50"/>
    <w:rsid w:val="00765053"/>
    <w:rsid w:val="007654C9"/>
    <w:rsid w:val="007656D5"/>
    <w:rsid w:val="00765E20"/>
    <w:rsid w:val="00765E61"/>
    <w:rsid w:val="007663A2"/>
    <w:rsid w:val="00766B25"/>
    <w:rsid w:val="0076707E"/>
    <w:rsid w:val="007670DD"/>
    <w:rsid w:val="00767544"/>
    <w:rsid w:val="00767AA3"/>
    <w:rsid w:val="00767D74"/>
    <w:rsid w:val="00767E87"/>
    <w:rsid w:val="0077025F"/>
    <w:rsid w:val="00770D61"/>
    <w:rsid w:val="00770DD1"/>
    <w:rsid w:val="007715FB"/>
    <w:rsid w:val="0077171E"/>
    <w:rsid w:val="00771A10"/>
    <w:rsid w:val="007723C5"/>
    <w:rsid w:val="007725AB"/>
    <w:rsid w:val="007728FD"/>
    <w:rsid w:val="00772957"/>
    <w:rsid w:val="00773119"/>
    <w:rsid w:val="0077362E"/>
    <w:rsid w:val="007737CF"/>
    <w:rsid w:val="00773A38"/>
    <w:rsid w:val="00773C7A"/>
    <w:rsid w:val="00774945"/>
    <w:rsid w:val="00774D73"/>
    <w:rsid w:val="007751CC"/>
    <w:rsid w:val="007757C2"/>
    <w:rsid w:val="00775AA4"/>
    <w:rsid w:val="00775C8C"/>
    <w:rsid w:val="00775ECA"/>
    <w:rsid w:val="007760DE"/>
    <w:rsid w:val="0077613C"/>
    <w:rsid w:val="0077630A"/>
    <w:rsid w:val="00776AFD"/>
    <w:rsid w:val="00776C64"/>
    <w:rsid w:val="0077740E"/>
    <w:rsid w:val="007775E5"/>
    <w:rsid w:val="00777604"/>
    <w:rsid w:val="00777B2C"/>
    <w:rsid w:val="00780679"/>
    <w:rsid w:val="007806CB"/>
    <w:rsid w:val="0078096F"/>
    <w:rsid w:val="007813C2"/>
    <w:rsid w:val="00781722"/>
    <w:rsid w:val="00781915"/>
    <w:rsid w:val="00781B66"/>
    <w:rsid w:val="00781CED"/>
    <w:rsid w:val="00781DB8"/>
    <w:rsid w:val="00781EBD"/>
    <w:rsid w:val="007829C1"/>
    <w:rsid w:val="00782A55"/>
    <w:rsid w:val="00783076"/>
    <w:rsid w:val="00784389"/>
    <w:rsid w:val="00784550"/>
    <w:rsid w:val="007845A2"/>
    <w:rsid w:val="00784A4D"/>
    <w:rsid w:val="00784F17"/>
    <w:rsid w:val="00785644"/>
    <w:rsid w:val="0078580B"/>
    <w:rsid w:val="00785B34"/>
    <w:rsid w:val="00786508"/>
    <w:rsid w:val="00786610"/>
    <w:rsid w:val="007869DD"/>
    <w:rsid w:val="0078784F"/>
    <w:rsid w:val="00787F21"/>
    <w:rsid w:val="007903F6"/>
    <w:rsid w:val="0079064B"/>
    <w:rsid w:val="007907B9"/>
    <w:rsid w:val="00790D0F"/>
    <w:rsid w:val="007912E5"/>
    <w:rsid w:val="007914F9"/>
    <w:rsid w:val="00791B88"/>
    <w:rsid w:val="00792428"/>
    <w:rsid w:val="00793A85"/>
    <w:rsid w:val="00793ED8"/>
    <w:rsid w:val="00793F65"/>
    <w:rsid w:val="00794AC5"/>
    <w:rsid w:val="007950F8"/>
    <w:rsid w:val="00795159"/>
    <w:rsid w:val="007951C7"/>
    <w:rsid w:val="00795709"/>
    <w:rsid w:val="00795D95"/>
    <w:rsid w:val="00795E3E"/>
    <w:rsid w:val="00795EA6"/>
    <w:rsid w:val="007960E9"/>
    <w:rsid w:val="0079674C"/>
    <w:rsid w:val="00796D4A"/>
    <w:rsid w:val="00797984"/>
    <w:rsid w:val="00797C9F"/>
    <w:rsid w:val="007A01DE"/>
    <w:rsid w:val="007A093E"/>
    <w:rsid w:val="007A0B2C"/>
    <w:rsid w:val="007A16C2"/>
    <w:rsid w:val="007A16C6"/>
    <w:rsid w:val="007A2204"/>
    <w:rsid w:val="007A2234"/>
    <w:rsid w:val="007A26AF"/>
    <w:rsid w:val="007A2AFE"/>
    <w:rsid w:val="007A2D0F"/>
    <w:rsid w:val="007A3320"/>
    <w:rsid w:val="007A3742"/>
    <w:rsid w:val="007A384D"/>
    <w:rsid w:val="007A3991"/>
    <w:rsid w:val="007A39E8"/>
    <w:rsid w:val="007A3D15"/>
    <w:rsid w:val="007A3E11"/>
    <w:rsid w:val="007A4331"/>
    <w:rsid w:val="007A4F23"/>
    <w:rsid w:val="007A4FE0"/>
    <w:rsid w:val="007A524E"/>
    <w:rsid w:val="007A539B"/>
    <w:rsid w:val="007A55BE"/>
    <w:rsid w:val="007A568D"/>
    <w:rsid w:val="007A5906"/>
    <w:rsid w:val="007A5DD3"/>
    <w:rsid w:val="007A6182"/>
    <w:rsid w:val="007A6CAC"/>
    <w:rsid w:val="007A6E89"/>
    <w:rsid w:val="007A7139"/>
    <w:rsid w:val="007A7426"/>
    <w:rsid w:val="007A787C"/>
    <w:rsid w:val="007A7D67"/>
    <w:rsid w:val="007A7DF6"/>
    <w:rsid w:val="007A7ED0"/>
    <w:rsid w:val="007B00FF"/>
    <w:rsid w:val="007B02F4"/>
    <w:rsid w:val="007B091D"/>
    <w:rsid w:val="007B0ED8"/>
    <w:rsid w:val="007B107E"/>
    <w:rsid w:val="007B1B68"/>
    <w:rsid w:val="007B1CD7"/>
    <w:rsid w:val="007B1D0E"/>
    <w:rsid w:val="007B20C8"/>
    <w:rsid w:val="007B211A"/>
    <w:rsid w:val="007B223F"/>
    <w:rsid w:val="007B2458"/>
    <w:rsid w:val="007B2923"/>
    <w:rsid w:val="007B2B24"/>
    <w:rsid w:val="007B2FF6"/>
    <w:rsid w:val="007B3909"/>
    <w:rsid w:val="007B39C8"/>
    <w:rsid w:val="007B3DFF"/>
    <w:rsid w:val="007B4E3C"/>
    <w:rsid w:val="007B63FC"/>
    <w:rsid w:val="007B644F"/>
    <w:rsid w:val="007B682C"/>
    <w:rsid w:val="007B6D0A"/>
    <w:rsid w:val="007B6F62"/>
    <w:rsid w:val="007B7BAF"/>
    <w:rsid w:val="007B7D62"/>
    <w:rsid w:val="007C011C"/>
    <w:rsid w:val="007C0D58"/>
    <w:rsid w:val="007C0F79"/>
    <w:rsid w:val="007C1A47"/>
    <w:rsid w:val="007C1BE6"/>
    <w:rsid w:val="007C1CED"/>
    <w:rsid w:val="007C1EBC"/>
    <w:rsid w:val="007C24D7"/>
    <w:rsid w:val="007C2D62"/>
    <w:rsid w:val="007C2E27"/>
    <w:rsid w:val="007C34E2"/>
    <w:rsid w:val="007C3BCD"/>
    <w:rsid w:val="007C40DC"/>
    <w:rsid w:val="007C43B1"/>
    <w:rsid w:val="007C4583"/>
    <w:rsid w:val="007C4694"/>
    <w:rsid w:val="007C4E2A"/>
    <w:rsid w:val="007C5030"/>
    <w:rsid w:val="007C5678"/>
    <w:rsid w:val="007C5995"/>
    <w:rsid w:val="007C5E51"/>
    <w:rsid w:val="007C6984"/>
    <w:rsid w:val="007C6F95"/>
    <w:rsid w:val="007C734E"/>
    <w:rsid w:val="007C78DE"/>
    <w:rsid w:val="007C798A"/>
    <w:rsid w:val="007C7D11"/>
    <w:rsid w:val="007C7E20"/>
    <w:rsid w:val="007D0142"/>
    <w:rsid w:val="007D0D7A"/>
    <w:rsid w:val="007D129F"/>
    <w:rsid w:val="007D14E3"/>
    <w:rsid w:val="007D1549"/>
    <w:rsid w:val="007D16DB"/>
    <w:rsid w:val="007D1811"/>
    <w:rsid w:val="007D23DE"/>
    <w:rsid w:val="007D2893"/>
    <w:rsid w:val="007D2AA5"/>
    <w:rsid w:val="007D2CC0"/>
    <w:rsid w:val="007D327B"/>
    <w:rsid w:val="007D3322"/>
    <w:rsid w:val="007D39A4"/>
    <w:rsid w:val="007D3AA4"/>
    <w:rsid w:val="007D3B7E"/>
    <w:rsid w:val="007D3E3B"/>
    <w:rsid w:val="007D3F9D"/>
    <w:rsid w:val="007D4661"/>
    <w:rsid w:val="007D46B0"/>
    <w:rsid w:val="007D4833"/>
    <w:rsid w:val="007D499E"/>
    <w:rsid w:val="007D4A15"/>
    <w:rsid w:val="007D4E25"/>
    <w:rsid w:val="007D5563"/>
    <w:rsid w:val="007D5798"/>
    <w:rsid w:val="007D58BD"/>
    <w:rsid w:val="007D6986"/>
    <w:rsid w:val="007D6EF9"/>
    <w:rsid w:val="007D7435"/>
    <w:rsid w:val="007D7487"/>
    <w:rsid w:val="007D7A19"/>
    <w:rsid w:val="007D7AD5"/>
    <w:rsid w:val="007D7D67"/>
    <w:rsid w:val="007E00F8"/>
    <w:rsid w:val="007E0CA4"/>
    <w:rsid w:val="007E15CC"/>
    <w:rsid w:val="007E1A28"/>
    <w:rsid w:val="007E20F2"/>
    <w:rsid w:val="007E2509"/>
    <w:rsid w:val="007E2787"/>
    <w:rsid w:val="007E2E76"/>
    <w:rsid w:val="007E30D9"/>
    <w:rsid w:val="007E3527"/>
    <w:rsid w:val="007E3CC2"/>
    <w:rsid w:val="007E4047"/>
    <w:rsid w:val="007E41CC"/>
    <w:rsid w:val="007E4593"/>
    <w:rsid w:val="007E4F63"/>
    <w:rsid w:val="007E4F7C"/>
    <w:rsid w:val="007E4FEB"/>
    <w:rsid w:val="007E54F6"/>
    <w:rsid w:val="007E5502"/>
    <w:rsid w:val="007E601A"/>
    <w:rsid w:val="007E6329"/>
    <w:rsid w:val="007E641E"/>
    <w:rsid w:val="007E645C"/>
    <w:rsid w:val="007E64CD"/>
    <w:rsid w:val="007E696E"/>
    <w:rsid w:val="007E706D"/>
    <w:rsid w:val="007E7A7D"/>
    <w:rsid w:val="007F00FF"/>
    <w:rsid w:val="007F021C"/>
    <w:rsid w:val="007F0BA5"/>
    <w:rsid w:val="007F1403"/>
    <w:rsid w:val="007F1845"/>
    <w:rsid w:val="007F1F7A"/>
    <w:rsid w:val="007F2068"/>
    <w:rsid w:val="007F259A"/>
    <w:rsid w:val="007F2723"/>
    <w:rsid w:val="007F278B"/>
    <w:rsid w:val="007F38E5"/>
    <w:rsid w:val="007F3921"/>
    <w:rsid w:val="007F44A9"/>
    <w:rsid w:val="007F456A"/>
    <w:rsid w:val="007F46C4"/>
    <w:rsid w:val="007F49DF"/>
    <w:rsid w:val="007F4AF2"/>
    <w:rsid w:val="007F5793"/>
    <w:rsid w:val="007F5AC1"/>
    <w:rsid w:val="007F5BF1"/>
    <w:rsid w:val="007F5FE2"/>
    <w:rsid w:val="007F6212"/>
    <w:rsid w:val="007F621B"/>
    <w:rsid w:val="007F7202"/>
    <w:rsid w:val="007F7CC2"/>
    <w:rsid w:val="007F7F4C"/>
    <w:rsid w:val="00800342"/>
    <w:rsid w:val="00800470"/>
    <w:rsid w:val="008005FC"/>
    <w:rsid w:val="00800793"/>
    <w:rsid w:val="00800DCC"/>
    <w:rsid w:val="0080150C"/>
    <w:rsid w:val="008018D7"/>
    <w:rsid w:val="00802310"/>
    <w:rsid w:val="008027DB"/>
    <w:rsid w:val="00802918"/>
    <w:rsid w:val="00802A99"/>
    <w:rsid w:val="00802B2C"/>
    <w:rsid w:val="00802C97"/>
    <w:rsid w:val="00802CBB"/>
    <w:rsid w:val="00802FE9"/>
    <w:rsid w:val="00803237"/>
    <w:rsid w:val="0080340C"/>
    <w:rsid w:val="00803780"/>
    <w:rsid w:val="00803ECF"/>
    <w:rsid w:val="0080401A"/>
    <w:rsid w:val="0080416F"/>
    <w:rsid w:val="008042BF"/>
    <w:rsid w:val="0080478B"/>
    <w:rsid w:val="008049BB"/>
    <w:rsid w:val="00804F0C"/>
    <w:rsid w:val="00805385"/>
    <w:rsid w:val="00805567"/>
    <w:rsid w:val="00806291"/>
    <w:rsid w:val="00806A7C"/>
    <w:rsid w:val="00806C5E"/>
    <w:rsid w:val="0080734A"/>
    <w:rsid w:val="00810B2E"/>
    <w:rsid w:val="0081105B"/>
    <w:rsid w:val="0081110B"/>
    <w:rsid w:val="0081112B"/>
    <w:rsid w:val="008113CE"/>
    <w:rsid w:val="008116FA"/>
    <w:rsid w:val="0081257A"/>
    <w:rsid w:val="00812B66"/>
    <w:rsid w:val="00813457"/>
    <w:rsid w:val="008138CC"/>
    <w:rsid w:val="008138DF"/>
    <w:rsid w:val="00813F6E"/>
    <w:rsid w:val="00814208"/>
    <w:rsid w:val="00814731"/>
    <w:rsid w:val="008147F9"/>
    <w:rsid w:val="00814D58"/>
    <w:rsid w:val="0081504F"/>
    <w:rsid w:val="0081614E"/>
    <w:rsid w:val="0081681C"/>
    <w:rsid w:val="008168F8"/>
    <w:rsid w:val="00816AEC"/>
    <w:rsid w:val="008175C3"/>
    <w:rsid w:val="008204DA"/>
    <w:rsid w:val="00820BF5"/>
    <w:rsid w:val="00820EE3"/>
    <w:rsid w:val="00820FE7"/>
    <w:rsid w:val="0082110E"/>
    <w:rsid w:val="00821570"/>
    <w:rsid w:val="0082162A"/>
    <w:rsid w:val="00821639"/>
    <w:rsid w:val="008217A9"/>
    <w:rsid w:val="00821D20"/>
    <w:rsid w:val="00821EED"/>
    <w:rsid w:val="00822061"/>
    <w:rsid w:val="00822EB3"/>
    <w:rsid w:val="00823045"/>
    <w:rsid w:val="008238C2"/>
    <w:rsid w:val="00823A08"/>
    <w:rsid w:val="0082473F"/>
    <w:rsid w:val="00824AA7"/>
    <w:rsid w:val="00824C8A"/>
    <w:rsid w:val="00825095"/>
    <w:rsid w:val="0082547F"/>
    <w:rsid w:val="008255F5"/>
    <w:rsid w:val="00825685"/>
    <w:rsid w:val="00825FF8"/>
    <w:rsid w:val="00826638"/>
    <w:rsid w:val="00826FD5"/>
    <w:rsid w:val="00827A25"/>
    <w:rsid w:val="00827F0E"/>
    <w:rsid w:val="008300D2"/>
    <w:rsid w:val="008304B2"/>
    <w:rsid w:val="00830EEC"/>
    <w:rsid w:val="00831474"/>
    <w:rsid w:val="00831656"/>
    <w:rsid w:val="0083194C"/>
    <w:rsid w:val="00832D6E"/>
    <w:rsid w:val="00832D7E"/>
    <w:rsid w:val="008330B1"/>
    <w:rsid w:val="0083331F"/>
    <w:rsid w:val="008336FE"/>
    <w:rsid w:val="00833C51"/>
    <w:rsid w:val="00833E84"/>
    <w:rsid w:val="008340DF"/>
    <w:rsid w:val="00834C4D"/>
    <w:rsid w:val="00834ED6"/>
    <w:rsid w:val="0083548D"/>
    <w:rsid w:val="0083560A"/>
    <w:rsid w:val="00835B97"/>
    <w:rsid w:val="00836172"/>
    <w:rsid w:val="008368EB"/>
    <w:rsid w:val="0083708E"/>
    <w:rsid w:val="00837252"/>
    <w:rsid w:val="008378F9"/>
    <w:rsid w:val="008402B8"/>
    <w:rsid w:val="00840CD8"/>
    <w:rsid w:val="008412B0"/>
    <w:rsid w:val="00841442"/>
    <w:rsid w:val="00843422"/>
    <w:rsid w:val="008445F1"/>
    <w:rsid w:val="00844602"/>
    <w:rsid w:val="00844A6E"/>
    <w:rsid w:val="00844AD1"/>
    <w:rsid w:val="00845355"/>
    <w:rsid w:val="0084575D"/>
    <w:rsid w:val="0084580D"/>
    <w:rsid w:val="00845B5A"/>
    <w:rsid w:val="00845C15"/>
    <w:rsid w:val="00845DA2"/>
    <w:rsid w:val="00845FB0"/>
    <w:rsid w:val="00846076"/>
    <w:rsid w:val="00846F2F"/>
    <w:rsid w:val="00847C1C"/>
    <w:rsid w:val="00847D6F"/>
    <w:rsid w:val="00850016"/>
    <w:rsid w:val="00850E71"/>
    <w:rsid w:val="00851117"/>
    <w:rsid w:val="008513B2"/>
    <w:rsid w:val="008513F1"/>
    <w:rsid w:val="00851607"/>
    <w:rsid w:val="00851B26"/>
    <w:rsid w:val="00851B34"/>
    <w:rsid w:val="00851DF7"/>
    <w:rsid w:val="008526CE"/>
    <w:rsid w:val="008528E5"/>
    <w:rsid w:val="008534BC"/>
    <w:rsid w:val="008542CA"/>
    <w:rsid w:val="008544A0"/>
    <w:rsid w:val="008547C7"/>
    <w:rsid w:val="00854F8B"/>
    <w:rsid w:val="008551EF"/>
    <w:rsid w:val="008552EE"/>
    <w:rsid w:val="00856371"/>
    <w:rsid w:val="00856671"/>
    <w:rsid w:val="008574BE"/>
    <w:rsid w:val="008578E7"/>
    <w:rsid w:val="008608ED"/>
    <w:rsid w:val="00860C01"/>
    <w:rsid w:val="008610AF"/>
    <w:rsid w:val="00861762"/>
    <w:rsid w:val="008619F1"/>
    <w:rsid w:val="00861FA3"/>
    <w:rsid w:val="008621C9"/>
    <w:rsid w:val="00862608"/>
    <w:rsid w:val="0086306B"/>
    <w:rsid w:val="008637C4"/>
    <w:rsid w:val="00863809"/>
    <w:rsid w:val="0086382D"/>
    <w:rsid w:val="00863C24"/>
    <w:rsid w:val="00863C55"/>
    <w:rsid w:val="00863D57"/>
    <w:rsid w:val="00864575"/>
    <w:rsid w:val="00864669"/>
    <w:rsid w:val="0086479F"/>
    <w:rsid w:val="008648FD"/>
    <w:rsid w:val="00864C65"/>
    <w:rsid w:val="00864D31"/>
    <w:rsid w:val="008650D3"/>
    <w:rsid w:val="008651F5"/>
    <w:rsid w:val="00865278"/>
    <w:rsid w:val="008653BE"/>
    <w:rsid w:val="0086577C"/>
    <w:rsid w:val="00866390"/>
    <w:rsid w:val="00866921"/>
    <w:rsid w:val="008670B5"/>
    <w:rsid w:val="00867162"/>
    <w:rsid w:val="00867168"/>
    <w:rsid w:val="00867199"/>
    <w:rsid w:val="008678B0"/>
    <w:rsid w:val="00870323"/>
    <w:rsid w:val="00870C1F"/>
    <w:rsid w:val="00870DCF"/>
    <w:rsid w:val="00870EAF"/>
    <w:rsid w:val="00871508"/>
    <w:rsid w:val="008715A5"/>
    <w:rsid w:val="00872364"/>
    <w:rsid w:val="008724CA"/>
    <w:rsid w:val="00872520"/>
    <w:rsid w:val="0087258B"/>
    <w:rsid w:val="00872B9A"/>
    <w:rsid w:val="00872C3F"/>
    <w:rsid w:val="0087313A"/>
    <w:rsid w:val="008737BA"/>
    <w:rsid w:val="0087428A"/>
    <w:rsid w:val="008743BC"/>
    <w:rsid w:val="0087464A"/>
    <w:rsid w:val="00875662"/>
    <w:rsid w:val="00876751"/>
    <w:rsid w:val="0087697A"/>
    <w:rsid w:val="00876BFC"/>
    <w:rsid w:val="00876E78"/>
    <w:rsid w:val="00876E81"/>
    <w:rsid w:val="00877210"/>
    <w:rsid w:val="00877573"/>
    <w:rsid w:val="008775A5"/>
    <w:rsid w:val="008777E5"/>
    <w:rsid w:val="008778BF"/>
    <w:rsid w:val="008805A1"/>
    <w:rsid w:val="008808DB"/>
    <w:rsid w:val="00880C61"/>
    <w:rsid w:val="00880E4B"/>
    <w:rsid w:val="00880F6A"/>
    <w:rsid w:val="00881359"/>
    <w:rsid w:val="00881866"/>
    <w:rsid w:val="00881BD1"/>
    <w:rsid w:val="00881F9E"/>
    <w:rsid w:val="008826A3"/>
    <w:rsid w:val="008828B7"/>
    <w:rsid w:val="00882975"/>
    <w:rsid w:val="008829A5"/>
    <w:rsid w:val="00882D44"/>
    <w:rsid w:val="008834D9"/>
    <w:rsid w:val="008836C5"/>
    <w:rsid w:val="008849CF"/>
    <w:rsid w:val="00884FA4"/>
    <w:rsid w:val="008853A5"/>
    <w:rsid w:val="008853AB"/>
    <w:rsid w:val="008855B0"/>
    <w:rsid w:val="00885C78"/>
    <w:rsid w:val="00885C7E"/>
    <w:rsid w:val="00885FE8"/>
    <w:rsid w:val="00885FE9"/>
    <w:rsid w:val="008862F8"/>
    <w:rsid w:val="008863C8"/>
    <w:rsid w:val="00886593"/>
    <w:rsid w:val="00886752"/>
    <w:rsid w:val="00886926"/>
    <w:rsid w:val="008873DD"/>
    <w:rsid w:val="00887419"/>
    <w:rsid w:val="008878CE"/>
    <w:rsid w:val="00887969"/>
    <w:rsid w:val="00887998"/>
    <w:rsid w:val="00890297"/>
    <w:rsid w:val="008902DC"/>
    <w:rsid w:val="00890AB8"/>
    <w:rsid w:val="00890ABB"/>
    <w:rsid w:val="00891156"/>
    <w:rsid w:val="00891323"/>
    <w:rsid w:val="00891811"/>
    <w:rsid w:val="008920D9"/>
    <w:rsid w:val="008927C8"/>
    <w:rsid w:val="00893747"/>
    <w:rsid w:val="00893966"/>
    <w:rsid w:val="00893C26"/>
    <w:rsid w:val="00893E3D"/>
    <w:rsid w:val="00894612"/>
    <w:rsid w:val="0089478C"/>
    <w:rsid w:val="0089498C"/>
    <w:rsid w:val="00894C14"/>
    <w:rsid w:val="00894D2D"/>
    <w:rsid w:val="00895397"/>
    <w:rsid w:val="0089667E"/>
    <w:rsid w:val="0089669F"/>
    <w:rsid w:val="008969B0"/>
    <w:rsid w:val="00897236"/>
    <w:rsid w:val="00897369"/>
    <w:rsid w:val="00897D4C"/>
    <w:rsid w:val="00897F87"/>
    <w:rsid w:val="008A01AF"/>
    <w:rsid w:val="008A0289"/>
    <w:rsid w:val="008A03EB"/>
    <w:rsid w:val="008A040F"/>
    <w:rsid w:val="008A07FA"/>
    <w:rsid w:val="008A0CAE"/>
    <w:rsid w:val="008A0E18"/>
    <w:rsid w:val="008A1573"/>
    <w:rsid w:val="008A24B4"/>
    <w:rsid w:val="008A2684"/>
    <w:rsid w:val="008A2739"/>
    <w:rsid w:val="008A2CB5"/>
    <w:rsid w:val="008A3009"/>
    <w:rsid w:val="008A301E"/>
    <w:rsid w:val="008A3539"/>
    <w:rsid w:val="008A37A8"/>
    <w:rsid w:val="008A3958"/>
    <w:rsid w:val="008A4549"/>
    <w:rsid w:val="008A46A3"/>
    <w:rsid w:val="008A46FA"/>
    <w:rsid w:val="008A48B2"/>
    <w:rsid w:val="008A4A69"/>
    <w:rsid w:val="008A4AD5"/>
    <w:rsid w:val="008A4B50"/>
    <w:rsid w:val="008A4F63"/>
    <w:rsid w:val="008A5195"/>
    <w:rsid w:val="008A5672"/>
    <w:rsid w:val="008A57F9"/>
    <w:rsid w:val="008A617D"/>
    <w:rsid w:val="008A61D0"/>
    <w:rsid w:val="008A64C2"/>
    <w:rsid w:val="008A67FE"/>
    <w:rsid w:val="008A68AE"/>
    <w:rsid w:val="008A68E3"/>
    <w:rsid w:val="008A69BA"/>
    <w:rsid w:val="008A6AD1"/>
    <w:rsid w:val="008A6CFF"/>
    <w:rsid w:val="008A6E86"/>
    <w:rsid w:val="008A6EE1"/>
    <w:rsid w:val="008A78F5"/>
    <w:rsid w:val="008A796C"/>
    <w:rsid w:val="008B07DB"/>
    <w:rsid w:val="008B0F00"/>
    <w:rsid w:val="008B0FF7"/>
    <w:rsid w:val="008B1766"/>
    <w:rsid w:val="008B3276"/>
    <w:rsid w:val="008B3315"/>
    <w:rsid w:val="008B3B8E"/>
    <w:rsid w:val="008B3C2E"/>
    <w:rsid w:val="008B3CA3"/>
    <w:rsid w:val="008B4890"/>
    <w:rsid w:val="008B4A6D"/>
    <w:rsid w:val="008B4B68"/>
    <w:rsid w:val="008B58F6"/>
    <w:rsid w:val="008B5E51"/>
    <w:rsid w:val="008B6744"/>
    <w:rsid w:val="008B6B78"/>
    <w:rsid w:val="008B6B98"/>
    <w:rsid w:val="008B6ED3"/>
    <w:rsid w:val="008C09E7"/>
    <w:rsid w:val="008C139D"/>
    <w:rsid w:val="008C1610"/>
    <w:rsid w:val="008C161B"/>
    <w:rsid w:val="008C1911"/>
    <w:rsid w:val="008C1EEA"/>
    <w:rsid w:val="008C25A2"/>
    <w:rsid w:val="008C2610"/>
    <w:rsid w:val="008C3122"/>
    <w:rsid w:val="008C33EE"/>
    <w:rsid w:val="008C3577"/>
    <w:rsid w:val="008C41FD"/>
    <w:rsid w:val="008C4702"/>
    <w:rsid w:val="008C4B41"/>
    <w:rsid w:val="008C4E0C"/>
    <w:rsid w:val="008C4FBA"/>
    <w:rsid w:val="008C59A7"/>
    <w:rsid w:val="008C5A2F"/>
    <w:rsid w:val="008C5B08"/>
    <w:rsid w:val="008C62BC"/>
    <w:rsid w:val="008C6502"/>
    <w:rsid w:val="008C7171"/>
    <w:rsid w:val="008C724C"/>
    <w:rsid w:val="008C766E"/>
    <w:rsid w:val="008C76B2"/>
    <w:rsid w:val="008C7861"/>
    <w:rsid w:val="008C78DA"/>
    <w:rsid w:val="008D018F"/>
    <w:rsid w:val="008D0CCF"/>
    <w:rsid w:val="008D1243"/>
    <w:rsid w:val="008D1319"/>
    <w:rsid w:val="008D1B1D"/>
    <w:rsid w:val="008D1B2A"/>
    <w:rsid w:val="008D218E"/>
    <w:rsid w:val="008D25E9"/>
    <w:rsid w:val="008D2708"/>
    <w:rsid w:val="008D2994"/>
    <w:rsid w:val="008D2B28"/>
    <w:rsid w:val="008D4845"/>
    <w:rsid w:val="008D52F0"/>
    <w:rsid w:val="008D56F1"/>
    <w:rsid w:val="008D605D"/>
    <w:rsid w:val="008D607D"/>
    <w:rsid w:val="008D614F"/>
    <w:rsid w:val="008D61DB"/>
    <w:rsid w:val="008D625C"/>
    <w:rsid w:val="008D6F5F"/>
    <w:rsid w:val="008D706B"/>
    <w:rsid w:val="008D7247"/>
    <w:rsid w:val="008D736E"/>
    <w:rsid w:val="008D752B"/>
    <w:rsid w:val="008D7850"/>
    <w:rsid w:val="008E014A"/>
    <w:rsid w:val="008E0822"/>
    <w:rsid w:val="008E0DFE"/>
    <w:rsid w:val="008E10AF"/>
    <w:rsid w:val="008E16D4"/>
    <w:rsid w:val="008E17AC"/>
    <w:rsid w:val="008E1F05"/>
    <w:rsid w:val="008E2424"/>
    <w:rsid w:val="008E2784"/>
    <w:rsid w:val="008E2A82"/>
    <w:rsid w:val="008E2B55"/>
    <w:rsid w:val="008E356E"/>
    <w:rsid w:val="008E3708"/>
    <w:rsid w:val="008E3880"/>
    <w:rsid w:val="008E41A2"/>
    <w:rsid w:val="008E4437"/>
    <w:rsid w:val="008E4485"/>
    <w:rsid w:val="008E4DE7"/>
    <w:rsid w:val="008E4F38"/>
    <w:rsid w:val="008E5290"/>
    <w:rsid w:val="008E6628"/>
    <w:rsid w:val="008E68CE"/>
    <w:rsid w:val="008E6F41"/>
    <w:rsid w:val="008E7324"/>
    <w:rsid w:val="008E7640"/>
    <w:rsid w:val="008E7810"/>
    <w:rsid w:val="008E7925"/>
    <w:rsid w:val="008F06FC"/>
    <w:rsid w:val="008F085C"/>
    <w:rsid w:val="008F0AA1"/>
    <w:rsid w:val="008F10B8"/>
    <w:rsid w:val="008F16E6"/>
    <w:rsid w:val="008F1C38"/>
    <w:rsid w:val="008F1DB1"/>
    <w:rsid w:val="008F1EDA"/>
    <w:rsid w:val="008F1F1D"/>
    <w:rsid w:val="008F1FDA"/>
    <w:rsid w:val="008F2266"/>
    <w:rsid w:val="008F2597"/>
    <w:rsid w:val="008F2A54"/>
    <w:rsid w:val="008F2AE3"/>
    <w:rsid w:val="008F390B"/>
    <w:rsid w:val="008F3BEE"/>
    <w:rsid w:val="008F435C"/>
    <w:rsid w:val="008F4468"/>
    <w:rsid w:val="008F5161"/>
    <w:rsid w:val="008F51F5"/>
    <w:rsid w:val="008F5657"/>
    <w:rsid w:val="008F56B2"/>
    <w:rsid w:val="008F56DA"/>
    <w:rsid w:val="008F5AC7"/>
    <w:rsid w:val="008F5E35"/>
    <w:rsid w:val="008F5FE6"/>
    <w:rsid w:val="008F6142"/>
    <w:rsid w:val="008F6176"/>
    <w:rsid w:val="008F63B8"/>
    <w:rsid w:val="008F6B9A"/>
    <w:rsid w:val="008F6CCA"/>
    <w:rsid w:val="008F6CDA"/>
    <w:rsid w:val="008F6FD7"/>
    <w:rsid w:val="008F73B4"/>
    <w:rsid w:val="0090023A"/>
    <w:rsid w:val="00900412"/>
    <w:rsid w:val="00900821"/>
    <w:rsid w:val="00900858"/>
    <w:rsid w:val="00900D71"/>
    <w:rsid w:val="00900EB8"/>
    <w:rsid w:val="0090132E"/>
    <w:rsid w:val="00901A53"/>
    <w:rsid w:val="00901CAE"/>
    <w:rsid w:val="00901E23"/>
    <w:rsid w:val="00902119"/>
    <w:rsid w:val="009022D3"/>
    <w:rsid w:val="009029B3"/>
    <w:rsid w:val="00902AD7"/>
    <w:rsid w:val="00902BB8"/>
    <w:rsid w:val="00903201"/>
    <w:rsid w:val="00903263"/>
    <w:rsid w:val="009033C2"/>
    <w:rsid w:val="0090387D"/>
    <w:rsid w:val="00903927"/>
    <w:rsid w:val="00903B37"/>
    <w:rsid w:val="00903FC5"/>
    <w:rsid w:val="00903FEE"/>
    <w:rsid w:val="009045A5"/>
    <w:rsid w:val="0090491C"/>
    <w:rsid w:val="00904AB9"/>
    <w:rsid w:val="00904D08"/>
    <w:rsid w:val="0090507A"/>
    <w:rsid w:val="009055FC"/>
    <w:rsid w:val="00905604"/>
    <w:rsid w:val="0090592E"/>
    <w:rsid w:val="00905AF4"/>
    <w:rsid w:val="00905C33"/>
    <w:rsid w:val="00906037"/>
    <w:rsid w:val="009060BC"/>
    <w:rsid w:val="00906327"/>
    <w:rsid w:val="0090667F"/>
    <w:rsid w:val="00906E1D"/>
    <w:rsid w:val="00907173"/>
    <w:rsid w:val="00907235"/>
    <w:rsid w:val="00907363"/>
    <w:rsid w:val="009076BC"/>
    <w:rsid w:val="00907EA6"/>
    <w:rsid w:val="00910259"/>
    <w:rsid w:val="00910486"/>
    <w:rsid w:val="00910836"/>
    <w:rsid w:val="009108F3"/>
    <w:rsid w:val="00910B87"/>
    <w:rsid w:val="009114C0"/>
    <w:rsid w:val="009118AC"/>
    <w:rsid w:val="00911B90"/>
    <w:rsid w:val="00911D9B"/>
    <w:rsid w:val="0091257C"/>
    <w:rsid w:val="009126CF"/>
    <w:rsid w:val="00912F38"/>
    <w:rsid w:val="00913278"/>
    <w:rsid w:val="0091349F"/>
    <w:rsid w:val="00913A88"/>
    <w:rsid w:val="00914041"/>
    <w:rsid w:val="0091410A"/>
    <w:rsid w:val="009142AF"/>
    <w:rsid w:val="0091489E"/>
    <w:rsid w:val="00914FAA"/>
    <w:rsid w:val="009154D3"/>
    <w:rsid w:val="009168DA"/>
    <w:rsid w:val="00916B18"/>
    <w:rsid w:val="00916DDB"/>
    <w:rsid w:val="00917358"/>
    <w:rsid w:val="00917453"/>
    <w:rsid w:val="009178EA"/>
    <w:rsid w:val="00920340"/>
    <w:rsid w:val="00920405"/>
    <w:rsid w:val="00920D39"/>
    <w:rsid w:val="00921087"/>
    <w:rsid w:val="009218E6"/>
    <w:rsid w:val="00921C6E"/>
    <w:rsid w:val="009222E4"/>
    <w:rsid w:val="00922ACD"/>
    <w:rsid w:val="00922B13"/>
    <w:rsid w:val="009241A1"/>
    <w:rsid w:val="009248ED"/>
    <w:rsid w:val="00924902"/>
    <w:rsid w:val="00924F1C"/>
    <w:rsid w:val="00925608"/>
    <w:rsid w:val="00925759"/>
    <w:rsid w:val="00925A5D"/>
    <w:rsid w:val="0092611E"/>
    <w:rsid w:val="00926773"/>
    <w:rsid w:val="00926CA5"/>
    <w:rsid w:val="00926E22"/>
    <w:rsid w:val="00926F94"/>
    <w:rsid w:val="009273A9"/>
    <w:rsid w:val="00927F0E"/>
    <w:rsid w:val="0093040A"/>
    <w:rsid w:val="00930AE0"/>
    <w:rsid w:val="00931022"/>
    <w:rsid w:val="00931115"/>
    <w:rsid w:val="00931350"/>
    <w:rsid w:val="0093257A"/>
    <w:rsid w:val="00932842"/>
    <w:rsid w:val="00932868"/>
    <w:rsid w:val="00932A49"/>
    <w:rsid w:val="00933719"/>
    <w:rsid w:val="00933798"/>
    <w:rsid w:val="0093380C"/>
    <w:rsid w:val="00933C0A"/>
    <w:rsid w:val="00934ADE"/>
    <w:rsid w:val="00934C3D"/>
    <w:rsid w:val="0093503C"/>
    <w:rsid w:val="009360ED"/>
    <w:rsid w:val="00936587"/>
    <w:rsid w:val="00936726"/>
    <w:rsid w:val="00936DA8"/>
    <w:rsid w:val="0093729F"/>
    <w:rsid w:val="009373B8"/>
    <w:rsid w:val="009373E5"/>
    <w:rsid w:val="009375C4"/>
    <w:rsid w:val="00937C72"/>
    <w:rsid w:val="009402F8"/>
    <w:rsid w:val="009406DD"/>
    <w:rsid w:val="00940CD1"/>
    <w:rsid w:val="00940E24"/>
    <w:rsid w:val="0094123F"/>
    <w:rsid w:val="00941296"/>
    <w:rsid w:val="00941B75"/>
    <w:rsid w:val="0094276B"/>
    <w:rsid w:val="00942E59"/>
    <w:rsid w:val="00943242"/>
    <w:rsid w:val="00943456"/>
    <w:rsid w:val="00943D71"/>
    <w:rsid w:val="00943DAF"/>
    <w:rsid w:val="009442D9"/>
    <w:rsid w:val="009452CF"/>
    <w:rsid w:val="00945D80"/>
    <w:rsid w:val="00946009"/>
    <w:rsid w:val="009463F7"/>
    <w:rsid w:val="00946ADA"/>
    <w:rsid w:val="00946B92"/>
    <w:rsid w:val="00946D71"/>
    <w:rsid w:val="0094746B"/>
    <w:rsid w:val="0094753D"/>
    <w:rsid w:val="0094777A"/>
    <w:rsid w:val="009477E7"/>
    <w:rsid w:val="00947A49"/>
    <w:rsid w:val="00947AA4"/>
    <w:rsid w:val="0095009A"/>
    <w:rsid w:val="009501BE"/>
    <w:rsid w:val="00950244"/>
    <w:rsid w:val="009503C3"/>
    <w:rsid w:val="00950CCD"/>
    <w:rsid w:val="00950F52"/>
    <w:rsid w:val="009510F0"/>
    <w:rsid w:val="009515BD"/>
    <w:rsid w:val="00951696"/>
    <w:rsid w:val="009521AE"/>
    <w:rsid w:val="0095271A"/>
    <w:rsid w:val="00952B67"/>
    <w:rsid w:val="00953514"/>
    <w:rsid w:val="00953647"/>
    <w:rsid w:val="00953911"/>
    <w:rsid w:val="00953A78"/>
    <w:rsid w:val="00954145"/>
    <w:rsid w:val="009542F0"/>
    <w:rsid w:val="00954602"/>
    <w:rsid w:val="00954CE9"/>
    <w:rsid w:val="00954E48"/>
    <w:rsid w:val="00955A17"/>
    <w:rsid w:val="00955CB6"/>
    <w:rsid w:val="00955E1E"/>
    <w:rsid w:val="009561AA"/>
    <w:rsid w:val="00956A65"/>
    <w:rsid w:val="00956B17"/>
    <w:rsid w:val="00956B80"/>
    <w:rsid w:val="0095706F"/>
    <w:rsid w:val="009571BE"/>
    <w:rsid w:val="009573AB"/>
    <w:rsid w:val="0095762B"/>
    <w:rsid w:val="00957738"/>
    <w:rsid w:val="00957774"/>
    <w:rsid w:val="00957A4E"/>
    <w:rsid w:val="009611C3"/>
    <w:rsid w:val="009614D4"/>
    <w:rsid w:val="00961534"/>
    <w:rsid w:val="009616A8"/>
    <w:rsid w:val="00961812"/>
    <w:rsid w:val="00961AAF"/>
    <w:rsid w:val="00961B6F"/>
    <w:rsid w:val="00961D42"/>
    <w:rsid w:val="009623C8"/>
    <w:rsid w:val="0096275F"/>
    <w:rsid w:val="0096342D"/>
    <w:rsid w:val="00963F4B"/>
    <w:rsid w:val="00964167"/>
    <w:rsid w:val="009644A9"/>
    <w:rsid w:val="00964A00"/>
    <w:rsid w:val="009652D6"/>
    <w:rsid w:val="00965A9A"/>
    <w:rsid w:val="00966603"/>
    <w:rsid w:val="00966735"/>
    <w:rsid w:val="0096676F"/>
    <w:rsid w:val="00966AFF"/>
    <w:rsid w:val="00966D4B"/>
    <w:rsid w:val="00966FD0"/>
    <w:rsid w:val="0096707F"/>
    <w:rsid w:val="00967092"/>
    <w:rsid w:val="0096716B"/>
    <w:rsid w:val="00967454"/>
    <w:rsid w:val="009674A2"/>
    <w:rsid w:val="009675C8"/>
    <w:rsid w:val="00967639"/>
    <w:rsid w:val="009703A2"/>
    <w:rsid w:val="009706A0"/>
    <w:rsid w:val="00971156"/>
    <w:rsid w:val="00971DBD"/>
    <w:rsid w:val="00971E88"/>
    <w:rsid w:val="009720DD"/>
    <w:rsid w:val="00972360"/>
    <w:rsid w:val="00972FE4"/>
    <w:rsid w:val="00973586"/>
    <w:rsid w:val="009739FE"/>
    <w:rsid w:val="00973D4F"/>
    <w:rsid w:val="00973D68"/>
    <w:rsid w:val="0097421B"/>
    <w:rsid w:val="00974487"/>
    <w:rsid w:val="009749BC"/>
    <w:rsid w:val="009749E7"/>
    <w:rsid w:val="00974A8A"/>
    <w:rsid w:val="00974D52"/>
    <w:rsid w:val="009754AD"/>
    <w:rsid w:val="009757C3"/>
    <w:rsid w:val="00975E0A"/>
    <w:rsid w:val="00975F91"/>
    <w:rsid w:val="00976299"/>
    <w:rsid w:val="00976773"/>
    <w:rsid w:val="00976EB8"/>
    <w:rsid w:val="0097723B"/>
    <w:rsid w:val="00977399"/>
    <w:rsid w:val="009775C1"/>
    <w:rsid w:val="00977FA3"/>
    <w:rsid w:val="00980027"/>
    <w:rsid w:val="00980043"/>
    <w:rsid w:val="00980872"/>
    <w:rsid w:val="00980B2F"/>
    <w:rsid w:val="00980BD0"/>
    <w:rsid w:val="00980E9A"/>
    <w:rsid w:val="00981537"/>
    <w:rsid w:val="00981747"/>
    <w:rsid w:val="0098198C"/>
    <w:rsid w:val="00981C8A"/>
    <w:rsid w:val="00981E10"/>
    <w:rsid w:val="009820BB"/>
    <w:rsid w:val="009827F1"/>
    <w:rsid w:val="0098290C"/>
    <w:rsid w:val="009830FD"/>
    <w:rsid w:val="009834D1"/>
    <w:rsid w:val="0098394E"/>
    <w:rsid w:val="00984169"/>
    <w:rsid w:val="00984413"/>
    <w:rsid w:val="00984470"/>
    <w:rsid w:val="00984DE2"/>
    <w:rsid w:val="009855BA"/>
    <w:rsid w:val="00985862"/>
    <w:rsid w:val="00985CD6"/>
    <w:rsid w:val="00986020"/>
    <w:rsid w:val="00986164"/>
    <w:rsid w:val="00986EF9"/>
    <w:rsid w:val="009874C0"/>
    <w:rsid w:val="009876A5"/>
    <w:rsid w:val="00987FEF"/>
    <w:rsid w:val="009902FD"/>
    <w:rsid w:val="009908D0"/>
    <w:rsid w:val="00990B12"/>
    <w:rsid w:val="00991B5C"/>
    <w:rsid w:val="00991B79"/>
    <w:rsid w:val="00991CE7"/>
    <w:rsid w:val="009920FB"/>
    <w:rsid w:val="00992112"/>
    <w:rsid w:val="009924C0"/>
    <w:rsid w:val="009927D7"/>
    <w:rsid w:val="00992ADD"/>
    <w:rsid w:val="00992C25"/>
    <w:rsid w:val="00992DDC"/>
    <w:rsid w:val="00993118"/>
    <w:rsid w:val="00993174"/>
    <w:rsid w:val="0099342C"/>
    <w:rsid w:val="0099344F"/>
    <w:rsid w:val="00993477"/>
    <w:rsid w:val="0099372F"/>
    <w:rsid w:val="00994153"/>
    <w:rsid w:val="00994754"/>
    <w:rsid w:val="00994872"/>
    <w:rsid w:val="00994886"/>
    <w:rsid w:val="00994E87"/>
    <w:rsid w:val="0099509F"/>
    <w:rsid w:val="009951FB"/>
    <w:rsid w:val="00995559"/>
    <w:rsid w:val="00996280"/>
    <w:rsid w:val="009964AC"/>
    <w:rsid w:val="0099650A"/>
    <w:rsid w:val="0099671E"/>
    <w:rsid w:val="00996940"/>
    <w:rsid w:val="00996F5A"/>
    <w:rsid w:val="00997395"/>
    <w:rsid w:val="00997865"/>
    <w:rsid w:val="00997A48"/>
    <w:rsid w:val="00997B17"/>
    <w:rsid w:val="00997C77"/>
    <w:rsid w:val="009A0020"/>
    <w:rsid w:val="009A0A6E"/>
    <w:rsid w:val="009A1118"/>
    <w:rsid w:val="009A1221"/>
    <w:rsid w:val="009A12C2"/>
    <w:rsid w:val="009A144D"/>
    <w:rsid w:val="009A1B2D"/>
    <w:rsid w:val="009A1D79"/>
    <w:rsid w:val="009A20F1"/>
    <w:rsid w:val="009A239C"/>
    <w:rsid w:val="009A2C79"/>
    <w:rsid w:val="009A2E68"/>
    <w:rsid w:val="009A3257"/>
    <w:rsid w:val="009A351B"/>
    <w:rsid w:val="009A3C5C"/>
    <w:rsid w:val="009A3DA2"/>
    <w:rsid w:val="009A4D0B"/>
    <w:rsid w:val="009A4D8D"/>
    <w:rsid w:val="009A52D6"/>
    <w:rsid w:val="009A585D"/>
    <w:rsid w:val="009A591A"/>
    <w:rsid w:val="009A5B9B"/>
    <w:rsid w:val="009A6143"/>
    <w:rsid w:val="009A6891"/>
    <w:rsid w:val="009A6FDD"/>
    <w:rsid w:val="009A7774"/>
    <w:rsid w:val="009A7779"/>
    <w:rsid w:val="009A78C3"/>
    <w:rsid w:val="009A7A06"/>
    <w:rsid w:val="009A7EEC"/>
    <w:rsid w:val="009B041B"/>
    <w:rsid w:val="009B090F"/>
    <w:rsid w:val="009B0B8B"/>
    <w:rsid w:val="009B0E82"/>
    <w:rsid w:val="009B1094"/>
    <w:rsid w:val="009B14F2"/>
    <w:rsid w:val="009B16D5"/>
    <w:rsid w:val="009B2AF7"/>
    <w:rsid w:val="009B2B08"/>
    <w:rsid w:val="009B2CA0"/>
    <w:rsid w:val="009B3200"/>
    <w:rsid w:val="009B3B34"/>
    <w:rsid w:val="009B3E7D"/>
    <w:rsid w:val="009B60B1"/>
    <w:rsid w:val="009B69A8"/>
    <w:rsid w:val="009B6B35"/>
    <w:rsid w:val="009B7488"/>
    <w:rsid w:val="009B777B"/>
    <w:rsid w:val="009B7825"/>
    <w:rsid w:val="009C0477"/>
    <w:rsid w:val="009C0E48"/>
    <w:rsid w:val="009C14B6"/>
    <w:rsid w:val="009C1723"/>
    <w:rsid w:val="009C1B67"/>
    <w:rsid w:val="009C1E22"/>
    <w:rsid w:val="009C1E5E"/>
    <w:rsid w:val="009C245B"/>
    <w:rsid w:val="009C2622"/>
    <w:rsid w:val="009C2662"/>
    <w:rsid w:val="009C2CD7"/>
    <w:rsid w:val="009C2D60"/>
    <w:rsid w:val="009C2F9A"/>
    <w:rsid w:val="009C333C"/>
    <w:rsid w:val="009C33CA"/>
    <w:rsid w:val="009C36F3"/>
    <w:rsid w:val="009C3E06"/>
    <w:rsid w:val="009C453E"/>
    <w:rsid w:val="009C463C"/>
    <w:rsid w:val="009C473B"/>
    <w:rsid w:val="009C4C49"/>
    <w:rsid w:val="009C544B"/>
    <w:rsid w:val="009C5D78"/>
    <w:rsid w:val="009C61AB"/>
    <w:rsid w:val="009C645D"/>
    <w:rsid w:val="009C651C"/>
    <w:rsid w:val="009C655D"/>
    <w:rsid w:val="009C6712"/>
    <w:rsid w:val="009C68B5"/>
    <w:rsid w:val="009C68C5"/>
    <w:rsid w:val="009C68FF"/>
    <w:rsid w:val="009C7174"/>
    <w:rsid w:val="009D08E4"/>
    <w:rsid w:val="009D0C2C"/>
    <w:rsid w:val="009D0CFA"/>
    <w:rsid w:val="009D1174"/>
    <w:rsid w:val="009D171E"/>
    <w:rsid w:val="009D1BFA"/>
    <w:rsid w:val="009D2013"/>
    <w:rsid w:val="009D2C23"/>
    <w:rsid w:val="009D308F"/>
    <w:rsid w:val="009D327B"/>
    <w:rsid w:val="009D32DF"/>
    <w:rsid w:val="009D3356"/>
    <w:rsid w:val="009D34BF"/>
    <w:rsid w:val="009D406A"/>
    <w:rsid w:val="009D452A"/>
    <w:rsid w:val="009D4A3A"/>
    <w:rsid w:val="009D52C9"/>
    <w:rsid w:val="009D555E"/>
    <w:rsid w:val="009D593E"/>
    <w:rsid w:val="009D6412"/>
    <w:rsid w:val="009D6C13"/>
    <w:rsid w:val="009D6EB0"/>
    <w:rsid w:val="009D6F70"/>
    <w:rsid w:val="009D6FE3"/>
    <w:rsid w:val="009D70DA"/>
    <w:rsid w:val="009D718D"/>
    <w:rsid w:val="009D79C6"/>
    <w:rsid w:val="009E0387"/>
    <w:rsid w:val="009E04A2"/>
    <w:rsid w:val="009E075D"/>
    <w:rsid w:val="009E09CE"/>
    <w:rsid w:val="009E0A4B"/>
    <w:rsid w:val="009E0A8C"/>
    <w:rsid w:val="009E0FEF"/>
    <w:rsid w:val="009E12BA"/>
    <w:rsid w:val="009E1734"/>
    <w:rsid w:val="009E19C5"/>
    <w:rsid w:val="009E2197"/>
    <w:rsid w:val="009E2385"/>
    <w:rsid w:val="009E24EE"/>
    <w:rsid w:val="009E265C"/>
    <w:rsid w:val="009E2D13"/>
    <w:rsid w:val="009E2DCB"/>
    <w:rsid w:val="009E2FBA"/>
    <w:rsid w:val="009E39D7"/>
    <w:rsid w:val="009E3BD4"/>
    <w:rsid w:val="009E4054"/>
    <w:rsid w:val="009E425D"/>
    <w:rsid w:val="009E47FB"/>
    <w:rsid w:val="009E4923"/>
    <w:rsid w:val="009E4B4C"/>
    <w:rsid w:val="009E4C2F"/>
    <w:rsid w:val="009E4F94"/>
    <w:rsid w:val="009E5E05"/>
    <w:rsid w:val="009E5EA3"/>
    <w:rsid w:val="009E6808"/>
    <w:rsid w:val="009E69F2"/>
    <w:rsid w:val="009E6EFE"/>
    <w:rsid w:val="009E701F"/>
    <w:rsid w:val="009E781C"/>
    <w:rsid w:val="009E7A5D"/>
    <w:rsid w:val="009E7C97"/>
    <w:rsid w:val="009E7E8E"/>
    <w:rsid w:val="009E7F84"/>
    <w:rsid w:val="009F0286"/>
    <w:rsid w:val="009F0477"/>
    <w:rsid w:val="009F085F"/>
    <w:rsid w:val="009F0B25"/>
    <w:rsid w:val="009F0F26"/>
    <w:rsid w:val="009F1377"/>
    <w:rsid w:val="009F19C4"/>
    <w:rsid w:val="009F1AA8"/>
    <w:rsid w:val="009F2E59"/>
    <w:rsid w:val="009F313F"/>
    <w:rsid w:val="009F32E6"/>
    <w:rsid w:val="009F3E2E"/>
    <w:rsid w:val="009F3F18"/>
    <w:rsid w:val="009F478D"/>
    <w:rsid w:val="009F4CC3"/>
    <w:rsid w:val="009F5143"/>
    <w:rsid w:val="009F51AD"/>
    <w:rsid w:val="009F559A"/>
    <w:rsid w:val="009F586D"/>
    <w:rsid w:val="009F5B38"/>
    <w:rsid w:val="009F647B"/>
    <w:rsid w:val="009F6E71"/>
    <w:rsid w:val="009F71F2"/>
    <w:rsid w:val="009F7489"/>
    <w:rsid w:val="009F76EE"/>
    <w:rsid w:val="009F7B81"/>
    <w:rsid w:val="009F7CAB"/>
    <w:rsid w:val="00A00773"/>
    <w:rsid w:val="00A00CC5"/>
    <w:rsid w:val="00A014EB"/>
    <w:rsid w:val="00A01927"/>
    <w:rsid w:val="00A01CEE"/>
    <w:rsid w:val="00A0203F"/>
    <w:rsid w:val="00A020F8"/>
    <w:rsid w:val="00A02187"/>
    <w:rsid w:val="00A02436"/>
    <w:rsid w:val="00A02852"/>
    <w:rsid w:val="00A02F43"/>
    <w:rsid w:val="00A030D6"/>
    <w:rsid w:val="00A032CB"/>
    <w:rsid w:val="00A036AC"/>
    <w:rsid w:val="00A03D49"/>
    <w:rsid w:val="00A03E71"/>
    <w:rsid w:val="00A03F62"/>
    <w:rsid w:val="00A03F8B"/>
    <w:rsid w:val="00A04163"/>
    <w:rsid w:val="00A04312"/>
    <w:rsid w:val="00A044C1"/>
    <w:rsid w:val="00A04994"/>
    <w:rsid w:val="00A04E9C"/>
    <w:rsid w:val="00A0523E"/>
    <w:rsid w:val="00A055C5"/>
    <w:rsid w:val="00A05B74"/>
    <w:rsid w:val="00A05F9E"/>
    <w:rsid w:val="00A06AAD"/>
    <w:rsid w:val="00A06DDF"/>
    <w:rsid w:val="00A07C4C"/>
    <w:rsid w:val="00A10185"/>
    <w:rsid w:val="00A101D2"/>
    <w:rsid w:val="00A1056A"/>
    <w:rsid w:val="00A10A52"/>
    <w:rsid w:val="00A10C5B"/>
    <w:rsid w:val="00A10DD8"/>
    <w:rsid w:val="00A11489"/>
    <w:rsid w:val="00A11720"/>
    <w:rsid w:val="00A11964"/>
    <w:rsid w:val="00A120BF"/>
    <w:rsid w:val="00A12448"/>
    <w:rsid w:val="00A12611"/>
    <w:rsid w:val="00A127B4"/>
    <w:rsid w:val="00A12A81"/>
    <w:rsid w:val="00A136ED"/>
    <w:rsid w:val="00A13923"/>
    <w:rsid w:val="00A13A74"/>
    <w:rsid w:val="00A13D36"/>
    <w:rsid w:val="00A1417B"/>
    <w:rsid w:val="00A141A9"/>
    <w:rsid w:val="00A142BE"/>
    <w:rsid w:val="00A144A6"/>
    <w:rsid w:val="00A14BEC"/>
    <w:rsid w:val="00A14CA6"/>
    <w:rsid w:val="00A14F05"/>
    <w:rsid w:val="00A15190"/>
    <w:rsid w:val="00A15300"/>
    <w:rsid w:val="00A1571B"/>
    <w:rsid w:val="00A15781"/>
    <w:rsid w:val="00A15A8C"/>
    <w:rsid w:val="00A15B3C"/>
    <w:rsid w:val="00A1602B"/>
    <w:rsid w:val="00A160A1"/>
    <w:rsid w:val="00A1660E"/>
    <w:rsid w:val="00A17CC7"/>
    <w:rsid w:val="00A17CD6"/>
    <w:rsid w:val="00A20232"/>
    <w:rsid w:val="00A20360"/>
    <w:rsid w:val="00A204EC"/>
    <w:rsid w:val="00A20884"/>
    <w:rsid w:val="00A20E8F"/>
    <w:rsid w:val="00A21667"/>
    <w:rsid w:val="00A2255B"/>
    <w:rsid w:val="00A22771"/>
    <w:rsid w:val="00A22841"/>
    <w:rsid w:val="00A22903"/>
    <w:rsid w:val="00A22A0D"/>
    <w:rsid w:val="00A235BA"/>
    <w:rsid w:val="00A23ADE"/>
    <w:rsid w:val="00A24204"/>
    <w:rsid w:val="00A243B5"/>
    <w:rsid w:val="00A24508"/>
    <w:rsid w:val="00A24709"/>
    <w:rsid w:val="00A24C53"/>
    <w:rsid w:val="00A24FB5"/>
    <w:rsid w:val="00A2505D"/>
    <w:rsid w:val="00A25450"/>
    <w:rsid w:val="00A259BC"/>
    <w:rsid w:val="00A260E5"/>
    <w:rsid w:val="00A2617C"/>
    <w:rsid w:val="00A266AB"/>
    <w:rsid w:val="00A269AA"/>
    <w:rsid w:val="00A26A57"/>
    <w:rsid w:val="00A26F66"/>
    <w:rsid w:val="00A2709D"/>
    <w:rsid w:val="00A276EE"/>
    <w:rsid w:val="00A27783"/>
    <w:rsid w:val="00A27E18"/>
    <w:rsid w:val="00A3053D"/>
    <w:rsid w:val="00A30EE6"/>
    <w:rsid w:val="00A31057"/>
    <w:rsid w:val="00A31777"/>
    <w:rsid w:val="00A31A7F"/>
    <w:rsid w:val="00A32600"/>
    <w:rsid w:val="00A32937"/>
    <w:rsid w:val="00A32A1B"/>
    <w:rsid w:val="00A32C2E"/>
    <w:rsid w:val="00A32E3D"/>
    <w:rsid w:val="00A33167"/>
    <w:rsid w:val="00A33276"/>
    <w:rsid w:val="00A34295"/>
    <w:rsid w:val="00A342B2"/>
    <w:rsid w:val="00A34DB5"/>
    <w:rsid w:val="00A34E3E"/>
    <w:rsid w:val="00A35529"/>
    <w:rsid w:val="00A35C74"/>
    <w:rsid w:val="00A35E0B"/>
    <w:rsid w:val="00A35F5F"/>
    <w:rsid w:val="00A3673D"/>
    <w:rsid w:val="00A36A9C"/>
    <w:rsid w:val="00A36DB0"/>
    <w:rsid w:val="00A3747F"/>
    <w:rsid w:val="00A37603"/>
    <w:rsid w:val="00A3790A"/>
    <w:rsid w:val="00A37A24"/>
    <w:rsid w:val="00A37B79"/>
    <w:rsid w:val="00A402B7"/>
    <w:rsid w:val="00A403AB"/>
    <w:rsid w:val="00A40730"/>
    <w:rsid w:val="00A40D29"/>
    <w:rsid w:val="00A40E76"/>
    <w:rsid w:val="00A40EAE"/>
    <w:rsid w:val="00A411E8"/>
    <w:rsid w:val="00A4159E"/>
    <w:rsid w:val="00A41AD9"/>
    <w:rsid w:val="00A41F42"/>
    <w:rsid w:val="00A42377"/>
    <w:rsid w:val="00A423ED"/>
    <w:rsid w:val="00A42741"/>
    <w:rsid w:val="00A42AA7"/>
    <w:rsid w:val="00A4351F"/>
    <w:rsid w:val="00A43721"/>
    <w:rsid w:val="00A43CC3"/>
    <w:rsid w:val="00A43D64"/>
    <w:rsid w:val="00A4487E"/>
    <w:rsid w:val="00A44F42"/>
    <w:rsid w:val="00A45010"/>
    <w:rsid w:val="00A45401"/>
    <w:rsid w:val="00A459D7"/>
    <w:rsid w:val="00A4602F"/>
    <w:rsid w:val="00A461AF"/>
    <w:rsid w:val="00A464D2"/>
    <w:rsid w:val="00A468C9"/>
    <w:rsid w:val="00A46B90"/>
    <w:rsid w:val="00A473FE"/>
    <w:rsid w:val="00A50086"/>
    <w:rsid w:val="00A50425"/>
    <w:rsid w:val="00A50CE6"/>
    <w:rsid w:val="00A5118A"/>
    <w:rsid w:val="00A5137C"/>
    <w:rsid w:val="00A5141A"/>
    <w:rsid w:val="00A51718"/>
    <w:rsid w:val="00A51A3B"/>
    <w:rsid w:val="00A51C4A"/>
    <w:rsid w:val="00A51DF2"/>
    <w:rsid w:val="00A51E39"/>
    <w:rsid w:val="00A5252F"/>
    <w:rsid w:val="00A531D4"/>
    <w:rsid w:val="00A534DA"/>
    <w:rsid w:val="00A53871"/>
    <w:rsid w:val="00A538E4"/>
    <w:rsid w:val="00A539EA"/>
    <w:rsid w:val="00A53B24"/>
    <w:rsid w:val="00A53F72"/>
    <w:rsid w:val="00A54034"/>
    <w:rsid w:val="00A54250"/>
    <w:rsid w:val="00A54253"/>
    <w:rsid w:val="00A54351"/>
    <w:rsid w:val="00A546A3"/>
    <w:rsid w:val="00A546BA"/>
    <w:rsid w:val="00A547BB"/>
    <w:rsid w:val="00A56C0E"/>
    <w:rsid w:val="00A5771F"/>
    <w:rsid w:val="00A57A2F"/>
    <w:rsid w:val="00A57AB2"/>
    <w:rsid w:val="00A601EA"/>
    <w:rsid w:val="00A604D5"/>
    <w:rsid w:val="00A608A1"/>
    <w:rsid w:val="00A60999"/>
    <w:rsid w:val="00A60AF6"/>
    <w:rsid w:val="00A60E58"/>
    <w:rsid w:val="00A6113F"/>
    <w:rsid w:val="00A615D3"/>
    <w:rsid w:val="00A6194C"/>
    <w:rsid w:val="00A61A37"/>
    <w:rsid w:val="00A621C6"/>
    <w:rsid w:val="00A622FB"/>
    <w:rsid w:val="00A62785"/>
    <w:rsid w:val="00A628C2"/>
    <w:rsid w:val="00A62FAC"/>
    <w:rsid w:val="00A63099"/>
    <w:rsid w:val="00A631E5"/>
    <w:rsid w:val="00A63275"/>
    <w:rsid w:val="00A636E2"/>
    <w:rsid w:val="00A6485A"/>
    <w:rsid w:val="00A64D85"/>
    <w:rsid w:val="00A64DCB"/>
    <w:rsid w:val="00A64EFD"/>
    <w:rsid w:val="00A655AC"/>
    <w:rsid w:val="00A65C41"/>
    <w:rsid w:val="00A65DB7"/>
    <w:rsid w:val="00A66350"/>
    <w:rsid w:val="00A676D7"/>
    <w:rsid w:val="00A67BD3"/>
    <w:rsid w:val="00A67C79"/>
    <w:rsid w:val="00A70983"/>
    <w:rsid w:val="00A70BDE"/>
    <w:rsid w:val="00A70FD7"/>
    <w:rsid w:val="00A712A7"/>
    <w:rsid w:val="00A71B9B"/>
    <w:rsid w:val="00A71CC4"/>
    <w:rsid w:val="00A71CEC"/>
    <w:rsid w:val="00A71D87"/>
    <w:rsid w:val="00A71F35"/>
    <w:rsid w:val="00A7208A"/>
    <w:rsid w:val="00A7214C"/>
    <w:rsid w:val="00A721B8"/>
    <w:rsid w:val="00A723FF"/>
    <w:rsid w:val="00A72CCE"/>
    <w:rsid w:val="00A731D6"/>
    <w:rsid w:val="00A7333D"/>
    <w:rsid w:val="00A73380"/>
    <w:rsid w:val="00A73697"/>
    <w:rsid w:val="00A73C75"/>
    <w:rsid w:val="00A74392"/>
    <w:rsid w:val="00A74493"/>
    <w:rsid w:val="00A74529"/>
    <w:rsid w:val="00A74C77"/>
    <w:rsid w:val="00A7530E"/>
    <w:rsid w:val="00A75826"/>
    <w:rsid w:val="00A758E4"/>
    <w:rsid w:val="00A759FC"/>
    <w:rsid w:val="00A75A96"/>
    <w:rsid w:val="00A760E6"/>
    <w:rsid w:val="00A761B6"/>
    <w:rsid w:val="00A76D32"/>
    <w:rsid w:val="00A775E2"/>
    <w:rsid w:val="00A77790"/>
    <w:rsid w:val="00A77BFB"/>
    <w:rsid w:val="00A77EEE"/>
    <w:rsid w:val="00A80143"/>
    <w:rsid w:val="00A80361"/>
    <w:rsid w:val="00A805E1"/>
    <w:rsid w:val="00A8110C"/>
    <w:rsid w:val="00A81149"/>
    <w:rsid w:val="00A815F7"/>
    <w:rsid w:val="00A816FC"/>
    <w:rsid w:val="00A817B7"/>
    <w:rsid w:val="00A827AE"/>
    <w:rsid w:val="00A82B17"/>
    <w:rsid w:val="00A82E1B"/>
    <w:rsid w:val="00A8317D"/>
    <w:rsid w:val="00A83481"/>
    <w:rsid w:val="00A83D11"/>
    <w:rsid w:val="00A84130"/>
    <w:rsid w:val="00A844F6"/>
    <w:rsid w:val="00A858E2"/>
    <w:rsid w:val="00A85BD2"/>
    <w:rsid w:val="00A86038"/>
    <w:rsid w:val="00A868E5"/>
    <w:rsid w:val="00A868F7"/>
    <w:rsid w:val="00A86F53"/>
    <w:rsid w:val="00A873F3"/>
    <w:rsid w:val="00A87534"/>
    <w:rsid w:val="00A901A7"/>
    <w:rsid w:val="00A902A5"/>
    <w:rsid w:val="00A903FF"/>
    <w:rsid w:val="00A90A20"/>
    <w:rsid w:val="00A90B40"/>
    <w:rsid w:val="00A90B5E"/>
    <w:rsid w:val="00A90CEA"/>
    <w:rsid w:val="00A90D55"/>
    <w:rsid w:val="00A911BA"/>
    <w:rsid w:val="00A913B0"/>
    <w:rsid w:val="00A914D9"/>
    <w:rsid w:val="00A91A46"/>
    <w:rsid w:val="00A91B94"/>
    <w:rsid w:val="00A921AE"/>
    <w:rsid w:val="00A924EA"/>
    <w:rsid w:val="00A92817"/>
    <w:rsid w:val="00A9290D"/>
    <w:rsid w:val="00A930EB"/>
    <w:rsid w:val="00A93322"/>
    <w:rsid w:val="00A93B1A"/>
    <w:rsid w:val="00A94108"/>
    <w:rsid w:val="00A944D9"/>
    <w:rsid w:val="00A94978"/>
    <w:rsid w:val="00A94BA1"/>
    <w:rsid w:val="00A9516D"/>
    <w:rsid w:val="00A95294"/>
    <w:rsid w:val="00A95366"/>
    <w:rsid w:val="00A953F8"/>
    <w:rsid w:val="00A95CF2"/>
    <w:rsid w:val="00A95F00"/>
    <w:rsid w:val="00A962E4"/>
    <w:rsid w:val="00A96405"/>
    <w:rsid w:val="00A96486"/>
    <w:rsid w:val="00A96617"/>
    <w:rsid w:val="00A96EED"/>
    <w:rsid w:val="00A97509"/>
    <w:rsid w:val="00AA0000"/>
    <w:rsid w:val="00AA026C"/>
    <w:rsid w:val="00AA0470"/>
    <w:rsid w:val="00AA07B7"/>
    <w:rsid w:val="00AA07E4"/>
    <w:rsid w:val="00AA0B0B"/>
    <w:rsid w:val="00AA1679"/>
    <w:rsid w:val="00AA2238"/>
    <w:rsid w:val="00AA268F"/>
    <w:rsid w:val="00AA2C8B"/>
    <w:rsid w:val="00AA2D23"/>
    <w:rsid w:val="00AA2FF1"/>
    <w:rsid w:val="00AA3930"/>
    <w:rsid w:val="00AA3971"/>
    <w:rsid w:val="00AA3A2C"/>
    <w:rsid w:val="00AA4C92"/>
    <w:rsid w:val="00AA4DFA"/>
    <w:rsid w:val="00AA5334"/>
    <w:rsid w:val="00AA5AA5"/>
    <w:rsid w:val="00AA5C7C"/>
    <w:rsid w:val="00AA600E"/>
    <w:rsid w:val="00AA6092"/>
    <w:rsid w:val="00AA620C"/>
    <w:rsid w:val="00AA6261"/>
    <w:rsid w:val="00AA6658"/>
    <w:rsid w:val="00AA6F95"/>
    <w:rsid w:val="00AA7592"/>
    <w:rsid w:val="00AA76D1"/>
    <w:rsid w:val="00AA7F62"/>
    <w:rsid w:val="00AB0158"/>
    <w:rsid w:val="00AB0277"/>
    <w:rsid w:val="00AB06D1"/>
    <w:rsid w:val="00AB081B"/>
    <w:rsid w:val="00AB19D8"/>
    <w:rsid w:val="00AB1A7C"/>
    <w:rsid w:val="00AB1BF6"/>
    <w:rsid w:val="00AB1D15"/>
    <w:rsid w:val="00AB1EEC"/>
    <w:rsid w:val="00AB20F8"/>
    <w:rsid w:val="00AB23FC"/>
    <w:rsid w:val="00AB2502"/>
    <w:rsid w:val="00AB25F2"/>
    <w:rsid w:val="00AB28EE"/>
    <w:rsid w:val="00AB3291"/>
    <w:rsid w:val="00AB3724"/>
    <w:rsid w:val="00AB3A3B"/>
    <w:rsid w:val="00AB3BBE"/>
    <w:rsid w:val="00AB3C28"/>
    <w:rsid w:val="00AB450B"/>
    <w:rsid w:val="00AB4550"/>
    <w:rsid w:val="00AB483A"/>
    <w:rsid w:val="00AB4B32"/>
    <w:rsid w:val="00AB4D39"/>
    <w:rsid w:val="00AB4E18"/>
    <w:rsid w:val="00AB541E"/>
    <w:rsid w:val="00AB5533"/>
    <w:rsid w:val="00AB6233"/>
    <w:rsid w:val="00AB676E"/>
    <w:rsid w:val="00AB680F"/>
    <w:rsid w:val="00AB724D"/>
    <w:rsid w:val="00AB7A95"/>
    <w:rsid w:val="00AB7D09"/>
    <w:rsid w:val="00AB7D80"/>
    <w:rsid w:val="00AB7DF3"/>
    <w:rsid w:val="00AB7F16"/>
    <w:rsid w:val="00AC01B4"/>
    <w:rsid w:val="00AC08C9"/>
    <w:rsid w:val="00AC103A"/>
    <w:rsid w:val="00AC13F2"/>
    <w:rsid w:val="00AC14ED"/>
    <w:rsid w:val="00AC155C"/>
    <w:rsid w:val="00AC1809"/>
    <w:rsid w:val="00AC1B8A"/>
    <w:rsid w:val="00AC314B"/>
    <w:rsid w:val="00AC3609"/>
    <w:rsid w:val="00AC3B88"/>
    <w:rsid w:val="00AC3D16"/>
    <w:rsid w:val="00AC3DED"/>
    <w:rsid w:val="00AC4CEF"/>
    <w:rsid w:val="00AC4D88"/>
    <w:rsid w:val="00AC519B"/>
    <w:rsid w:val="00AC52B3"/>
    <w:rsid w:val="00AC52FF"/>
    <w:rsid w:val="00AC5B2F"/>
    <w:rsid w:val="00AC5C29"/>
    <w:rsid w:val="00AC658D"/>
    <w:rsid w:val="00AC68C0"/>
    <w:rsid w:val="00AC6B9F"/>
    <w:rsid w:val="00AC6BB3"/>
    <w:rsid w:val="00AC6BEE"/>
    <w:rsid w:val="00AC6D63"/>
    <w:rsid w:val="00AC79D7"/>
    <w:rsid w:val="00AC7D33"/>
    <w:rsid w:val="00AD0821"/>
    <w:rsid w:val="00AD0AE6"/>
    <w:rsid w:val="00AD0D49"/>
    <w:rsid w:val="00AD0F02"/>
    <w:rsid w:val="00AD0F2B"/>
    <w:rsid w:val="00AD101B"/>
    <w:rsid w:val="00AD17E3"/>
    <w:rsid w:val="00AD2343"/>
    <w:rsid w:val="00AD2498"/>
    <w:rsid w:val="00AD24C1"/>
    <w:rsid w:val="00AD2AF3"/>
    <w:rsid w:val="00AD2D1A"/>
    <w:rsid w:val="00AD3111"/>
    <w:rsid w:val="00AD38FA"/>
    <w:rsid w:val="00AD3D17"/>
    <w:rsid w:val="00AD4186"/>
    <w:rsid w:val="00AD53C5"/>
    <w:rsid w:val="00AD5F77"/>
    <w:rsid w:val="00AD64DF"/>
    <w:rsid w:val="00AD66B5"/>
    <w:rsid w:val="00AD6907"/>
    <w:rsid w:val="00AD6B83"/>
    <w:rsid w:val="00AD6F54"/>
    <w:rsid w:val="00AD731F"/>
    <w:rsid w:val="00AD7366"/>
    <w:rsid w:val="00AD7728"/>
    <w:rsid w:val="00AE0788"/>
    <w:rsid w:val="00AE0BED"/>
    <w:rsid w:val="00AE0E41"/>
    <w:rsid w:val="00AE1211"/>
    <w:rsid w:val="00AE139A"/>
    <w:rsid w:val="00AE155D"/>
    <w:rsid w:val="00AE22E7"/>
    <w:rsid w:val="00AE26A1"/>
    <w:rsid w:val="00AE2917"/>
    <w:rsid w:val="00AE2CCE"/>
    <w:rsid w:val="00AE33EF"/>
    <w:rsid w:val="00AE417C"/>
    <w:rsid w:val="00AE443C"/>
    <w:rsid w:val="00AE468E"/>
    <w:rsid w:val="00AE4755"/>
    <w:rsid w:val="00AE4B41"/>
    <w:rsid w:val="00AE5279"/>
    <w:rsid w:val="00AE569C"/>
    <w:rsid w:val="00AE59AB"/>
    <w:rsid w:val="00AE5CC1"/>
    <w:rsid w:val="00AE5F72"/>
    <w:rsid w:val="00AE621C"/>
    <w:rsid w:val="00AE6253"/>
    <w:rsid w:val="00AE6AD9"/>
    <w:rsid w:val="00AE6C01"/>
    <w:rsid w:val="00AE7351"/>
    <w:rsid w:val="00AE7805"/>
    <w:rsid w:val="00AE7B3D"/>
    <w:rsid w:val="00AE7C64"/>
    <w:rsid w:val="00AF00EA"/>
    <w:rsid w:val="00AF0179"/>
    <w:rsid w:val="00AF05B6"/>
    <w:rsid w:val="00AF0714"/>
    <w:rsid w:val="00AF0769"/>
    <w:rsid w:val="00AF0E5B"/>
    <w:rsid w:val="00AF1319"/>
    <w:rsid w:val="00AF1982"/>
    <w:rsid w:val="00AF1B09"/>
    <w:rsid w:val="00AF1F5E"/>
    <w:rsid w:val="00AF21C6"/>
    <w:rsid w:val="00AF22D7"/>
    <w:rsid w:val="00AF2716"/>
    <w:rsid w:val="00AF2929"/>
    <w:rsid w:val="00AF2E87"/>
    <w:rsid w:val="00AF3B5C"/>
    <w:rsid w:val="00AF3C47"/>
    <w:rsid w:val="00AF3D0D"/>
    <w:rsid w:val="00AF47EF"/>
    <w:rsid w:val="00AF49FA"/>
    <w:rsid w:val="00AF4B23"/>
    <w:rsid w:val="00AF4FDA"/>
    <w:rsid w:val="00AF5297"/>
    <w:rsid w:val="00AF558C"/>
    <w:rsid w:val="00AF5A11"/>
    <w:rsid w:val="00AF5B03"/>
    <w:rsid w:val="00AF6210"/>
    <w:rsid w:val="00AF6ACC"/>
    <w:rsid w:val="00AF6DD4"/>
    <w:rsid w:val="00AF6F71"/>
    <w:rsid w:val="00AF70CB"/>
    <w:rsid w:val="00AF71AE"/>
    <w:rsid w:val="00AF756E"/>
    <w:rsid w:val="00AF79E9"/>
    <w:rsid w:val="00B00700"/>
    <w:rsid w:val="00B011FE"/>
    <w:rsid w:val="00B0131B"/>
    <w:rsid w:val="00B0134F"/>
    <w:rsid w:val="00B0177E"/>
    <w:rsid w:val="00B02148"/>
    <w:rsid w:val="00B03448"/>
    <w:rsid w:val="00B0358D"/>
    <w:rsid w:val="00B03899"/>
    <w:rsid w:val="00B03970"/>
    <w:rsid w:val="00B03B53"/>
    <w:rsid w:val="00B03BED"/>
    <w:rsid w:val="00B04408"/>
    <w:rsid w:val="00B04457"/>
    <w:rsid w:val="00B04743"/>
    <w:rsid w:val="00B04ABF"/>
    <w:rsid w:val="00B04B74"/>
    <w:rsid w:val="00B04D78"/>
    <w:rsid w:val="00B05A18"/>
    <w:rsid w:val="00B06632"/>
    <w:rsid w:val="00B06E7C"/>
    <w:rsid w:val="00B06F85"/>
    <w:rsid w:val="00B0789D"/>
    <w:rsid w:val="00B0789F"/>
    <w:rsid w:val="00B07BDF"/>
    <w:rsid w:val="00B101C2"/>
    <w:rsid w:val="00B10FD8"/>
    <w:rsid w:val="00B112EB"/>
    <w:rsid w:val="00B11928"/>
    <w:rsid w:val="00B11AC1"/>
    <w:rsid w:val="00B11CCD"/>
    <w:rsid w:val="00B12745"/>
    <w:rsid w:val="00B128DF"/>
    <w:rsid w:val="00B12943"/>
    <w:rsid w:val="00B12D1C"/>
    <w:rsid w:val="00B12E2A"/>
    <w:rsid w:val="00B133AB"/>
    <w:rsid w:val="00B1340F"/>
    <w:rsid w:val="00B134FD"/>
    <w:rsid w:val="00B139B8"/>
    <w:rsid w:val="00B14331"/>
    <w:rsid w:val="00B14C73"/>
    <w:rsid w:val="00B1516B"/>
    <w:rsid w:val="00B1533F"/>
    <w:rsid w:val="00B155F5"/>
    <w:rsid w:val="00B156D2"/>
    <w:rsid w:val="00B15A42"/>
    <w:rsid w:val="00B15BF6"/>
    <w:rsid w:val="00B15E93"/>
    <w:rsid w:val="00B15FAC"/>
    <w:rsid w:val="00B16A60"/>
    <w:rsid w:val="00B17110"/>
    <w:rsid w:val="00B1744B"/>
    <w:rsid w:val="00B17A00"/>
    <w:rsid w:val="00B2085C"/>
    <w:rsid w:val="00B209C2"/>
    <w:rsid w:val="00B20C36"/>
    <w:rsid w:val="00B20E86"/>
    <w:rsid w:val="00B21F8E"/>
    <w:rsid w:val="00B22446"/>
    <w:rsid w:val="00B227B4"/>
    <w:rsid w:val="00B22911"/>
    <w:rsid w:val="00B231D8"/>
    <w:rsid w:val="00B232BE"/>
    <w:rsid w:val="00B232DE"/>
    <w:rsid w:val="00B23389"/>
    <w:rsid w:val="00B2396E"/>
    <w:rsid w:val="00B2515B"/>
    <w:rsid w:val="00B25482"/>
    <w:rsid w:val="00B258BE"/>
    <w:rsid w:val="00B259A3"/>
    <w:rsid w:val="00B25CB4"/>
    <w:rsid w:val="00B2613D"/>
    <w:rsid w:val="00B26EB9"/>
    <w:rsid w:val="00B27CE0"/>
    <w:rsid w:val="00B27FBC"/>
    <w:rsid w:val="00B306E3"/>
    <w:rsid w:val="00B30BFA"/>
    <w:rsid w:val="00B30F8F"/>
    <w:rsid w:val="00B32BD7"/>
    <w:rsid w:val="00B32FDC"/>
    <w:rsid w:val="00B330E9"/>
    <w:rsid w:val="00B333A3"/>
    <w:rsid w:val="00B337E3"/>
    <w:rsid w:val="00B338E8"/>
    <w:rsid w:val="00B339A1"/>
    <w:rsid w:val="00B339D8"/>
    <w:rsid w:val="00B3445F"/>
    <w:rsid w:val="00B3491F"/>
    <w:rsid w:val="00B349AE"/>
    <w:rsid w:val="00B34DB7"/>
    <w:rsid w:val="00B34EFE"/>
    <w:rsid w:val="00B3654A"/>
    <w:rsid w:val="00B3686A"/>
    <w:rsid w:val="00B3689D"/>
    <w:rsid w:val="00B369BB"/>
    <w:rsid w:val="00B36F42"/>
    <w:rsid w:val="00B36FB6"/>
    <w:rsid w:val="00B378B6"/>
    <w:rsid w:val="00B3791E"/>
    <w:rsid w:val="00B37EA7"/>
    <w:rsid w:val="00B37F33"/>
    <w:rsid w:val="00B4031F"/>
    <w:rsid w:val="00B408AF"/>
    <w:rsid w:val="00B4097D"/>
    <w:rsid w:val="00B41036"/>
    <w:rsid w:val="00B413BE"/>
    <w:rsid w:val="00B418CD"/>
    <w:rsid w:val="00B4266A"/>
    <w:rsid w:val="00B428FA"/>
    <w:rsid w:val="00B42E02"/>
    <w:rsid w:val="00B42F8F"/>
    <w:rsid w:val="00B444AA"/>
    <w:rsid w:val="00B448CF"/>
    <w:rsid w:val="00B449D4"/>
    <w:rsid w:val="00B451C4"/>
    <w:rsid w:val="00B4600F"/>
    <w:rsid w:val="00B46117"/>
    <w:rsid w:val="00B46201"/>
    <w:rsid w:val="00B46ED9"/>
    <w:rsid w:val="00B47528"/>
    <w:rsid w:val="00B475CB"/>
    <w:rsid w:val="00B475E5"/>
    <w:rsid w:val="00B47827"/>
    <w:rsid w:val="00B47C86"/>
    <w:rsid w:val="00B47E84"/>
    <w:rsid w:val="00B5033F"/>
    <w:rsid w:val="00B5046C"/>
    <w:rsid w:val="00B504CA"/>
    <w:rsid w:val="00B50551"/>
    <w:rsid w:val="00B50E71"/>
    <w:rsid w:val="00B50F29"/>
    <w:rsid w:val="00B5140B"/>
    <w:rsid w:val="00B5156D"/>
    <w:rsid w:val="00B515A0"/>
    <w:rsid w:val="00B515CF"/>
    <w:rsid w:val="00B51623"/>
    <w:rsid w:val="00B517AD"/>
    <w:rsid w:val="00B51C0F"/>
    <w:rsid w:val="00B522A2"/>
    <w:rsid w:val="00B52EF2"/>
    <w:rsid w:val="00B52FFC"/>
    <w:rsid w:val="00B5316F"/>
    <w:rsid w:val="00B53B5D"/>
    <w:rsid w:val="00B5453C"/>
    <w:rsid w:val="00B54826"/>
    <w:rsid w:val="00B54B9A"/>
    <w:rsid w:val="00B554C0"/>
    <w:rsid w:val="00B55EC0"/>
    <w:rsid w:val="00B560E4"/>
    <w:rsid w:val="00B56457"/>
    <w:rsid w:val="00B56710"/>
    <w:rsid w:val="00B56778"/>
    <w:rsid w:val="00B57373"/>
    <w:rsid w:val="00B57513"/>
    <w:rsid w:val="00B57994"/>
    <w:rsid w:val="00B57A18"/>
    <w:rsid w:val="00B60304"/>
    <w:rsid w:val="00B6033F"/>
    <w:rsid w:val="00B607E8"/>
    <w:rsid w:val="00B60982"/>
    <w:rsid w:val="00B60D35"/>
    <w:rsid w:val="00B61129"/>
    <w:rsid w:val="00B6129E"/>
    <w:rsid w:val="00B616E1"/>
    <w:rsid w:val="00B62040"/>
    <w:rsid w:val="00B620C5"/>
    <w:rsid w:val="00B6221C"/>
    <w:rsid w:val="00B626A1"/>
    <w:rsid w:val="00B626CB"/>
    <w:rsid w:val="00B6299D"/>
    <w:rsid w:val="00B62AB5"/>
    <w:rsid w:val="00B632C9"/>
    <w:rsid w:val="00B63772"/>
    <w:rsid w:val="00B64647"/>
    <w:rsid w:val="00B651A8"/>
    <w:rsid w:val="00B6526B"/>
    <w:rsid w:val="00B65306"/>
    <w:rsid w:val="00B65549"/>
    <w:rsid w:val="00B65F34"/>
    <w:rsid w:val="00B663A0"/>
    <w:rsid w:val="00B66409"/>
    <w:rsid w:val="00B6662B"/>
    <w:rsid w:val="00B66B1B"/>
    <w:rsid w:val="00B66B65"/>
    <w:rsid w:val="00B67F8A"/>
    <w:rsid w:val="00B70776"/>
    <w:rsid w:val="00B711E5"/>
    <w:rsid w:val="00B71328"/>
    <w:rsid w:val="00B71AA4"/>
    <w:rsid w:val="00B71AB8"/>
    <w:rsid w:val="00B71FDE"/>
    <w:rsid w:val="00B7237E"/>
    <w:rsid w:val="00B726AA"/>
    <w:rsid w:val="00B7332E"/>
    <w:rsid w:val="00B7347C"/>
    <w:rsid w:val="00B73A8A"/>
    <w:rsid w:val="00B73B28"/>
    <w:rsid w:val="00B73B7F"/>
    <w:rsid w:val="00B73D72"/>
    <w:rsid w:val="00B73E35"/>
    <w:rsid w:val="00B74030"/>
    <w:rsid w:val="00B74332"/>
    <w:rsid w:val="00B74F61"/>
    <w:rsid w:val="00B751A0"/>
    <w:rsid w:val="00B753D1"/>
    <w:rsid w:val="00B7584B"/>
    <w:rsid w:val="00B75F84"/>
    <w:rsid w:val="00B76262"/>
    <w:rsid w:val="00B7685A"/>
    <w:rsid w:val="00B76C9E"/>
    <w:rsid w:val="00B76DA4"/>
    <w:rsid w:val="00B77394"/>
    <w:rsid w:val="00B774E6"/>
    <w:rsid w:val="00B77537"/>
    <w:rsid w:val="00B775D5"/>
    <w:rsid w:val="00B77ABE"/>
    <w:rsid w:val="00B8042A"/>
    <w:rsid w:val="00B806D0"/>
    <w:rsid w:val="00B80C0F"/>
    <w:rsid w:val="00B80CC3"/>
    <w:rsid w:val="00B80D29"/>
    <w:rsid w:val="00B81327"/>
    <w:rsid w:val="00B815C6"/>
    <w:rsid w:val="00B818DF"/>
    <w:rsid w:val="00B81A09"/>
    <w:rsid w:val="00B8293D"/>
    <w:rsid w:val="00B8298D"/>
    <w:rsid w:val="00B82DC6"/>
    <w:rsid w:val="00B82E7B"/>
    <w:rsid w:val="00B82EA1"/>
    <w:rsid w:val="00B831CE"/>
    <w:rsid w:val="00B83730"/>
    <w:rsid w:val="00B83AD2"/>
    <w:rsid w:val="00B83C8E"/>
    <w:rsid w:val="00B84398"/>
    <w:rsid w:val="00B84A09"/>
    <w:rsid w:val="00B85526"/>
    <w:rsid w:val="00B8560C"/>
    <w:rsid w:val="00B857DE"/>
    <w:rsid w:val="00B8600D"/>
    <w:rsid w:val="00B86078"/>
    <w:rsid w:val="00B860E4"/>
    <w:rsid w:val="00B86407"/>
    <w:rsid w:val="00B86ABB"/>
    <w:rsid w:val="00B86B15"/>
    <w:rsid w:val="00B86C57"/>
    <w:rsid w:val="00B86D9E"/>
    <w:rsid w:val="00B86E33"/>
    <w:rsid w:val="00B873AE"/>
    <w:rsid w:val="00B87991"/>
    <w:rsid w:val="00B903DD"/>
    <w:rsid w:val="00B904E8"/>
    <w:rsid w:val="00B90591"/>
    <w:rsid w:val="00B90C48"/>
    <w:rsid w:val="00B90E74"/>
    <w:rsid w:val="00B90F7F"/>
    <w:rsid w:val="00B90FCA"/>
    <w:rsid w:val="00B912E9"/>
    <w:rsid w:val="00B91632"/>
    <w:rsid w:val="00B91F61"/>
    <w:rsid w:val="00B92297"/>
    <w:rsid w:val="00B922A4"/>
    <w:rsid w:val="00B92707"/>
    <w:rsid w:val="00B929DA"/>
    <w:rsid w:val="00B92D13"/>
    <w:rsid w:val="00B933FE"/>
    <w:rsid w:val="00B93B37"/>
    <w:rsid w:val="00B93EA9"/>
    <w:rsid w:val="00B941EF"/>
    <w:rsid w:val="00B94385"/>
    <w:rsid w:val="00B95769"/>
    <w:rsid w:val="00B95918"/>
    <w:rsid w:val="00B95D2C"/>
    <w:rsid w:val="00B96470"/>
    <w:rsid w:val="00B966FD"/>
    <w:rsid w:val="00B96B7D"/>
    <w:rsid w:val="00B97409"/>
    <w:rsid w:val="00B9769C"/>
    <w:rsid w:val="00B97850"/>
    <w:rsid w:val="00B97A5B"/>
    <w:rsid w:val="00BA0539"/>
    <w:rsid w:val="00BA1280"/>
    <w:rsid w:val="00BA1366"/>
    <w:rsid w:val="00BA181F"/>
    <w:rsid w:val="00BA1B5B"/>
    <w:rsid w:val="00BA1E2B"/>
    <w:rsid w:val="00BA1FE7"/>
    <w:rsid w:val="00BA2099"/>
    <w:rsid w:val="00BA20A2"/>
    <w:rsid w:val="00BA2217"/>
    <w:rsid w:val="00BA28CC"/>
    <w:rsid w:val="00BA2C15"/>
    <w:rsid w:val="00BA2D9C"/>
    <w:rsid w:val="00BA2E1A"/>
    <w:rsid w:val="00BA3A7A"/>
    <w:rsid w:val="00BA3BD4"/>
    <w:rsid w:val="00BA3D1B"/>
    <w:rsid w:val="00BA3F3B"/>
    <w:rsid w:val="00BA3FD0"/>
    <w:rsid w:val="00BA41EE"/>
    <w:rsid w:val="00BA464E"/>
    <w:rsid w:val="00BA4814"/>
    <w:rsid w:val="00BA49A8"/>
    <w:rsid w:val="00BA5570"/>
    <w:rsid w:val="00BA5689"/>
    <w:rsid w:val="00BA6231"/>
    <w:rsid w:val="00BA6298"/>
    <w:rsid w:val="00BA62AC"/>
    <w:rsid w:val="00BA6420"/>
    <w:rsid w:val="00BA6998"/>
    <w:rsid w:val="00BA6E6C"/>
    <w:rsid w:val="00BA70F7"/>
    <w:rsid w:val="00BA7995"/>
    <w:rsid w:val="00BA7DA5"/>
    <w:rsid w:val="00BA7F1E"/>
    <w:rsid w:val="00BB054C"/>
    <w:rsid w:val="00BB0AB7"/>
    <w:rsid w:val="00BB0CD8"/>
    <w:rsid w:val="00BB0E5A"/>
    <w:rsid w:val="00BB0E74"/>
    <w:rsid w:val="00BB0EB6"/>
    <w:rsid w:val="00BB24BF"/>
    <w:rsid w:val="00BB24F1"/>
    <w:rsid w:val="00BB268A"/>
    <w:rsid w:val="00BB283A"/>
    <w:rsid w:val="00BB2B4A"/>
    <w:rsid w:val="00BB2DAB"/>
    <w:rsid w:val="00BB2E21"/>
    <w:rsid w:val="00BB3360"/>
    <w:rsid w:val="00BB33B9"/>
    <w:rsid w:val="00BB3970"/>
    <w:rsid w:val="00BB3B67"/>
    <w:rsid w:val="00BB3EC4"/>
    <w:rsid w:val="00BB3ED4"/>
    <w:rsid w:val="00BB3FC3"/>
    <w:rsid w:val="00BB4664"/>
    <w:rsid w:val="00BB49F3"/>
    <w:rsid w:val="00BB4F32"/>
    <w:rsid w:val="00BB519A"/>
    <w:rsid w:val="00BB7001"/>
    <w:rsid w:val="00BB786B"/>
    <w:rsid w:val="00BB7E10"/>
    <w:rsid w:val="00BC0440"/>
    <w:rsid w:val="00BC07E7"/>
    <w:rsid w:val="00BC0A9B"/>
    <w:rsid w:val="00BC0DDA"/>
    <w:rsid w:val="00BC0E28"/>
    <w:rsid w:val="00BC0E8B"/>
    <w:rsid w:val="00BC0E8D"/>
    <w:rsid w:val="00BC13D0"/>
    <w:rsid w:val="00BC14FC"/>
    <w:rsid w:val="00BC1A5C"/>
    <w:rsid w:val="00BC1C77"/>
    <w:rsid w:val="00BC2126"/>
    <w:rsid w:val="00BC26D9"/>
    <w:rsid w:val="00BC276D"/>
    <w:rsid w:val="00BC2D31"/>
    <w:rsid w:val="00BC314C"/>
    <w:rsid w:val="00BC37E4"/>
    <w:rsid w:val="00BC3D58"/>
    <w:rsid w:val="00BC48FE"/>
    <w:rsid w:val="00BC497D"/>
    <w:rsid w:val="00BC4DEB"/>
    <w:rsid w:val="00BC52E6"/>
    <w:rsid w:val="00BC5657"/>
    <w:rsid w:val="00BC5979"/>
    <w:rsid w:val="00BC5A01"/>
    <w:rsid w:val="00BC5E67"/>
    <w:rsid w:val="00BC5FAB"/>
    <w:rsid w:val="00BC640E"/>
    <w:rsid w:val="00BC6487"/>
    <w:rsid w:val="00BC64AD"/>
    <w:rsid w:val="00BC66A9"/>
    <w:rsid w:val="00BC6C6F"/>
    <w:rsid w:val="00BC6C82"/>
    <w:rsid w:val="00BC7530"/>
    <w:rsid w:val="00BC7EAA"/>
    <w:rsid w:val="00BD06AE"/>
    <w:rsid w:val="00BD06FF"/>
    <w:rsid w:val="00BD0931"/>
    <w:rsid w:val="00BD0A60"/>
    <w:rsid w:val="00BD14B6"/>
    <w:rsid w:val="00BD1A8A"/>
    <w:rsid w:val="00BD1E91"/>
    <w:rsid w:val="00BD234E"/>
    <w:rsid w:val="00BD27B4"/>
    <w:rsid w:val="00BD27ED"/>
    <w:rsid w:val="00BD29AE"/>
    <w:rsid w:val="00BD29E1"/>
    <w:rsid w:val="00BD2D3F"/>
    <w:rsid w:val="00BD2E5A"/>
    <w:rsid w:val="00BD3342"/>
    <w:rsid w:val="00BD33B6"/>
    <w:rsid w:val="00BD35D0"/>
    <w:rsid w:val="00BD503C"/>
    <w:rsid w:val="00BD5110"/>
    <w:rsid w:val="00BD53D2"/>
    <w:rsid w:val="00BD583A"/>
    <w:rsid w:val="00BD5849"/>
    <w:rsid w:val="00BD5B3B"/>
    <w:rsid w:val="00BD5E4F"/>
    <w:rsid w:val="00BD6013"/>
    <w:rsid w:val="00BD63FF"/>
    <w:rsid w:val="00BD6B88"/>
    <w:rsid w:val="00BD6C4D"/>
    <w:rsid w:val="00BD71A3"/>
    <w:rsid w:val="00BD770D"/>
    <w:rsid w:val="00BD7DF6"/>
    <w:rsid w:val="00BD7EB6"/>
    <w:rsid w:val="00BE03B7"/>
    <w:rsid w:val="00BE06D5"/>
    <w:rsid w:val="00BE089B"/>
    <w:rsid w:val="00BE0B6C"/>
    <w:rsid w:val="00BE0DA7"/>
    <w:rsid w:val="00BE143E"/>
    <w:rsid w:val="00BE26AC"/>
    <w:rsid w:val="00BE26F7"/>
    <w:rsid w:val="00BE277F"/>
    <w:rsid w:val="00BE2881"/>
    <w:rsid w:val="00BE315B"/>
    <w:rsid w:val="00BE38A1"/>
    <w:rsid w:val="00BE3AED"/>
    <w:rsid w:val="00BE473C"/>
    <w:rsid w:val="00BE49A2"/>
    <w:rsid w:val="00BE4F04"/>
    <w:rsid w:val="00BE4F4D"/>
    <w:rsid w:val="00BE5047"/>
    <w:rsid w:val="00BE50CD"/>
    <w:rsid w:val="00BE5257"/>
    <w:rsid w:val="00BE5502"/>
    <w:rsid w:val="00BE5618"/>
    <w:rsid w:val="00BE6650"/>
    <w:rsid w:val="00BE6FD7"/>
    <w:rsid w:val="00BE731A"/>
    <w:rsid w:val="00BE73D4"/>
    <w:rsid w:val="00BE740C"/>
    <w:rsid w:val="00BE7816"/>
    <w:rsid w:val="00BE7B1B"/>
    <w:rsid w:val="00BF000F"/>
    <w:rsid w:val="00BF10D0"/>
    <w:rsid w:val="00BF1835"/>
    <w:rsid w:val="00BF1C79"/>
    <w:rsid w:val="00BF2785"/>
    <w:rsid w:val="00BF29F4"/>
    <w:rsid w:val="00BF2DC1"/>
    <w:rsid w:val="00BF3141"/>
    <w:rsid w:val="00BF3237"/>
    <w:rsid w:val="00BF32E0"/>
    <w:rsid w:val="00BF3451"/>
    <w:rsid w:val="00BF3872"/>
    <w:rsid w:val="00BF38B0"/>
    <w:rsid w:val="00BF3D4F"/>
    <w:rsid w:val="00BF3E5C"/>
    <w:rsid w:val="00BF4382"/>
    <w:rsid w:val="00BF497E"/>
    <w:rsid w:val="00BF4CEC"/>
    <w:rsid w:val="00BF5100"/>
    <w:rsid w:val="00BF5381"/>
    <w:rsid w:val="00BF5522"/>
    <w:rsid w:val="00BF56DF"/>
    <w:rsid w:val="00BF5AE9"/>
    <w:rsid w:val="00BF5C4C"/>
    <w:rsid w:val="00BF5C51"/>
    <w:rsid w:val="00BF5DCA"/>
    <w:rsid w:val="00BF62F4"/>
    <w:rsid w:val="00BF653A"/>
    <w:rsid w:val="00BF68CF"/>
    <w:rsid w:val="00BF6907"/>
    <w:rsid w:val="00BF730E"/>
    <w:rsid w:val="00BF738A"/>
    <w:rsid w:val="00BF77B7"/>
    <w:rsid w:val="00BF783E"/>
    <w:rsid w:val="00C0023C"/>
    <w:rsid w:val="00C0062F"/>
    <w:rsid w:val="00C01147"/>
    <w:rsid w:val="00C01924"/>
    <w:rsid w:val="00C01A02"/>
    <w:rsid w:val="00C01E4A"/>
    <w:rsid w:val="00C01FA2"/>
    <w:rsid w:val="00C02274"/>
    <w:rsid w:val="00C02461"/>
    <w:rsid w:val="00C02BD7"/>
    <w:rsid w:val="00C02D55"/>
    <w:rsid w:val="00C02FCF"/>
    <w:rsid w:val="00C03103"/>
    <w:rsid w:val="00C04077"/>
    <w:rsid w:val="00C0429A"/>
    <w:rsid w:val="00C0464B"/>
    <w:rsid w:val="00C0468D"/>
    <w:rsid w:val="00C050BB"/>
    <w:rsid w:val="00C05CF5"/>
    <w:rsid w:val="00C066C4"/>
    <w:rsid w:val="00C06703"/>
    <w:rsid w:val="00C068F5"/>
    <w:rsid w:val="00C06966"/>
    <w:rsid w:val="00C06A75"/>
    <w:rsid w:val="00C0702D"/>
    <w:rsid w:val="00C078E6"/>
    <w:rsid w:val="00C079C0"/>
    <w:rsid w:val="00C07BF4"/>
    <w:rsid w:val="00C07CA6"/>
    <w:rsid w:val="00C1023B"/>
    <w:rsid w:val="00C1023C"/>
    <w:rsid w:val="00C10303"/>
    <w:rsid w:val="00C1038B"/>
    <w:rsid w:val="00C108CE"/>
    <w:rsid w:val="00C10A8E"/>
    <w:rsid w:val="00C10AA0"/>
    <w:rsid w:val="00C10C2E"/>
    <w:rsid w:val="00C10FCB"/>
    <w:rsid w:val="00C112A5"/>
    <w:rsid w:val="00C11554"/>
    <w:rsid w:val="00C11CC0"/>
    <w:rsid w:val="00C11D22"/>
    <w:rsid w:val="00C12246"/>
    <w:rsid w:val="00C12738"/>
    <w:rsid w:val="00C12B0E"/>
    <w:rsid w:val="00C12CD5"/>
    <w:rsid w:val="00C13099"/>
    <w:rsid w:val="00C1322B"/>
    <w:rsid w:val="00C13844"/>
    <w:rsid w:val="00C13879"/>
    <w:rsid w:val="00C14485"/>
    <w:rsid w:val="00C14814"/>
    <w:rsid w:val="00C148BD"/>
    <w:rsid w:val="00C14C2C"/>
    <w:rsid w:val="00C1501F"/>
    <w:rsid w:val="00C15069"/>
    <w:rsid w:val="00C150E9"/>
    <w:rsid w:val="00C157E3"/>
    <w:rsid w:val="00C15B01"/>
    <w:rsid w:val="00C15B5C"/>
    <w:rsid w:val="00C15EE2"/>
    <w:rsid w:val="00C1610E"/>
    <w:rsid w:val="00C1638E"/>
    <w:rsid w:val="00C16430"/>
    <w:rsid w:val="00C16961"/>
    <w:rsid w:val="00C1699A"/>
    <w:rsid w:val="00C1708A"/>
    <w:rsid w:val="00C1727E"/>
    <w:rsid w:val="00C17367"/>
    <w:rsid w:val="00C201F6"/>
    <w:rsid w:val="00C204D1"/>
    <w:rsid w:val="00C2088D"/>
    <w:rsid w:val="00C20FDF"/>
    <w:rsid w:val="00C217F8"/>
    <w:rsid w:val="00C225D1"/>
    <w:rsid w:val="00C2265A"/>
    <w:rsid w:val="00C228D5"/>
    <w:rsid w:val="00C22AFA"/>
    <w:rsid w:val="00C22BC8"/>
    <w:rsid w:val="00C23612"/>
    <w:rsid w:val="00C23BA7"/>
    <w:rsid w:val="00C23C91"/>
    <w:rsid w:val="00C23E2E"/>
    <w:rsid w:val="00C23EFC"/>
    <w:rsid w:val="00C23FD8"/>
    <w:rsid w:val="00C24E49"/>
    <w:rsid w:val="00C2541D"/>
    <w:rsid w:val="00C25A2D"/>
    <w:rsid w:val="00C25C2B"/>
    <w:rsid w:val="00C25E18"/>
    <w:rsid w:val="00C25F30"/>
    <w:rsid w:val="00C260A3"/>
    <w:rsid w:val="00C260EA"/>
    <w:rsid w:val="00C2631A"/>
    <w:rsid w:val="00C27582"/>
    <w:rsid w:val="00C27634"/>
    <w:rsid w:val="00C276A6"/>
    <w:rsid w:val="00C27710"/>
    <w:rsid w:val="00C27CE6"/>
    <w:rsid w:val="00C30812"/>
    <w:rsid w:val="00C308F1"/>
    <w:rsid w:val="00C30A98"/>
    <w:rsid w:val="00C3119A"/>
    <w:rsid w:val="00C31425"/>
    <w:rsid w:val="00C31A14"/>
    <w:rsid w:val="00C31C97"/>
    <w:rsid w:val="00C31FB2"/>
    <w:rsid w:val="00C32309"/>
    <w:rsid w:val="00C3306F"/>
    <w:rsid w:val="00C33D61"/>
    <w:rsid w:val="00C33D7B"/>
    <w:rsid w:val="00C3436C"/>
    <w:rsid w:val="00C35014"/>
    <w:rsid w:val="00C352FC"/>
    <w:rsid w:val="00C35523"/>
    <w:rsid w:val="00C3553C"/>
    <w:rsid w:val="00C35629"/>
    <w:rsid w:val="00C36100"/>
    <w:rsid w:val="00C3639A"/>
    <w:rsid w:val="00C3678F"/>
    <w:rsid w:val="00C37299"/>
    <w:rsid w:val="00C377EA"/>
    <w:rsid w:val="00C37C46"/>
    <w:rsid w:val="00C37E21"/>
    <w:rsid w:val="00C404FC"/>
    <w:rsid w:val="00C4059E"/>
    <w:rsid w:val="00C408E4"/>
    <w:rsid w:val="00C40B0C"/>
    <w:rsid w:val="00C41078"/>
    <w:rsid w:val="00C41770"/>
    <w:rsid w:val="00C417CB"/>
    <w:rsid w:val="00C4227C"/>
    <w:rsid w:val="00C42AAF"/>
    <w:rsid w:val="00C42B74"/>
    <w:rsid w:val="00C4336B"/>
    <w:rsid w:val="00C4357B"/>
    <w:rsid w:val="00C436A3"/>
    <w:rsid w:val="00C440D7"/>
    <w:rsid w:val="00C445D8"/>
    <w:rsid w:val="00C446B8"/>
    <w:rsid w:val="00C44AE9"/>
    <w:rsid w:val="00C44B40"/>
    <w:rsid w:val="00C44D0F"/>
    <w:rsid w:val="00C452CE"/>
    <w:rsid w:val="00C45B22"/>
    <w:rsid w:val="00C46450"/>
    <w:rsid w:val="00C465C8"/>
    <w:rsid w:val="00C46B01"/>
    <w:rsid w:val="00C47054"/>
    <w:rsid w:val="00C471FD"/>
    <w:rsid w:val="00C47322"/>
    <w:rsid w:val="00C47A2E"/>
    <w:rsid w:val="00C47BA2"/>
    <w:rsid w:val="00C5001D"/>
    <w:rsid w:val="00C50C81"/>
    <w:rsid w:val="00C513F8"/>
    <w:rsid w:val="00C515FE"/>
    <w:rsid w:val="00C51738"/>
    <w:rsid w:val="00C518E3"/>
    <w:rsid w:val="00C51EE2"/>
    <w:rsid w:val="00C521A7"/>
    <w:rsid w:val="00C525DA"/>
    <w:rsid w:val="00C52909"/>
    <w:rsid w:val="00C52BC2"/>
    <w:rsid w:val="00C52C44"/>
    <w:rsid w:val="00C52C9C"/>
    <w:rsid w:val="00C534DB"/>
    <w:rsid w:val="00C53C24"/>
    <w:rsid w:val="00C53CE8"/>
    <w:rsid w:val="00C54002"/>
    <w:rsid w:val="00C541D5"/>
    <w:rsid w:val="00C55BA2"/>
    <w:rsid w:val="00C56093"/>
    <w:rsid w:val="00C567AF"/>
    <w:rsid w:val="00C56BD0"/>
    <w:rsid w:val="00C56C10"/>
    <w:rsid w:val="00C57068"/>
    <w:rsid w:val="00C57299"/>
    <w:rsid w:val="00C60E32"/>
    <w:rsid w:val="00C60EE9"/>
    <w:rsid w:val="00C618EF"/>
    <w:rsid w:val="00C61FE8"/>
    <w:rsid w:val="00C63605"/>
    <w:rsid w:val="00C63937"/>
    <w:rsid w:val="00C642D8"/>
    <w:rsid w:val="00C643DD"/>
    <w:rsid w:val="00C647C3"/>
    <w:rsid w:val="00C64BE4"/>
    <w:rsid w:val="00C64C79"/>
    <w:rsid w:val="00C64F58"/>
    <w:rsid w:val="00C65853"/>
    <w:rsid w:val="00C6591F"/>
    <w:rsid w:val="00C65BC0"/>
    <w:rsid w:val="00C65E3F"/>
    <w:rsid w:val="00C65F75"/>
    <w:rsid w:val="00C661D8"/>
    <w:rsid w:val="00C662B8"/>
    <w:rsid w:val="00C663CA"/>
    <w:rsid w:val="00C66662"/>
    <w:rsid w:val="00C66F72"/>
    <w:rsid w:val="00C6709A"/>
    <w:rsid w:val="00C67283"/>
    <w:rsid w:val="00C67ADB"/>
    <w:rsid w:val="00C67B27"/>
    <w:rsid w:val="00C67E7C"/>
    <w:rsid w:val="00C7002B"/>
    <w:rsid w:val="00C701EE"/>
    <w:rsid w:val="00C70501"/>
    <w:rsid w:val="00C70574"/>
    <w:rsid w:val="00C710EA"/>
    <w:rsid w:val="00C71541"/>
    <w:rsid w:val="00C71A8D"/>
    <w:rsid w:val="00C71AF1"/>
    <w:rsid w:val="00C7220D"/>
    <w:rsid w:val="00C7321D"/>
    <w:rsid w:val="00C739BE"/>
    <w:rsid w:val="00C73DCE"/>
    <w:rsid w:val="00C743C7"/>
    <w:rsid w:val="00C74463"/>
    <w:rsid w:val="00C74476"/>
    <w:rsid w:val="00C7475D"/>
    <w:rsid w:val="00C74A78"/>
    <w:rsid w:val="00C74BBB"/>
    <w:rsid w:val="00C74BC3"/>
    <w:rsid w:val="00C74E6A"/>
    <w:rsid w:val="00C750BE"/>
    <w:rsid w:val="00C75393"/>
    <w:rsid w:val="00C75657"/>
    <w:rsid w:val="00C7570D"/>
    <w:rsid w:val="00C758BD"/>
    <w:rsid w:val="00C758E9"/>
    <w:rsid w:val="00C75F65"/>
    <w:rsid w:val="00C75F7E"/>
    <w:rsid w:val="00C762D1"/>
    <w:rsid w:val="00C763F9"/>
    <w:rsid w:val="00C76498"/>
    <w:rsid w:val="00C76535"/>
    <w:rsid w:val="00C76915"/>
    <w:rsid w:val="00C76996"/>
    <w:rsid w:val="00C76A38"/>
    <w:rsid w:val="00C76E6D"/>
    <w:rsid w:val="00C77638"/>
    <w:rsid w:val="00C777AE"/>
    <w:rsid w:val="00C77DB8"/>
    <w:rsid w:val="00C77E30"/>
    <w:rsid w:val="00C77F53"/>
    <w:rsid w:val="00C810BB"/>
    <w:rsid w:val="00C81106"/>
    <w:rsid w:val="00C81179"/>
    <w:rsid w:val="00C81748"/>
    <w:rsid w:val="00C81C14"/>
    <w:rsid w:val="00C81E19"/>
    <w:rsid w:val="00C81F38"/>
    <w:rsid w:val="00C823C4"/>
    <w:rsid w:val="00C839F8"/>
    <w:rsid w:val="00C83E75"/>
    <w:rsid w:val="00C842AD"/>
    <w:rsid w:val="00C8480F"/>
    <w:rsid w:val="00C84A7D"/>
    <w:rsid w:val="00C8544D"/>
    <w:rsid w:val="00C85BE6"/>
    <w:rsid w:val="00C85D0C"/>
    <w:rsid w:val="00C85E9F"/>
    <w:rsid w:val="00C85F9B"/>
    <w:rsid w:val="00C861E6"/>
    <w:rsid w:val="00C8682D"/>
    <w:rsid w:val="00C86835"/>
    <w:rsid w:val="00C86920"/>
    <w:rsid w:val="00C86D5E"/>
    <w:rsid w:val="00C873BE"/>
    <w:rsid w:val="00C901EC"/>
    <w:rsid w:val="00C90428"/>
    <w:rsid w:val="00C908D8"/>
    <w:rsid w:val="00C90DC0"/>
    <w:rsid w:val="00C91A1A"/>
    <w:rsid w:val="00C91F80"/>
    <w:rsid w:val="00C92547"/>
    <w:rsid w:val="00C9325C"/>
    <w:rsid w:val="00C93383"/>
    <w:rsid w:val="00C9367F"/>
    <w:rsid w:val="00C938F7"/>
    <w:rsid w:val="00C93929"/>
    <w:rsid w:val="00C93EC7"/>
    <w:rsid w:val="00C941E5"/>
    <w:rsid w:val="00C94209"/>
    <w:rsid w:val="00C950EE"/>
    <w:rsid w:val="00C9589B"/>
    <w:rsid w:val="00C958C9"/>
    <w:rsid w:val="00C95B6D"/>
    <w:rsid w:val="00C95B82"/>
    <w:rsid w:val="00C95EEF"/>
    <w:rsid w:val="00C960E3"/>
    <w:rsid w:val="00C9666D"/>
    <w:rsid w:val="00C96CE6"/>
    <w:rsid w:val="00C9759D"/>
    <w:rsid w:val="00C975A1"/>
    <w:rsid w:val="00C979BB"/>
    <w:rsid w:val="00C97C8C"/>
    <w:rsid w:val="00CA1384"/>
    <w:rsid w:val="00CA1553"/>
    <w:rsid w:val="00CA1724"/>
    <w:rsid w:val="00CA1875"/>
    <w:rsid w:val="00CA1BE5"/>
    <w:rsid w:val="00CA2674"/>
    <w:rsid w:val="00CA31ED"/>
    <w:rsid w:val="00CA3FD8"/>
    <w:rsid w:val="00CA429A"/>
    <w:rsid w:val="00CA4713"/>
    <w:rsid w:val="00CA4F1A"/>
    <w:rsid w:val="00CA4FA3"/>
    <w:rsid w:val="00CA516D"/>
    <w:rsid w:val="00CA52EC"/>
    <w:rsid w:val="00CA53A3"/>
    <w:rsid w:val="00CA5ADF"/>
    <w:rsid w:val="00CA61DF"/>
    <w:rsid w:val="00CA68CC"/>
    <w:rsid w:val="00CA6D9A"/>
    <w:rsid w:val="00CA720B"/>
    <w:rsid w:val="00CA7292"/>
    <w:rsid w:val="00CA7A05"/>
    <w:rsid w:val="00CA7A4B"/>
    <w:rsid w:val="00CA7F15"/>
    <w:rsid w:val="00CB0462"/>
    <w:rsid w:val="00CB04B6"/>
    <w:rsid w:val="00CB098F"/>
    <w:rsid w:val="00CB09A3"/>
    <w:rsid w:val="00CB0CA5"/>
    <w:rsid w:val="00CB1405"/>
    <w:rsid w:val="00CB153D"/>
    <w:rsid w:val="00CB1DF8"/>
    <w:rsid w:val="00CB1EBC"/>
    <w:rsid w:val="00CB2441"/>
    <w:rsid w:val="00CB2930"/>
    <w:rsid w:val="00CB2B48"/>
    <w:rsid w:val="00CB3866"/>
    <w:rsid w:val="00CB43BC"/>
    <w:rsid w:val="00CB4440"/>
    <w:rsid w:val="00CB4663"/>
    <w:rsid w:val="00CB4C88"/>
    <w:rsid w:val="00CB582B"/>
    <w:rsid w:val="00CB5BDD"/>
    <w:rsid w:val="00CB651D"/>
    <w:rsid w:val="00CB6559"/>
    <w:rsid w:val="00CB6645"/>
    <w:rsid w:val="00CB6BBB"/>
    <w:rsid w:val="00CB6E1F"/>
    <w:rsid w:val="00CB70BE"/>
    <w:rsid w:val="00CB741D"/>
    <w:rsid w:val="00CB74BB"/>
    <w:rsid w:val="00CB7F47"/>
    <w:rsid w:val="00CC0407"/>
    <w:rsid w:val="00CC0543"/>
    <w:rsid w:val="00CC0954"/>
    <w:rsid w:val="00CC0C7D"/>
    <w:rsid w:val="00CC0F75"/>
    <w:rsid w:val="00CC1209"/>
    <w:rsid w:val="00CC14FE"/>
    <w:rsid w:val="00CC1516"/>
    <w:rsid w:val="00CC1530"/>
    <w:rsid w:val="00CC153B"/>
    <w:rsid w:val="00CC17E6"/>
    <w:rsid w:val="00CC190B"/>
    <w:rsid w:val="00CC1B28"/>
    <w:rsid w:val="00CC25C1"/>
    <w:rsid w:val="00CC2916"/>
    <w:rsid w:val="00CC2F6E"/>
    <w:rsid w:val="00CC339A"/>
    <w:rsid w:val="00CC3476"/>
    <w:rsid w:val="00CC357F"/>
    <w:rsid w:val="00CC3659"/>
    <w:rsid w:val="00CC4199"/>
    <w:rsid w:val="00CC4647"/>
    <w:rsid w:val="00CC4E3E"/>
    <w:rsid w:val="00CC5F92"/>
    <w:rsid w:val="00CC713A"/>
    <w:rsid w:val="00CC734B"/>
    <w:rsid w:val="00CC78B5"/>
    <w:rsid w:val="00CC7BE6"/>
    <w:rsid w:val="00CC7DF2"/>
    <w:rsid w:val="00CD0164"/>
    <w:rsid w:val="00CD0F0A"/>
    <w:rsid w:val="00CD1A7C"/>
    <w:rsid w:val="00CD1E92"/>
    <w:rsid w:val="00CD2526"/>
    <w:rsid w:val="00CD2558"/>
    <w:rsid w:val="00CD2616"/>
    <w:rsid w:val="00CD2734"/>
    <w:rsid w:val="00CD2941"/>
    <w:rsid w:val="00CD2A0E"/>
    <w:rsid w:val="00CD2A75"/>
    <w:rsid w:val="00CD2EFD"/>
    <w:rsid w:val="00CD33F6"/>
    <w:rsid w:val="00CD38C6"/>
    <w:rsid w:val="00CD4258"/>
    <w:rsid w:val="00CD4276"/>
    <w:rsid w:val="00CD43F2"/>
    <w:rsid w:val="00CD4EBC"/>
    <w:rsid w:val="00CD5809"/>
    <w:rsid w:val="00CD598E"/>
    <w:rsid w:val="00CD5B00"/>
    <w:rsid w:val="00CD5BF5"/>
    <w:rsid w:val="00CD66EB"/>
    <w:rsid w:val="00CD6D2F"/>
    <w:rsid w:val="00CD7181"/>
    <w:rsid w:val="00CD7C6A"/>
    <w:rsid w:val="00CD7D87"/>
    <w:rsid w:val="00CD7F76"/>
    <w:rsid w:val="00CE09D7"/>
    <w:rsid w:val="00CE0DDD"/>
    <w:rsid w:val="00CE0F31"/>
    <w:rsid w:val="00CE1FD6"/>
    <w:rsid w:val="00CE2325"/>
    <w:rsid w:val="00CE26A8"/>
    <w:rsid w:val="00CE2CB6"/>
    <w:rsid w:val="00CE2CF5"/>
    <w:rsid w:val="00CE3445"/>
    <w:rsid w:val="00CE369E"/>
    <w:rsid w:val="00CE3EB8"/>
    <w:rsid w:val="00CE46A0"/>
    <w:rsid w:val="00CE547B"/>
    <w:rsid w:val="00CE61D5"/>
    <w:rsid w:val="00CE6242"/>
    <w:rsid w:val="00CE642F"/>
    <w:rsid w:val="00CE6807"/>
    <w:rsid w:val="00CE6C40"/>
    <w:rsid w:val="00CE6D4E"/>
    <w:rsid w:val="00CE6F8C"/>
    <w:rsid w:val="00CE741A"/>
    <w:rsid w:val="00CE7991"/>
    <w:rsid w:val="00CE79D0"/>
    <w:rsid w:val="00CE7A75"/>
    <w:rsid w:val="00CE7CED"/>
    <w:rsid w:val="00CE7CF8"/>
    <w:rsid w:val="00CE7D1D"/>
    <w:rsid w:val="00CE7DE9"/>
    <w:rsid w:val="00CF00AB"/>
    <w:rsid w:val="00CF0571"/>
    <w:rsid w:val="00CF063E"/>
    <w:rsid w:val="00CF0977"/>
    <w:rsid w:val="00CF1189"/>
    <w:rsid w:val="00CF1BBE"/>
    <w:rsid w:val="00CF1E39"/>
    <w:rsid w:val="00CF1F1B"/>
    <w:rsid w:val="00CF2355"/>
    <w:rsid w:val="00CF267B"/>
    <w:rsid w:val="00CF28F2"/>
    <w:rsid w:val="00CF2B33"/>
    <w:rsid w:val="00CF3583"/>
    <w:rsid w:val="00CF3622"/>
    <w:rsid w:val="00CF36CF"/>
    <w:rsid w:val="00CF3B3A"/>
    <w:rsid w:val="00CF5034"/>
    <w:rsid w:val="00CF5255"/>
    <w:rsid w:val="00CF564A"/>
    <w:rsid w:val="00CF6BBE"/>
    <w:rsid w:val="00CF7089"/>
    <w:rsid w:val="00CF71C2"/>
    <w:rsid w:val="00CF7353"/>
    <w:rsid w:val="00CF757F"/>
    <w:rsid w:val="00D0001B"/>
    <w:rsid w:val="00D0040D"/>
    <w:rsid w:val="00D006BC"/>
    <w:rsid w:val="00D00943"/>
    <w:rsid w:val="00D01777"/>
    <w:rsid w:val="00D01C55"/>
    <w:rsid w:val="00D02249"/>
    <w:rsid w:val="00D02DDE"/>
    <w:rsid w:val="00D02ED6"/>
    <w:rsid w:val="00D02FC6"/>
    <w:rsid w:val="00D03745"/>
    <w:rsid w:val="00D039FD"/>
    <w:rsid w:val="00D0449F"/>
    <w:rsid w:val="00D044E2"/>
    <w:rsid w:val="00D04923"/>
    <w:rsid w:val="00D04A03"/>
    <w:rsid w:val="00D04FED"/>
    <w:rsid w:val="00D05444"/>
    <w:rsid w:val="00D05EC6"/>
    <w:rsid w:val="00D05FC6"/>
    <w:rsid w:val="00D060F5"/>
    <w:rsid w:val="00D06172"/>
    <w:rsid w:val="00D0678F"/>
    <w:rsid w:val="00D06B0B"/>
    <w:rsid w:val="00D06B1C"/>
    <w:rsid w:val="00D06E96"/>
    <w:rsid w:val="00D07766"/>
    <w:rsid w:val="00D07791"/>
    <w:rsid w:val="00D07DF4"/>
    <w:rsid w:val="00D10B22"/>
    <w:rsid w:val="00D10B36"/>
    <w:rsid w:val="00D10B67"/>
    <w:rsid w:val="00D10BCC"/>
    <w:rsid w:val="00D10DA5"/>
    <w:rsid w:val="00D110F1"/>
    <w:rsid w:val="00D115F2"/>
    <w:rsid w:val="00D11DFD"/>
    <w:rsid w:val="00D11FDE"/>
    <w:rsid w:val="00D12129"/>
    <w:rsid w:val="00D13D9D"/>
    <w:rsid w:val="00D13E4D"/>
    <w:rsid w:val="00D140F3"/>
    <w:rsid w:val="00D1462D"/>
    <w:rsid w:val="00D14C55"/>
    <w:rsid w:val="00D155C4"/>
    <w:rsid w:val="00D15A0F"/>
    <w:rsid w:val="00D15F1D"/>
    <w:rsid w:val="00D161A0"/>
    <w:rsid w:val="00D164D7"/>
    <w:rsid w:val="00D165E1"/>
    <w:rsid w:val="00D16769"/>
    <w:rsid w:val="00D16C35"/>
    <w:rsid w:val="00D17737"/>
    <w:rsid w:val="00D17EAB"/>
    <w:rsid w:val="00D2018A"/>
    <w:rsid w:val="00D20554"/>
    <w:rsid w:val="00D20647"/>
    <w:rsid w:val="00D20C57"/>
    <w:rsid w:val="00D20D77"/>
    <w:rsid w:val="00D2145B"/>
    <w:rsid w:val="00D215B2"/>
    <w:rsid w:val="00D21BF0"/>
    <w:rsid w:val="00D2234B"/>
    <w:rsid w:val="00D22767"/>
    <w:rsid w:val="00D22A3C"/>
    <w:rsid w:val="00D22A74"/>
    <w:rsid w:val="00D22EBA"/>
    <w:rsid w:val="00D230AB"/>
    <w:rsid w:val="00D231B5"/>
    <w:rsid w:val="00D237FA"/>
    <w:rsid w:val="00D24546"/>
    <w:rsid w:val="00D24F57"/>
    <w:rsid w:val="00D25092"/>
    <w:rsid w:val="00D25311"/>
    <w:rsid w:val="00D25460"/>
    <w:rsid w:val="00D25A70"/>
    <w:rsid w:val="00D26835"/>
    <w:rsid w:val="00D268BB"/>
    <w:rsid w:val="00D26B95"/>
    <w:rsid w:val="00D27097"/>
    <w:rsid w:val="00D27112"/>
    <w:rsid w:val="00D271D2"/>
    <w:rsid w:val="00D2745C"/>
    <w:rsid w:val="00D274F3"/>
    <w:rsid w:val="00D27927"/>
    <w:rsid w:val="00D27956"/>
    <w:rsid w:val="00D27B7D"/>
    <w:rsid w:val="00D27BED"/>
    <w:rsid w:val="00D27C49"/>
    <w:rsid w:val="00D30821"/>
    <w:rsid w:val="00D30887"/>
    <w:rsid w:val="00D30DB0"/>
    <w:rsid w:val="00D31DE9"/>
    <w:rsid w:val="00D31FAB"/>
    <w:rsid w:val="00D322C8"/>
    <w:rsid w:val="00D324CD"/>
    <w:rsid w:val="00D32B3F"/>
    <w:rsid w:val="00D32DF8"/>
    <w:rsid w:val="00D33533"/>
    <w:rsid w:val="00D33647"/>
    <w:rsid w:val="00D33F36"/>
    <w:rsid w:val="00D341B8"/>
    <w:rsid w:val="00D3445E"/>
    <w:rsid w:val="00D34668"/>
    <w:rsid w:val="00D34FA9"/>
    <w:rsid w:val="00D356D9"/>
    <w:rsid w:val="00D363D4"/>
    <w:rsid w:val="00D36D8D"/>
    <w:rsid w:val="00D36FBC"/>
    <w:rsid w:val="00D37523"/>
    <w:rsid w:val="00D37803"/>
    <w:rsid w:val="00D37F2B"/>
    <w:rsid w:val="00D40397"/>
    <w:rsid w:val="00D407B1"/>
    <w:rsid w:val="00D40A64"/>
    <w:rsid w:val="00D41042"/>
    <w:rsid w:val="00D41695"/>
    <w:rsid w:val="00D4187C"/>
    <w:rsid w:val="00D41C9D"/>
    <w:rsid w:val="00D41D1A"/>
    <w:rsid w:val="00D41E52"/>
    <w:rsid w:val="00D41FED"/>
    <w:rsid w:val="00D423CE"/>
    <w:rsid w:val="00D42721"/>
    <w:rsid w:val="00D4360B"/>
    <w:rsid w:val="00D439AA"/>
    <w:rsid w:val="00D43B8D"/>
    <w:rsid w:val="00D449AA"/>
    <w:rsid w:val="00D45983"/>
    <w:rsid w:val="00D45CA3"/>
    <w:rsid w:val="00D4607C"/>
    <w:rsid w:val="00D4657F"/>
    <w:rsid w:val="00D50125"/>
    <w:rsid w:val="00D505CD"/>
    <w:rsid w:val="00D50737"/>
    <w:rsid w:val="00D51163"/>
    <w:rsid w:val="00D518DF"/>
    <w:rsid w:val="00D52069"/>
    <w:rsid w:val="00D526FF"/>
    <w:rsid w:val="00D52CA8"/>
    <w:rsid w:val="00D52D83"/>
    <w:rsid w:val="00D5329C"/>
    <w:rsid w:val="00D534AD"/>
    <w:rsid w:val="00D53AF7"/>
    <w:rsid w:val="00D54251"/>
    <w:rsid w:val="00D5497B"/>
    <w:rsid w:val="00D54E2C"/>
    <w:rsid w:val="00D55247"/>
    <w:rsid w:val="00D55B40"/>
    <w:rsid w:val="00D55BB8"/>
    <w:rsid w:val="00D55DA3"/>
    <w:rsid w:val="00D5639D"/>
    <w:rsid w:val="00D568C6"/>
    <w:rsid w:val="00D569A0"/>
    <w:rsid w:val="00D56D69"/>
    <w:rsid w:val="00D56E5F"/>
    <w:rsid w:val="00D56F0D"/>
    <w:rsid w:val="00D57C87"/>
    <w:rsid w:val="00D6004D"/>
    <w:rsid w:val="00D602F9"/>
    <w:rsid w:val="00D60C0C"/>
    <w:rsid w:val="00D60C13"/>
    <w:rsid w:val="00D61A05"/>
    <w:rsid w:val="00D61DAD"/>
    <w:rsid w:val="00D620B9"/>
    <w:rsid w:val="00D626E2"/>
    <w:rsid w:val="00D62815"/>
    <w:rsid w:val="00D62D79"/>
    <w:rsid w:val="00D63816"/>
    <w:rsid w:val="00D6391F"/>
    <w:rsid w:val="00D63A90"/>
    <w:rsid w:val="00D63B24"/>
    <w:rsid w:val="00D64451"/>
    <w:rsid w:val="00D64D13"/>
    <w:rsid w:val="00D64DF0"/>
    <w:rsid w:val="00D656CE"/>
    <w:rsid w:val="00D65980"/>
    <w:rsid w:val="00D664B3"/>
    <w:rsid w:val="00D664C9"/>
    <w:rsid w:val="00D66E4C"/>
    <w:rsid w:val="00D674AA"/>
    <w:rsid w:val="00D6751C"/>
    <w:rsid w:val="00D6781B"/>
    <w:rsid w:val="00D67A94"/>
    <w:rsid w:val="00D67D72"/>
    <w:rsid w:val="00D703DE"/>
    <w:rsid w:val="00D703E0"/>
    <w:rsid w:val="00D704BC"/>
    <w:rsid w:val="00D70507"/>
    <w:rsid w:val="00D71232"/>
    <w:rsid w:val="00D71B5F"/>
    <w:rsid w:val="00D72215"/>
    <w:rsid w:val="00D72E82"/>
    <w:rsid w:val="00D73132"/>
    <w:rsid w:val="00D73564"/>
    <w:rsid w:val="00D73665"/>
    <w:rsid w:val="00D7368A"/>
    <w:rsid w:val="00D73719"/>
    <w:rsid w:val="00D73914"/>
    <w:rsid w:val="00D746BC"/>
    <w:rsid w:val="00D74762"/>
    <w:rsid w:val="00D74CDA"/>
    <w:rsid w:val="00D751E5"/>
    <w:rsid w:val="00D75D2D"/>
    <w:rsid w:val="00D7653B"/>
    <w:rsid w:val="00D76BA0"/>
    <w:rsid w:val="00D76C9F"/>
    <w:rsid w:val="00D771A8"/>
    <w:rsid w:val="00D77651"/>
    <w:rsid w:val="00D77BE1"/>
    <w:rsid w:val="00D77E30"/>
    <w:rsid w:val="00D77EDE"/>
    <w:rsid w:val="00D80944"/>
    <w:rsid w:val="00D80DC2"/>
    <w:rsid w:val="00D816C5"/>
    <w:rsid w:val="00D81B4A"/>
    <w:rsid w:val="00D82527"/>
    <w:rsid w:val="00D82557"/>
    <w:rsid w:val="00D8266C"/>
    <w:rsid w:val="00D82892"/>
    <w:rsid w:val="00D83259"/>
    <w:rsid w:val="00D8465C"/>
    <w:rsid w:val="00D847A9"/>
    <w:rsid w:val="00D84CCB"/>
    <w:rsid w:val="00D8568F"/>
    <w:rsid w:val="00D856ED"/>
    <w:rsid w:val="00D8573E"/>
    <w:rsid w:val="00D85769"/>
    <w:rsid w:val="00D857DA"/>
    <w:rsid w:val="00D85EA3"/>
    <w:rsid w:val="00D85F25"/>
    <w:rsid w:val="00D85FFE"/>
    <w:rsid w:val="00D862E7"/>
    <w:rsid w:val="00D86823"/>
    <w:rsid w:val="00D86A0C"/>
    <w:rsid w:val="00D8735B"/>
    <w:rsid w:val="00D873BE"/>
    <w:rsid w:val="00D87610"/>
    <w:rsid w:val="00D87CF9"/>
    <w:rsid w:val="00D907BC"/>
    <w:rsid w:val="00D90A8C"/>
    <w:rsid w:val="00D910B4"/>
    <w:rsid w:val="00D91205"/>
    <w:rsid w:val="00D920E5"/>
    <w:rsid w:val="00D92166"/>
    <w:rsid w:val="00D92386"/>
    <w:rsid w:val="00D92393"/>
    <w:rsid w:val="00D92A8F"/>
    <w:rsid w:val="00D932E3"/>
    <w:rsid w:val="00D933E4"/>
    <w:rsid w:val="00D93558"/>
    <w:rsid w:val="00D94789"/>
    <w:rsid w:val="00D95E15"/>
    <w:rsid w:val="00D96341"/>
    <w:rsid w:val="00D965AE"/>
    <w:rsid w:val="00D96722"/>
    <w:rsid w:val="00D96A91"/>
    <w:rsid w:val="00D96AE6"/>
    <w:rsid w:val="00D96D7B"/>
    <w:rsid w:val="00D96F57"/>
    <w:rsid w:val="00D96F6D"/>
    <w:rsid w:val="00D96FD1"/>
    <w:rsid w:val="00D974AA"/>
    <w:rsid w:val="00D9775C"/>
    <w:rsid w:val="00D97A00"/>
    <w:rsid w:val="00D97B28"/>
    <w:rsid w:val="00D97BF6"/>
    <w:rsid w:val="00DA0550"/>
    <w:rsid w:val="00DA060A"/>
    <w:rsid w:val="00DA0869"/>
    <w:rsid w:val="00DA19A4"/>
    <w:rsid w:val="00DA2451"/>
    <w:rsid w:val="00DA2BC6"/>
    <w:rsid w:val="00DA2CB6"/>
    <w:rsid w:val="00DA36CA"/>
    <w:rsid w:val="00DA36EF"/>
    <w:rsid w:val="00DA3B09"/>
    <w:rsid w:val="00DA40F2"/>
    <w:rsid w:val="00DA4A08"/>
    <w:rsid w:val="00DA4BB6"/>
    <w:rsid w:val="00DA4CF5"/>
    <w:rsid w:val="00DA5386"/>
    <w:rsid w:val="00DA53CB"/>
    <w:rsid w:val="00DA557F"/>
    <w:rsid w:val="00DA5ABD"/>
    <w:rsid w:val="00DA612A"/>
    <w:rsid w:val="00DA61A5"/>
    <w:rsid w:val="00DA6BF0"/>
    <w:rsid w:val="00DA6C0A"/>
    <w:rsid w:val="00DA7016"/>
    <w:rsid w:val="00DA7356"/>
    <w:rsid w:val="00DB0443"/>
    <w:rsid w:val="00DB06BE"/>
    <w:rsid w:val="00DB17AF"/>
    <w:rsid w:val="00DB1980"/>
    <w:rsid w:val="00DB1A8A"/>
    <w:rsid w:val="00DB1C12"/>
    <w:rsid w:val="00DB216C"/>
    <w:rsid w:val="00DB238F"/>
    <w:rsid w:val="00DB2E2A"/>
    <w:rsid w:val="00DB3006"/>
    <w:rsid w:val="00DB34E3"/>
    <w:rsid w:val="00DB3755"/>
    <w:rsid w:val="00DB569F"/>
    <w:rsid w:val="00DB6181"/>
    <w:rsid w:val="00DB631C"/>
    <w:rsid w:val="00DB65D7"/>
    <w:rsid w:val="00DB66E2"/>
    <w:rsid w:val="00DB67A4"/>
    <w:rsid w:val="00DB73EB"/>
    <w:rsid w:val="00DB77A7"/>
    <w:rsid w:val="00DC04CB"/>
    <w:rsid w:val="00DC081F"/>
    <w:rsid w:val="00DC0C04"/>
    <w:rsid w:val="00DC274C"/>
    <w:rsid w:val="00DC2883"/>
    <w:rsid w:val="00DC29B7"/>
    <w:rsid w:val="00DC2BC5"/>
    <w:rsid w:val="00DC32CB"/>
    <w:rsid w:val="00DC395C"/>
    <w:rsid w:val="00DC3B5C"/>
    <w:rsid w:val="00DC3C02"/>
    <w:rsid w:val="00DC3D54"/>
    <w:rsid w:val="00DC47A0"/>
    <w:rsid w:val="00DC55A6"/>
    <w:rsid w:val="00DC5830"/>
    <w:rsid w:val="00DC5C1B"/>
    <w:rsid w:val="00DC60F2"/>
    <w:rsid w:val="00DC63CA"/>
    <w:rsid w:val="00DC7146"/>
    <w:rsid w:val="00DC714B"/>
    <w:rsid w:val="00DC7539"/>
    <w:rsid w:val="00DC775C"/>
    <w:rsid w:val="00DD02A2"/>
    <w:rsid w:val="00DD0436"/>
    <w:rsid w:val="00DD07AF"/>
    <w:rsid w:val="00DD09F6"/>
    <w:rsid w:val="00DD0B91"/>
    <w:rsid w:val="00DD0F62"/>
    <w:rsid w:val="00DD1070"/>
    <w:rsid w:val="00DD111E"/>
    <w:rsid w:val="00DD1AF6"/>
    <w:rsid w:val="00DD2CE9"/>
    <w:rsid w:val="00DD2EAE"/>
    <w:rsid w:val="00DD3C39"/>
    <w:rsid w:val="00DD4BD1"/>
    <w:rsid w:val="00DD4D18"/>
    <w:rsid w:val="00DD5168"/>
    <w:rsid w:val="00DD59A2"/>
    <w:rsid w:val="00DD5DEF"/>
    <w:rsid w:val="00DD5F66"/>
    <w:rsid w:val="00DD6A3A"/>
    <w:rsid w:val="00DD6D81"/>
    <w:rsid w:val="00DD70F6"/>
    <w:rsid w:val="00DD73EB"/>
    <w:rsid w:val="00DD7588"/>
    <w:rsid w:val="00DD76D9"/>
    <w:rsid w:val="00DD77F4"/>
    <w:rsid w:val="00DD7916"/>
    <w:rsid w:val="00DD7A80"/>
    <w:rsid w:val="00DD7BAC"/>
    <w:rsid w:val="00DD7CC4"/>
    <w:rsid w:val="00DE0BA6"/>
    <w:rsid w:val="00DE1524"/>
    <w:rsid w:val="00DE162A"/>
    <w:rsid w:val="00DE17DE"/>
    <w:rsid w:val="00DE1C28"/>
    <w:rsid w:val="00DE24E0"/>
    <w:rsid w:val="00DE2937"/>
    <w:rsid w:val="00DE29B8"/>
    <w:rsid w:val="00DE29DA"/>
    <w:rsid w:val="00DE2A24"/>
    <w:rsid w:val="00DE2B6E"/>
    <w:rsid w:val="00DE2E31"/>
    <w:rsid w:val="00DE2F22"/>
    <w:rsid w:val="00DE3051"/>
    <w:rsid w:val="00DE31CE"/>
    <w:rsid w:val="00DE3301"/>
    <w:rsid w:val="00DE3A16"/>
    <w:rsid w:val="00DE3BB7"/>
    <w:rsid w:val="00DE3E9F"/>
    <w:rsid w:val="00DE3F3B"/>
    <w:rsid w:val="00DE40EC"/>
    <w:rsid w:val="00DE4353"/>
    <w:rsid w:val="00DE466E"/>
    <w:rsid w:val="00DE495F"/>
    <w:rsid w:val="00DE49F1"/>
    <w:rsid w:val="00DE59CE"/>
    <w:rsid w:val="00DE5A3A"/>
    <w:rsid w:val="00DE64B9"/>
    <w:rsid w:val="00DE7230"/>
    <w:rsid w:val="00DE73E0"/>
    <w:rsid w:val="00DE7B2C"/>
    <w:rsid w:val="00DE7F29"/>
    <w:rsid w:val="00DF06A6"/>
    <w:rsid w:val="00DF13EB"/>
    <w:rsid w:val="00DF1E5B"/>
    <w:rsid w:val="00DF2066"/>
    <w:rsid w:val="00DF2110"/>
    <w:rsid w:val="00DF2B18"/>
    <w:rsid w:val="00DF30AE"/>
    <w:rsid w:val="00DF30F3"/>
    <w:rsid w:val="00DF35ED"/>
    <w:rsid w:val="00DF37A1"/>
    <w:rsid w:val="00DF3B8C"/>
    <w:rsid w:val="00DF432F"/>
    <w:rsid w:val="00DF448E"/>
    <w:rsid w:val="00DF4E90"/>
    <w:rsid w:val="00DF5133"/>
    <w:rsid w:val="00DF58F2"/>
    <w:rsid w:val="00DF59B2"/>
    <w:rsid w:val="00DF5B99"/>
    <w:rsid w:val="00DF62AB"/>
    <w:rsid w:val="00DF6551"/>
    <w:rsid w:val="00DF6DEF"/>
    <w:rsid w:val="00DF6FDA"/>
    <w:rsid w:val="00DF72F3"/>
    <w:rsid w:val="00DF78DD"/>
    <w:rsid w:val="00DF7999"/>
    <w:rsid w:val="00DF7B44"/>
    <w:rsid w:val="00DF7C92"/>
    <w:rsid w:val="00DF7F0F"/>
    <w:rsid w:val="00E000A8"/>
    <w:rsid w:val="00E00D99"/>
    <w:rsid w:val="00E012EA"/>
    <w:rsid w:val="00E01510"/>
    <w:rsid w:val="00E01590"/>
    <w:rsid w:val="00E01BB4"/>
    <w:rsid w:val="00E01D98"/>
    <w:rsid w:val="00E02470"/>
    <w:rsid w:val="00E025B6"/>
    <w:rsid w:val="00E025C9"/>
    <w:rsid w:val="00E03770"/>
    <w:rsid w:val="00E03A04"/>
    <w:rsid w:val="00E03F96"/>
    <w:rsid w:val="00E0429C"/>
    <w:rsid w:val="00E042A4"/>
    <w:rsid w:val="00E048C7"/>
    <w:rsid w:val="00E056BE"/>
    <w:rsid w:val="00E05A41"/>
    <w:rsid w:val="00E05DD6"/>
    <w:rsid w:val="00E06096"/>
    <w:rsid w:val="00E060E9"/>
    <w:rsid w:val="00E0616C"/>
    <w:rsid w:val="00E06882"/>
    <w:rsid w:val="00E06E77"/>
    <w:rsid w:val="00E071DA"/>
    <w:rsid w:val="00E078E4"/>
    <w:rsid w:val="00E07F93"/>
    <w:rsid w:val="00E102A0"/>
    <w:rsid w:val="00E10675"/>
    <w:rsid w:val="00E1089D"/>
    <w:rsid w:val="00E10C37"/>
    <w:rsid w:val="00E10D21"/>
    <w:rsid w:val="00E10D69"/>
    <w:rsid w:val="00E111F6"/>
    <w:rsid w:val="00E112A0"/>
    <w:rsid w:val="00E113C7"/>
    <w:rsid w:val="00E113CD"/>
    <w:rsid w:val="00E116C9"/>
    <w:rsid w:val="00E11813"/>
    <w:rsid w:val="00E12276"/>
    <w:rsid w:val="00E12C1B"/>
    <w:rsid w:val="00E12D46"/>
    <w:rsid w:val="00E12F34"/>
    <w:rsid w:val="00E1357A"/>
    <w:rsid w:val="00E145DD"/>
    <w:rsid w:val="00E14950"/>
    <w:rsid w:val="00E14BD7"/>
    <w:rsid w:val="00E14DC7"/>
    <w:rsid w:val="00E151B0"/>
    <w:rsid w:val="00E1530D"/>
    <w:rsid w:val="00E1577B"/>
    <w:rsid w:val="00E15B7B"/>
    <w:rsid w:val="00E165F3"/>
    <w:rsid w:val="00E16F6F"/>
    <w:rsid w:val="00E17205"/>
    <w:rsid w:val="00E2003D"/>
    <w:rsid w:val="00E20564"/>
    <w:rsid w:val="00E20696"/>
    <w:rsid w:val="00E20BBD"/>
    <w:rsid w:val="00E21B73"/>
    <w:rsid w:val="00E21DDA"/>
    <w:rsid w:val="00E22750"/>
    <w:rsid w:val="00E22A10"/>
    <w:rsid w:val="00E2338A"/>
    <w:rsid w:val="00E23793"/>
    <w:rsid w:val="00E243B1"/>
    <w:rsid w:val="00E248D5"/>
    <w:rsid w:val="00E25545"/>
    <w:rsid w:val="00E25899"/>
    <w:rsid w:val="00E25A8E"/>
    <w:rsid w:val="00E25C4E"/>
    <w:rsid w:val="00E25C68"/>
    <w:rsid w:val="00E25D85"/>
    <w:rsid w:val="00E25DEF"/>
    <w:rsid w:val="00E262EB"/>
    <w:rsid w:val="00E26392"/>
    <w:rsid w:val="00E26E63"/>
    <w:rsid w:val="00E279C8"/>
    <w:rsid w:val="00E27CC8"/>
    <w:rsid w:val="00E3045D"/>
    <w:rsid w:val="00E31337"/>
    <w:rsid w:val="00E3164B"/>
    <w:rsid w:val="00E3273E"/>
    <w:rsid w:val="00E32BE4"/>
    <w:rsid w:val="00E32DF0"/>
    <w:rsid w:val="00E32F6B"/>
    <w:rsid w:val="00E33311"/>
    <w:rsid w:val="00E33548"/>
    <w:rsid w:val="00E33C75"/>
    <w:rsid w:val="00E33FCC"/>
    <w:rsid w:val="00E34FB4"/>
    <w:rsid w:val="00E3519F"/>
    <w:rsid w:val="00E3630B"/>
    <w:rsid w:val="00E363C4"/>
    <w:rsid w:val="00E36A1B"/>
    <w:rsid w:val="00E36D2D"/>
    <w:rsid w:val="00E36D5C"/>
    <w:rsid w:val="00E37017"/>
    <w:rsid w:val="00E372F9"/>
    <w:rsid w:val="00E37ABD"/>
    <w:rsid w:val="00E37EBA"/>
    <w:rsid w:val="00E400AC"/>
    <w:rsid w:val="00E40851"/>
    <w:rsid w:val="00E408D1"/>
    <w:rsid w:val="00E40C63"/>
    <w:rsid w:val="00E40E41"/>
    <w:rsid w:val="00E40ED1"/>
    <w:rsid w:val="00E40F4F"/>
    <w:rsid w:val="00E414D3"/>
    <w:rsid w:val="00E4152B"/>
    <w:rsid w:val="00E41A94"/>
    <w:rsid w:val="00E41E34"/>
    <w:rsid w:val="00E41E73"/>
    <w:rsid w:val="00E41EDE"/>
    <w:rsid w:val="00E423A9"/>
    <w:rsid w:val="00E423D7"/>
    <w:rsid w:val="00E42928"/>
    <w:rsid w:val="00E42A1C"/>
    <w:rsid w:val="00E42C72"/>
    <w:rsid w:val="00E42CD0"/>
    <w:rsid w:val="00E42FE0"/>
    <w:rsid w:val="00E43575"/>
    <w:rsid w:val="00E44FF1"/>
    <w:rsid w:val="00E45601"/>
    <w:rsid w:val="00E46B01"/>
    <w:rsid w:val="00E46E1F"/>
    <w:rsid w:val="00E4765B"/>
    <w:rsid w:val="00E479D3"/>
    <w:rsid w:val="00E50B64"/>
    <w:rsid w:val="00E50DC5"/>
    <w:rsid w:val="00E51000"/>
    <w:rsid w:val="00E51008"/>
    <w:rsid w:val="00E51201"/>
    <w:rsid w:val="00E5138B"/>
    <w:rsid w:val="00E51675"/>
    <w:rsid w:val="00E51EC1"/>
    <w:rsid w:val="00E5222B"/>
    <w:rsid w:val="00E52468"/>
    <w:rsid w:val="00E526F4"/>
    <w:rsid w:val="00E52876"/>
    <w:rsid w:val="00E52E4B"/>
    <w:rsid w:val="00E52EF6"/>
    <w:rsid w:val="00E535D6"/>
    <w:rsid w:val="00E53B95"/>
    <w:rsid w:val="00E54008"/>
    <w:rsid w:val="00E54291"/>
    <w:rsid w:val="00E55324"/>
    <w:rsid w:val="00E55812"/>
    <w:rsid w:val="00E55E45"/>
    <w:rsid w:val="00E56271"/>
    <w:rsid w:val="00E567EB"/>
    <w:rsid w:val="00E57690"/>
    <w:rsid w:val="00E57A94"/>
    <w:rsid w:val="00E57ABA"/>
    <w:rsid w:val="00E57BB8"/>
    <w:rsid w:val="00E57CB9"/>
    <w:rsid w:val="00E6002A"/>
    <w:rsid w:val="00E60F0A"/>
    <w:rsid w:val="00E61449"/>
    <w:rsid w:val="00E6144C"/>
    <w:rsid w:val="00E61539"/>
    <w:rsid w:val="00E61588"/>
    <w:rsid w:val="00E6183A"/>
    <w:rsid w:val="00E61C1D"/>
    <w:rsid w:val="00E61CC8"/>
    <w:rsid w:val="00E62823"/>
    <w:rsid w:val="00E62EC2"/>
    <w:rsid w:val="00E63171"/>
    <w:rsid w:val="00E636D6"/>
    <w:rsid w:val="00E63858"/>
    <w:rsid w:val="00E63D0E"/>
    <w:rsid w:val="00E64164"/>
    <w:rsid w:val="00E6435A"/>
    <w:rsid w:val="00E64E11"/>
    <w:rsid w:val="00E64EE8"/>
    <w:rsid w:val="00E64FA5"/>
    <w:rsid w:val="00E654F4"/>
    <w:rsid w:val="00E65757"/>
    <w:rsid w:val="00E66AF3"/>
    <w:rsid w:val="00E66DFB"/>
    <w:rsid w:val="00E66E5F"/>
    <w:rsid w:val="00E673C8"/>
    <w:rsid w:val="00E67C2D"/>
    <w:rsid w:val="00E67D07"/>
    <w:rsid w:val="00E7024A"/>
    <w:rsid w:val="00E70A28"/>
    <w:rsid w:val="00E70D86"/>
    <w:rsid w:val="00E710A1"/>
    <w:rsid w:val="00E71379"/>
    <w:rsid w:val="00E71897"/>
    <w:rsid w:val="00E71B6D"/>
    <w:rsid w:val="00E71BDF"/>
    <w:rsid w:val="00E71CCD"/>
    <w:rsid w:val="00E7254B"/>
    <w:rsid w:val="00E72577"/>
    <w:rsid w:val="00E72D75"/>
    <w:rsid w:val="00E72E3C"/>
    <w:rsid w:val="00E73474"/>
    <w:rsid w:val="00E74870"/>
    <w:rsid w:val="00E74D49"/>
    <w:rsid w:val="00E752A3"/>
    <w:rsid w:val="00E752EE"/>
    <w:rsid w:val="00E75575"/>
    <w:rsid w:val="00E7568F"/>
    <w:rsid w:val="00E75C90"/>
    <w:rsid w:val="00E76975"/>
    <w:rsid w:val="00E76A36"/>
    <w:rsid w:val="00E76FA8"/>
    <w:rsid w:val="00E772DA"/>
    <w:rsid w:val="00E7774A"/>
    <w:rsid w:val="00E77906"/>
    <w:rsid w:val="00E77BD6"/>
    <w:rsid w:val="00E80077"/>
    <w:rsid w:val="00E8109D"/>
    <w:rsid w:val="00E8115C"/>
    <w:rsid w:val="00E813B8"/>
    <w:rsid w:val="00E8156E"/>
    <w:rsid w:val="00E82C0B"/>
    <w:rsid w:val="00E82EAB"/>
    <w:rsid w:val="00E83260"/>
    <w:rsid w:val="00E83BAD"/>
    <w:rsid w:val="00E83F7A"/>
    <w:rsid w:val="00E83F9C"/>
    <w:rsid w:val="00E83FCE"/>
    <w:rsid w:val="00E8406E"/>
    <w:rsid w:val="00E8417D"/>
    <w:rsid w:val="00E84385"/>
    <w:rsid w:val="00E84558"/>
    <w:rsid w:val="00E84A54"/>
    <w:rsid w:val="00E8507E"/>
    <w:rsid w:val="00E85624"/>
    <w:rsid w:val="00E85948"/>
    <w:rsid w:val="00E862AF"/>
    <w:rsid w:val="00E86318"/>
    <w:rsid w:val="00E863D9"/>
    <w:rsid w:val="00E867AC"/>
    <w:rsid w:val="00E8728F"/>
    <w:rsid w:val="00E877DC"/>
    <w:rsid w:val="00E87910"/>
    <w:rsid w:val="00E87D2F"/>
    <w:rsid w:val="00E87FC9"/>
    <w:rsid w:val="00E903E2"/>
    <w:rsid w:val="00E9048D"/>
    <w:rsid w:val="00E90BD9"/>
    <w:rsid w:val="00E90C1D"/>
    <w:rsid w:val="00E91035"/>
    <w:rsid w:val="00E911AB"/>
    <w:rsid w:val="00E91816"/>
    <w:rsid w:val="00E91BAB"/>
    <w:rsid w:val="00E91C66"/>
    <w:rsid w:val="00E922CB"/>
    <w:rsid w:val="00E9249A"/>
    <w:rsid w:val="00E928B4"/>
    <w:rsid w:val="00E9299B"/>
    <w:rsid w:val="00E93807"/>
    <w:rsid w:val="00E93A9E"/>
    <w:rsid w:val="00E9402F"/>
    <w:rsid w:val="00E94B0D"/>
    <w:rsid w:val="00E95C8E"/>
    <w:rsid w:val="00E95F1E"/>
    <w:rsid w:val="00E96E05"/>
    <w:rsid w:val="00E96E28"/>
    <w:rsid w:val="00E97310"/>
    <w:rsid w:val="00E97A4A"/>
    <w:rsid w:val="00E97E26"/>
    <w:rsid w:val="00E97E9B"/>
    <w:rsid w:val="00E97F44"/>
    <w:rsid w:val="00EA03B7"/>
    <w:rsid w:val="00EA03D7"/>
    <w:rsid w:val="00EA07FF"/>
    <w:rsid w:val="00EA2206"/>
    <w:rsid w:val="00EA24CF"/>
    <w:rsid w:val="00EA2601"/>
    <w:rsid w:val="00EA2D9C"/>
    <w:rsid w:val="00EA39DF"/>
    <w:rsid w:val="00EA3A46"/>
    <w:rsid w:val="00EA3B97"/>
    <w:rsid w:val="00EA3C0A"/>
    <w:rsid w:val="00EA3DE0"/>
    <w:rsid w:val="00EA4129"/>
    <w:rsid w:val="00EA41CD"/>
    <w:rsid w:val="00EA427E"/>
    <w:rsid w:val="00EA4A8F"/>
    <w:rsid w:val="00EA4EDC"/>
    <w:rsid w:val="00EA5967"/>
    <w:rsid w:val="00EA61FD"/>
    <w:rsid w:val="00EA6A62"/>
    <w:rsid w:val="00EA6F78"/>
    <w:rsid w:val="00EA7011"/>
    <w:rsid w:val="00EA7467"/>
    <w:rsid w:val="00EA7914"/>
    <w:rsid w:val="00EB0049"/>
    <w:rsid w:val="00EB0AF0"/>
    <w:rsid w:val="00EB0F22"/>
    <w:rsid w:val="00EB1087"/>
    <w:rsid w:val="00EB1289"/>
    <w:rsid w:val="00EB1681"/>
    <w:rsid w:val="00EB1A9C"/>
    <w:rsid w:val="00EB2161"/>
    <w:rsid w:val="00EB25B1"/>
    <w:rsid w:val="00EB275C"/>
    <w:rsid w:val="00EB27B2"/>
    <w:rsid w:val="00EB27EB"/>
    <w:rsid w:val="00EB2E81"/>
    <w:rsid w:val="00EB341A"/>
    <w:rsid w:val="00EB3633"/>
    <w:rsid w:val="00EB37A4"/>
    <w:rsid w:val="00EB39DC"/>
    <w:rsid w:val="00EB43FD"/>
    <w:rsid w:val="00EB47BC"/>
    <w:rsid w:val="00EB4B57"/>
    <w:rsid w:val="00EB52DB"/>
    <w:rsid w:val="00EB53CF"/>
    <w:rsid w:val="00EB54A0"/>
    <w:rsid w:val="00EB56DF"/>
    <w:rsid w:val="00EB5EE4"/>
    <w:rsid w:val="00EB607C"/>
    <w:rsid w:val="00EB659E"/>
    <w:rsid w:val="00EB6857"/>
    <w:rsid w:val="00EB718D"/>
    <w:rsid w:val="00EB7C70"/>
    <w:rsid w:val="00EB7FE2"/>
    <w:rsid w:val="00EC0061"/>
    <w:rsid w:val="00EC14BF"/>
    <w:rsid w:val="00EC1C67"/>
    <w:rsid w:val="00EC2468"/>
    <w:rsid w:val="00EC2613"/>
    <w:rsid w:val="00EC2785"/>
    <w:rsid w:val="00EC28C4"/>
    <w:rsid w:val="00EC31AF"/>
    <w:rsid w:val="00EC3A0F"/>
    <w:rsid w:val="00EC3E10"/>
    <w:rsid w:val="00EC44B5"/>
    <w:rsid w:val="00EC47D5"/>
    <w:rsid w:val="00EC4E34"/>
    <w:rsid w:val="00EC52B4"/>
    <w:rsid w:val="00EC53E3"/>
    <w:rsid w:val="00EC5BAF"/>
    <w:rsid w:val="00EC5C4D"/>
    <w:rsid w:val="00EC62DD"/>
    <w:rsid w:val="00EC63F6"/>
    <w:rsid w:val="00EC661A"/>
    <w:rsid w:val="00EC66DF"/>
    <w:rsid w:val="00EC6A62"/>
    <w:rsid w:val="00EC6A68"/>
    <w:rsid w:val="00EC6C09"/>
    <w:rsid w:val="00EC6C64"/>
    <w:rsid w:val="00EC740F"/>
    <w:rsid w:val="00EC79E4"/>
    <w:rsid w:val="00ED0760"/>
    <w:rsid w:val="00ED0AE6"/>
    <w:rsid w:val="00ED1340"/>
    <w:rsid w:val="00ED1355"/>
    <w:rsid w:val="00ED1DE0"/>
    <w:rsid w:val="00ED240E"/>
    <w:rsid w:val="00ED2DD7"/>
    <w:rsid w:val="00ED2EE5"/>
    <w:rsid w:val="00ED316B"/>
    <w:rsid w:val="00ED36B6"/>
    <w:rsid w:val="00ED3AC1"/>
    <w:rsid w:val="00ED3AF0"/>
    <w:rsid w:val="00ED3C9A"/>
    <w:rsid w:val="00ED469E"/>
    <w:rsid w:val="00ED4B34"/>
    <w:rsid w:val="00ED517A"/>
    <w:rsid w:val="00ED56C4"/>
    <w:rsid w:val="00ED5BE5"/>
    <w:rsid w:val="00ED5D09"/>
    <w:rsid w:val="00ED6336"/>
    <w:rsid w:val="00ED6340"/>
    <w:rsid w:val="00ED641F"/>
    <w:rsid w:val="00ED64EF"/>
    <w:rsid w:val="00ED658D"/>
    <w:rsid w:val="00ED69B4"/>
    <w:rsid w:val="00ED7035"/>
    <w:rsid w:val="00ED74D9"/>
    <w:rsid w:val="00ED7704"/>
    <w:rsid w:val="00EE00AF"/>
    <w:rsid w:val="00EE1345"/>
    <w:rsid w:val="00EE1A7B"/>
    <w:rsid w:val="00EE1A97"/>
    <w:rsid w:val="00EE1CF8"/>
    <w:rsid w:val="00EE1ECC"/>
    <w:rsid w:val="00EE2251"/>
    <w:rsid w:val="00EE287C"/>
    <w:rsid w:val="00EE2C26"/>
    <w:rsid w:val="00EE33BE"/>
    <w:rsid w:val="00EE363E"/>
    <w:rsid w:val="00EE36CF"/>
    <w:rsid w:val="00EE378F"/>
    <w:rsid w:val="00EE41A3"/>
    <w:rsid w:val="00EE4320"/>
    <w:rsid w:val="00EE4560"/>
    <w:rsid w:val="00EE4D77"/>
    <w:rsid w:val="00EE4F28"/>
    <w:rsid w:val="00EE4FC8"/>
    <w:rsid w:val="00EE5C79"/>
    <w:rsid w:val="00EE625B"/>
    <w:rsid w:val="00EE65E4"/>
    <w:rsid w:val="00EE6BE3"/>
    <w:rsid w:val="00EE6DD0"/>
    <w:rsid w:val="00EE6E5B"/>
    <w:rsid w:val="00EE6FB8"/>
    <w:rsid w:val="00EE6FF1"/>
    <w:rsid w:val="00EE7697"/>
    <w:rsid w:val="00EE7A6C"/>
    <w:rsid w:val="00EE7E4A"/>
    <w:rsid w:val="00EF042D"/>
    <w:rsid w:val="00EF116D"/>
    <w:rsid w:val="00EF1A58"/>
    <w:rsid w:val="00EF1DB1"/>
    <w:rsid w:val="00EF1F75"/>
    <w:rsid w:val="00EF25A5"/>
    <w:rsid w:val="00EF2AA7"/>
    <w:rsid w:val="00EF3018"/>
    <w:rsid w:val="00EF3A20"/>
    <w:rsid w:val="00EF4207"/>
    <w:rsid w:val="00EF4A72"/>
    <w:rsid w:val="00EF56FB"/>
    <w:rsid w:val="00EF6029"/>
    <w:rsid w:val="00EF648F"/>
    <w:rsid w:val="00EF65D6"/>
    <w:rsid w:val="00EF6EA8"/>
    <w:rsid w:val="00EF701B"/>
    <w:rsid w:val="00EF70FC"/>
    <w:rsid w:val="00EF7A34"/>
    <w:rsid w:val="00EF7E6B"/>
    <w:rsid w:val="00F0053D"/>
    <w:rsid w:val="00F0117B"/>
    <w:rsid w:val="00F0278D"/>
    <w:rsid w:val="00F028A1"/>
    <w:rsid w:val="00F03265"/>
    <w:rsid w:val="00F0391F"/>
    <w:rsid w:val="00F03D3B"/>
    <w:rsid w:val="00F03D73"/>
    <w:rsid w:val="00F03EBE"/>
    <w:rsid w:val="00F03FA8"/>
    <w:rsid w:val="00F049C7"/>
    <w:rsid w:val="00F04F8F"/>
    <w:rsid w:val="00F054FC"/>
    <w:rsid w:val="00F058B7"/>
    <w:rsid w:val="00F05BB6"/>
    <w:rsid w:val="00F05E23"/>
    <w:rsid w:val="00F05E85"/>
    <w:rsid w:val="00F06035"/>
    <w:rsid w:val="00F06E12"/>
    <w:rsid w:val="00F0728F"/>
    <w:rsid w:val="00F07570"/>
    <w:rsid w:val="00F10451"/>
    <w:rsid w:val="00F10657"/>
    <w:rsid w:val="00F10F3F"/>
    <w:rsid w:val="00F110BE"/>
    <w:rsid w:val="00F11390"/>
    <w:rsid w:val="00F11821"/>
    <w:rsid w:val="00F11A74"/>
    <w:rsid w:val="00F127B7"/>
    <w:rsid w:val="00F12E1A"/>
    <w:rsid w:val="00F12EB1"/>
    <w:rsid w:val="00F12F2D"/>
    <w:rsid w:val="00F13750"/>
    <w:rsid w:val="00F13A85"/>
    <w:rsid w:val="00F1400B"/>
    <w:rsid w:val="00F140F4"/>
    <w:rsid w:val="00F1420C"/>
    <w:rsid w:val="00F146CF"/>
    <w:rsid w:val="00F14C57"/>
    <w:rsid w:val="00F1510E"/>
    <w:rsid w:val="00F154E6"/>
    <w:rsid w:val="00F1551D"/>
    <w:rsid w:val="00F15D7A"/>
    <w:rsid w:val="00F16367"/>
    <w:rsid w:val="00F16AF8"/>
    <w:rsid w:val="00F16B10"/>
    <w:rsid w:val="00F16D4E"/>
    <w:rsid w:val="00F170C1"/>
    <w:rsid w:val="00F17456"/>
    <w:rsid w:val="00F17AC3"/>
    <w:rsid w:val="00F17FD6"/>
    <w:rsid w:val="00F2059B"/>
    <w:rsid w:val="00F2140A"/>
    <w:rsid w:val="00F21835"/>
    <w:rsid w:val="00F2263A"/>
    <w:rsid w:val="00F2279C"/>
    <w:rsid w:val="00F22C6E"/>
    <w:rsid w:val="00F22E0C"/>
    <w:rsid w:val="00F231F4"/>
    <w:rsid w:val="00F23A8C"/>
    <w:rsid w:val="00F2430D"/>
    <w:rsid w:val="00F2430E"/>
    <w:rsid w:val="00F246F4"/>
    <w:rsid w:val="00F25766"/>
    <w:rsid w:val="00F258A5"/>
    <w:rsid w:val="00F2594E"/>
    <w:rsid w:val="00F25FEB"/>
    <w:rsid w:val="00F26458"/>
    <w:rsid w:val="00F26DB0"/>
    <w:rsid w:val="00F276A0"/>
    <w:rsid w:val="00F2773A"/>
    <w:rsid w:val="00F27AF5"/>
    <w:rsid w:val="00F27D29"/>
    <w:rsid w:val="00F27D55"/>
    <w:rsid w:val="00F30CBC"/>
    <w:rsid w:val="00F30CD5"/>
    <w:rsid w:val="00F31335"/>
    <w:rsid w:val="00F32626"/>
    <w:rsid w:val="00F32E53"/>
    <w:rsid w:val="00F3336D"/>
    <w:rsid w:val="00F333FB"/>
    <w:rsid w:val="00F3377C"/>
    <w:rsid w:val="00F338C2"/>
    <w:rsid w:val="00F33F05"/>
    <w:rsid w:val="00F34234"/>
    <w:rsid w:val="00F3425F"/>
    <w:rsid w:val="00F34957"/>
    <w:rsid w:val="00F3516B"/>
    <w:rsid w:val="00F3600A"/>
    <w:rsid w:val="00F363E7"/>
    <w:rsid w:val="00F364C6"/>
    <w:rsid w:val="00F365B7"/>
    <w:rsid w:val="00F369CF"/>
    <w:rsid w:val="00F36F7F"/>
    <w:rsid w:val="00F378DE"/>
    <w:rsid w:val="00F37CD5"/>
    <w:rsid w:val="00F40142"/>
    <w:rsid w:val="00F405CF"/>
    <w:rsid w:val="00F40839"/>
    <w:rsid w:val="00F408C7"/>
    <w:rsid w:val="00F4098E"/>
    <w:rsid w:val="00F41217"/>
    <w:rsid w:val="00F41237"/>
    <w:rsid w:val="00F4140F"/>
    <w:rsid w:val="00F4188A"/>
    <w:rsid w:val="00F41AE4"/>
    <w:rsid w:val="00F42FFA"/>
    <w:rsid w:val="00F433B4"/>
    <w:rsid w:val="00F43876"/>
    <w:rsid w:val="00F438C4"/>
    <w:rsid w:val="00F43960"/>
    <w:rsid w:val="00F44087"/>
    <w:rsid w:val="00F4469A"/>
    <w:rsid w:val="00F4482A"/>
    <w:rsid w:val="00F44936"/>
    <w:rsid w:val="00F44C58"/>
    <w:rsid w:val="00F44DF1"/>
    <w:rsid w:val="00F44F2C"/>
    <w:rsid w:val="00F4508A"/>
    <w:rsid w:val="00F4539D"/>
    <w:rsid w:val="00F455AD"/>
    <w:rsid w:val="00F46427"/>
    <w:rsid w:val="00F46575"/>
    <w:rsid w:val="00F46734"/>
    <w:rsid w:val="00F46B7B"/>
    <w:rsid w:val="00F47367"/>
    <w:rsid w:val="00F47FEC"/>
    <w:rsid w:val="00F5018F"/>
    <w:rsid w:val="00F501E5"/>
    <w:rsid w:val="00F50983"/>
    <w:rsid w:val="00F50C89"/>
    <w:rsid w:val="00F513A6"/>
    <w:rsid w:val="00F516E3"/>
    <w:rsid w:val="00F51D6C"/>
    <w:rsid w:val="00F51EEE"/>
    <w:rsid w:val="00F51F59"/>
    <w:rsid w:val="00F52440"/>
    <w:rsid w:val="00F53113"/>
    <w:rsid w:val="00F53A61"/>
    <w:rsid w:val="00F543CE"/>
    <w:rsid w:val="00F54426"/>
    <w:rsid w:val="00F54550"/>
    <w:rsid w:val="00F5474A"/>
    <w:rsid w:val="00F549DB"/>
    <w:rsid w:val="00F54F34"/>
    <w:rsid w:val="00F55109"/>
    <w:rsid w:val="00F5541D"/>
    <w:rsid w:val="00F5568D"/>
    <w:rsid w:val="00F568CB"/>
    <w:rsid w:val="00F56908"/>
    <w:rsid w:val="00F56EE2"/>
    <w:rsid w:val="00F57627"/>
    <w:rsid w:val="00F60075"/>
    <w:rsid w:val="00F60564"/>
    <w:rsid w:val="00F606C1"/>
    <w:rsid w:val="00F607C7"/>
    <w:rsid w:val="00F61B60"/>
    <w:rsid w:val="00F62040"/>
    <w:rsid w:val="00F629AE"/>
    <w:rsid w:val="00F62AFD"/>
    <w:rsid w:val="00F63279"/>
    <w:rsid w:val="00F632AC"/>
    <w:rsid w:val="00F63736"/>
    <w:rsid w:val="00F638D5"/>
    <w:rsid w:val="00F63C33"/>
    <w:rsid w:val="00F63D15"/>
    <w:rsid w:val="00F64061"/>
    <w:rsid w:val="00F64B7D"/>
    <w:rsid w:val="00F64BBF"/>
    <w:rsid w:val="00F64DB9"/>
    <w:rsid w:val="00F64E4D"/>
    <w:rsid w:val="00F65D02"/>
    <w:rsid w:val="00F66059"/>
    <w:rsid w:val="00F662E4"/>
    <w:rsid w:val="00F670E2"/>
    <w:rsid w:val="00F67B86"/>
    <w:rsid w:val="00F67C6E"/>
    <w:rsid w:val="00F70296"/>
    <w:rsid w:val="00F70347"/>
    <w:rsid w:val="00F70A4F"/>
    <w:rsid w:val="00F70AFE"/>
    <w:rsid w:val="00F7108B"/>
    <w:rsid w:val="00F710FA"/>
    <w:rsid w:val="00F7116B"/>
    <w:rsid w:val="00F7156D"/>
    <w:rsid w:val="00F7178F"/>
    <w:rsid w:val="00F7190C"/>
    <w:rsid w:val="00F71BA9"/>
    <w:rsid w:val="00F72C07"/>
    <w:rsid w:val="00F72C8C"/>
    <w:rsid w:val="00F72F4E"/>
    <w:rsid w:val="00F73A3A"/>
    <w:rsid w:val="00F73CB3"/>
    <w:rsid w:val="00F73D25"/>
    <w:rsid w:val="00F73F19"/>
    <w:rsid w:val="00F73FA0"/>
    <w:rsid w:val="00F747B0"/>
    <w:rsid w:val="00F749EC"/>
    <w:rsid w:val="00F74CD9"/>
    <w:rsid w:val="00F7514D"/>
    <w:rsid w:val="00F75279"/>
    <w:rsid w:val="00F752FA"/>
    <w:rsid w:val="00F75434"/>
    <w:rsid w:val="00F75DC3"/>
    <w:rsid w:val="00F76112"/>
    <w:rsid w:val="00F7614A"/>
    <w:rsid w:val="00F762DF"/>
    <w:rsid w:val="00F80550"/>
    <w:rsid w:val="00F8089F"/>
    <w:rsid w:val="00F808EC"/>
    <w:rsid w:val="00F81215"/>
    <w:rsid w:val="00F81301"/>
    <w:rsid w:val="00F81318"/>
    <w:rsid w:val="00F8156E"/>
    <w:rsid w:val="00F817AE"/>
    <w:rsid w:val="00F8206B"/>
    <w:rsid w:val="00F82320"/>
    <w:rsid w:val="00F83BA7"/>
    <w:rsid w:val="00F847B7"/>
    <w:rsid w:val="00F85581"/>
    <w:rsid w:val="00F857BD"/>
    <w:rsid w:val="00F85BCC"/>
    <w:rsid w:val="00F875D8"/>
    <w:rsid w:val="00F875F8"/>
    <w:rsid w:val="00F87851"/>
    <w:rsid w:val="00F87899"/>
    <w:rsid w:val="00F87B4A"/>
    <w:rsid w:val="00F90489"/>
    <w:rsid w:val="00F90775"/>
    <w:rsid w:val="00F912D3"/>
    <w:rsid w:val="00F913AC"/>
    <w:rsid w:val="00F91500"/>
    <w:rsid w:val="00F91853"/>
    <w:rsid w:val="00F919C7"/>
    <w:rsid w:val="00F91B52"/>
    <w:rsid w:val="00F91B80"/>
    <w:rsid w:val="00F9243E"/>
    <w:rsid w:val="00F925FC"/>
    <w:rsid w:val="00F9391C"/>
    <w:rsid w:val="00F93A28"/>
    <w:rsid w:val="00F93B87"/>
    <w:rsid w:val="00F93DE0"/>
    <w:rsid w:val="00F93EC7"/>
    <w:rsid w:val="00F94000"/>
    <w:rsid w:val="00F94178"/>
    <w:rsid w:val="00F94200"/>
    <w:rsid w:val="00F94443"/>
    <w:rsid w:val="00F944C6"/>
    <w:rsid w:val="00F9458E"/>
    <w:rsid w:val="00F945FB"/>
    <w:rsid w:val="00F94E10"/>
    <w:rsid w:val="00F94F5A"/>
    <w:rsid w:val="00F94FFA"/>
    <w:rsid w:val="00F951B3"/>
    <w:rsid w:val="00F95265"/>
    <w:rsid w:val="00F95961"/>
    <w:rsid w:val="00F95A65"/>
    <w:rsid w:val="00F95D1B"/>
    <w:rsid w:val="00F95DB1"/>
    <w:rsid w:val="00F95EB3"/>
    <w:rsid w:val="00F969B0"/>
    <w:rsid w:val="00F97ACA"/>
    <w:rsid w:val="00F97C71"/>
    <w:rsid w:val="00FA00F3"/>
    <w:rsid w:val="00FA127B"/>
    <w:rsid w:val="00FA1966"/>
    <w:rsid w:val="00FA1A6E"/>
    <w:rsid w:val="00FA1B02"/>
    <w:rsid w:val="00FA1CF5"/>
    <w:rsid w:val="00FA21D7"/>
    <w:rsid w:val="00FA2B94"/>
    <w:rsid w:val="00FA322D"/>
    <w:rsid w:val="00FA32BB"/>
    <w:rsid w:val="00FA3362"/>
    <w:rsid w:val="00FA3431"/>
    <w:rsid w:val="00FA3925"/>
    <w:rsid w:val="00FA5C22"/>
    <w:rsid w:val="00FA5F7B"/>
    <w:rsid w:val="00FA642B"/>
    <w:rsid w:val="00FA6997"/>
    <w:rsid w:val="00FA6BB2"/>
    <w:rsid w:val="00FA757C"/>
    <w:rsid w:val="00FA7DB0"/>
    <w:rsid w:val="00FB027C"/>
    <w:rsid w:val="00FB0767"/>
    <w:rsid w:val="00FB09C4"/>
    <w:rsid w:val="00FB1DB2"/>
    <w:rsid w:val="00FB256A"/>
    <w:rsid w:val="00FB3372"/>
    <w:rsid w:val="00FB38EA"/>
    <w:rsid w:val="00FB3974"/>
    <w:rsid w:val="00FB3C10"/>
    <w:rsid w:val="00FB41A7"/>
    <w:rsid w:val="00FB41F0"/>
    <w:rsid w:val="00FB46DE"/>
    <w:rsid w:val="00FB4810"/>
    <w:rsid w:val="00FB48CB"/>
    <w:rsid w:val="00FB4ADA"/>
    <w:rsid w:val="00FB5044"/>
    <w:rsid w:val="00FB569F"/>
    <w:rsid w:val="00FB6077"/>
    <w:rsid w:val="00FB65B7"/>
    <w:rsid w:val="00FB66A3"/>
    <w:rsid w:val="00FB67A2"/>
    <w:rsid w:val="00FB699C"/>
    <w:rsid w:val="00FB73DA"/>
    <w:rsid w:val="00FB7D45"/>
    <w:rsid w:val="00FB7EAD"/>
    <w:rsid w:val="00FC003D"/>
    <w:rsid w:val="00FC029B"/>
    <w:rsid w:val="00FC0301"/>
    <w:rsid w:val="00FC0880"/>
    <w:rsid w:val="00FC0A24"/>
    <w:rsid w:val="00FC178A"/>
    <w:rsid w:val="00FC1838"/>
    <w:rsid w:val="00FC1AB9"/>
    <w:rsid w:val="00FC1E05"/>
    <w:rsid w:val="00FC21FA"/>
    <w:rsid w:val="00FC24B5"/>
    <w:rsid w:val="00FC2520"/>
    <w:rsid w:val="00FC25DD"/>
    <w:rsid w:val="00FC2A58"/>
    <w:rsid w:val="00FC2E9A"/>
    <w:rsid w:val="00FC3061"/>
    <w:rsid w:val="00FC3281"/>
    <w:rsid w:val="00FC39BC"/>
    <w:rsid w:val="00FC4060"/>
    <w:rsid w:val="00FC4CBE"/>
    <w:rsid w:val="00FC4F7E"/>
    <w:rsid w:val="00FC52E0"/>
    <w:rsid w:val="00FC5856"/>
    <w:rsid w:val="00FC5B6F"/>
    <w:rsid w:val="00FC60CE"/>
    <w:rsid w:val="00FC614F"/>
    <w:rsid w:val="00FC6180"/>
    <w:rsid w:val="00FC66DE"/>
    <w:rsid w:val="00FC6D1C"/>
    <w:rsid w:val="00FC7186"/>
    <w:rsid w:val="00FC7638"/>
    <w:rsid w:val="00FC7777"/>
    <w:rsid w:val="00FC7955"/>
    <w:rsid w:val="00FC7BCA"/>
    <w:rsid w:val="00FC7C82"/>
    <w:rsid w:val="00FD0363"/>
    <w:rsid w:val="00FD0640"/>
    <w:rsid w:val="00FD0E35"/>
    <w:rsid w:val="00FD0EE4"/>
    <w:rsid w:val="00FD134F"/>
    <w:rsid w:val="00FD170A"/>
    <w:rsid w:val="00FD1DE5"/>
    <w:rsid w:val="00FD1DFD"/>
    <w:rsid w:val="00FD26C9"/>
    <w:rsid w:val="00FD307F"/>
    <w:rsid w:val="00FD314A"/>
    <w:rsid w:val="00FD38B1"/>
    <w:rsid w:val="00FD3A3D"/>
    <w:rsid w:val="00FD409F"/>
    <w:rsid w:val="00FD54A2"/>
    <w:rsid w:val="00FD5BB8"/>
    <w:rsid w:val="00FD5DBC"/>
    <w:rsid w:val="00FD6B7B"/>
    <w:rsid w:val="00FD6BCB"/>
    <w:rsid w:val="00FD6FE2"/>
    <w:rsid w:val="00FD72DF"/>
    <w:rsid w:val="00FD763E"/>
    <w:rsid w:val="00FD7652"/>
    <w:rsid w:val="00FD79F5"/>
    <w:rsid w:val="00FD7CE3"/>
    <w:rsid w:val="00FE065C"/>
    <w:rsid w:val="00FE0F1C"/>
    <w:rsid w:val="00FE1162"/>
    <w:rsid w:val="00FE12C9"/>
    <w:rsid w:val="00FE175D"/>
    <w:rsid w:val="00FE1975"/>
    <w:rsid w:val="00FE1DC8"/>
    <w:rsid w:val="00FE28A4"/>
    <w:rsid w:val="00FE2A3D"/>
    <w:rsid w:val="00FE3485"/>
    <w:rsid w:val="00FE3634"/>
    <w:rsid w:val="00FE3936"/>
    <w:rsid w:val="00FE3BC8"/>
    <w:rsid w:val="00FE3E68"/>
    <w:rsid w:val="00FE3F7A"/>
    <w:rsid w:val="00FE4552"/>
    <w:rsid w:val="00FE4748"/>
    <w:rsid w:val="00FE494F"/>
    <w:rsid w:val="00FE4B67"/>
    <w:rsid w:val="00FE50EE"/>
    <w:rsid w:val="00FE6F42"/>
    <w:rsid w:val="00FE720A"/>
    <w:rsid w:val="00FE77D0"/>
    <w:rsid w:val="00FE79FC"/>
    <w:rsid w:val="00FF09A1"/>
    <w:rsid w:val="00FF0BBB"/>
    <w:rsid w:val="00FF0D22"/>
    <w:rsid w:val="00FF0FC3"/>
    <w:rsid w:val="00FF198D"/>
    <w:rsid w:val="00FF1E88"/>
    <w:rsid w:val="00FF1FE9"/>
    <w:rsid w:val="00FF2580"/>
    <w:rsid w:val="00FF2621"/>
    <w:rsid w:val="00FF26A1"/>
    <w:rsid w:val="00FF29E9"/>
    <w:rsid w:val="00FF2FAF"/>
    <w:rsid w:val="00FF323E"/>
    <w:rsid w:val="00FF346F"/>
    <w:rsid w:val="00FF364A"/>
    <w:rsid w:val="00FF36C7"/>
    <w:rsid w:val="00FF44A0"/>
    <w:rsid w:val="00FF4BCC"/>
    <w:rsid w:val="00FF63AE"/>
    <w:rsid w:val="00FF695D"/>
    <w:rsid w:val="00FF6A32"/>
    <w:rsid w:val="00FF6D17"/>
    <w:rsid w:val="00FF6F23"/>
    <w:rsid w:val="00FF7865"/>
    <w:rsid w:val="00FF78C3"/>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8D20B6-C123-48CA-BD0F-3DEF6657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C71"/>
    <w:pPr>
      <w:spacing w:line="360" w:lineRule="auto"/>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82473F"/>
    <w:pPr>
      <w:keepNext/>
      <w:keepLines/>
      <w:numPr>
        <w:numId w:val="2"/>
      </w:numPr>
      <w:tabs>
        <w:tab w:val="clear" w:pos="6840"/>
        <w:tab w:val="num" w:pos="360"/>
      </w:tabs>
      <w:spacing w:before="480" w:after="240" w:line="240" w:lineRule="auto"/>
      <w:ind w:left="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951C7"/>
    <w:pPr>
      <w:numPr>
        <w:numId w:val="29"/>
      </w:numPr>
      <w:tabs>
        <w:tab w:val="left" w:pos="504"/>
        <w:tab w:val="left" w:pos="720"/>
      </w:tabs>
      <w:spacing w:before="360" w:after="360" w:line="240" w:lineRule="auto"/>
      <w:ind w:left="0" w:firstLine="0"/>
      <w:jc w:val="center"/>
      <w:outlineLvl w:val="1"/>
    </w:pPr>
    <w:rPr>
      <w:rFonts w:ascii="Times New Roman Bold" w:eastAsiaTheme="majorEastAsia" w:hAnsi="Times New Roman Bold" w:cs="Times New Roman"/>
      <w:b/>
      <w:bCs/>
      <w:smallCaps/>
      <w:color w:val="000000" w:themeColor="text1"/>
      <w:szCs w:val="24"/>
    </w:rPr>
  </w:style>
  <w:style w:type="paragraph" w:styleId="Heading3">
    <w:name w:val="heading 3"/>
    <w:basedOn w:val="Normal"/>
    <w:next w:val="Normal"/>
    <w:link w:val="Heading3Char"/>
    <w:autoRedefine/>
    <w:uiPriority w:val="9"/>
    <w:unhideWhenUsed/>
    <w:qFormat/>
    <w:rsid w:val="00A05F9E"/>
    <w:pPr>
      <w:keepNext/>
      <w:keepLines/>
      <w:numPr>
        <w:numId w:val="4"/>
      </w:numPr>
      <w:spacing w:before="200" w:line="240" w:lineRule="auto"/>
      <w:outlineLvl w:val="2"/>
    </w:pPr>
    <w:rPr>
      <w:rFonts w:eastAsiaTheme="majorEastAsia" w:cstheme="majorBidi"/>
      <w:b/>
      <w:bCs/>
      <w:color w:val="000000" w:themeColor="text1"/>
      <w:sz w:val="22"/>
    </w:rPr>
  </w:style>
  <w:style w:type="paragraph" w:styleId="Heading4">
    <w:name w:val="heading 4"/>
    <w:basedOn w:val="Normal"/>
    <w:next w:val="Normal"/>
    <w:link w:val="Heading4Char"/>
    <w:uiPriority w:val="9"/>
    <w:unhideWhenUsed/>
    <w:qFormat/>
    <w:rsid w:val="00EC79E4"/>
    <w:pPr>
      <w:keepNext/>
      <w:keepLines/>
      <w:spacing w:before="200" w:after="0"/>
      <w:ind w:left="2160"/>
      <w:outlineLvl w:val="3"/>
    </w:pPr>
    <w:rPr>
      <w:rFonts w:eastAsiaTheme="majorEastAsia" w:cstheme="majorBidi"/>
      <w:b/>
      <w:bCs/>
      <w:i/>
      <w:iCs/>
      <w:sz w:val="22"/>
    </w:rPr>
  </w:style>
  <w:style w:type="paragraph" w:styleId="Heading5">
    <w:name w:val="heading 5"/>
    <w:basedOn w:val="Normal"/>
    <w:next w:val="Normal"/>
    <w:link w:val="Heading5Char"/>
    <w:uiPriority w:val="9"/>
    <w:semiHidden/>
    <w:unhideWhenUsed/>
    <w:qFormat/>
    <w:rsid w:val="008513B2"/>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13B2"/>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13B2"/>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13B2"/>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13B2"/>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1C7"/>
    <w:rPr>
      <w:rFonts w:ascii="Times New Roman Bold" w:eastAsiaTheme="majorEastAsia" w:hAnsi="Times New Roman Bold" w:cs="Times New Roman"/>
      <w:b/>
      <w:bCs/>
      <w:smallCaps/>
      <w:color w:val="000000" w:themeColor="text1"/>
      <w:sz w:val="24"/>
      <w:szCs w:val="24"/>
    </w:rPr>
  </w:style>
  <w:style w:type="character" w:customStyle="1" w:styleId="Heading3Char">
    <w:name w:val="Heading 3 Char"/>
    <w:basedOn w:val="DefaultParagraphFont"/>
    <w:link w:val="Heading3"/>
    <w:uiPriority w:val="9"/>
    <w:rsid w:val="00A05F9E"/>
    <w:rPr>
      <w:rFonts w:ascii="Times New Roman" w:eastAsiaTheme="majorEastAsia" w:hAnsi="Times New Roman" w:cstheme="majorBidi"/>
      <w:b/>
      <w:bCs/>
      <w:color w:val="000000" w:themeColor="text1"/>
    </w:rPr>
  </w:style>
  <w:style w:type="character" w:customStyle="1" w:styleId="Heading1Char">
    <w:name w:val="Heading 1 Char"/>
    <w:basedOn w:val="DefaultParagraphFont"/>
    <w:link w:val="Heading1"/>
    <w:uiPriority w:val="9"/>
    <w:rsid w:val="0082473F"/>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EC79E4"/>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semiHidden/>
    <w:rsid w:val="008513B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8513B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513B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513B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513B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51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13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References"/>
    <w:basedOn w:val="Normal"/>
    <w:link w:val="ListParagraphChar"/>
    <w:uiPriority w:val="34"/>
    <w:qFormat/>
    <w:rsid w:val="008513B2"/>
    <w:pPr>
      <w:ind w:left="720"/>
      <w:contextualSpacing/>
    </w:pPr>
  </w:style>
  <w:style w:type="paragraph" w:styleId="Header">
    <w:name w:val="header"/>
    <w:basedOn w:val="Normal"/>
    <w:link w:val="HeaderChar"/>
    <w:uiPriority w:val="99"/>
    <w:unhideWhenUsed/>
    <w:rsid w:val="0085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B2"/>
    <w:rPr>
      <w:rFonts w:ascii="Times New Roman" w:eastAsiaTheme="minorEastAsia" w:hAnsi="Times New Roman"/>
      <w:sz w:val="24"/>
    </w:rPr>
  </w:style>
  <w:style w:type="paragraph" w:styleId="Footer">
    <w:name w:val="footer"/>
    <w:basedOn w:val="Normal"/>
    <w:link w:val="FooterChar"/>
    <w:uiPriority w:val="99"/>
    <w:unhideWhenUsed/>
    <w:rsid w:val="0085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3B2"/>
    <w:rPr>
      <w:rFonts w:ascii="Times New Roman" w:eastAsiaTheme="minorEastAsia" w:hAnsi="Times New Roman"/>
      <w:sz w:val="24"/>
    </w:rPr>
  </w:style>
  <w:style w:type="paragraph" w:styleId="BalloonText">
    <w:name w:val="Balloon Text"/>
    <w:basedOn w:val="Normal"/>
    <w:link w:val="BalloonTextChar"/>
    <w:uiPriority w:val="99"/>
    <w:semiHidden/>
    <w:unhideWhenUsed/>
    <w:rsid w:val="0085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3B2"/>
    <w:rPr>
      <w:rFonts w:ascii="Tahoma" w:eastAsiaTheme="minorEastAsia" w:hAnsi="Tahoma" w:cs="Tahoma"/>
      <w:sz w:val="16"/>
      <w:szCs w:val="16"/>
    </w:rPr>
  </w:style>
  <w:style w:type="paragraph" w:styleId="FootnoteText">
    <w:name w:val="footnote text"/>
    <w:aliases w:val="Footnote Text Char1 Char1,Footnote Text Char Char Char1,Footnote Text Char1 Char Char,Footnote Text Char Char Char Char,single space,footnote text,Footnote Appendix,FOOTNOTES,fn,Footnote Text Char2,Footnote Text Char Char1,ADB,Footnote,tex"/>
    <w:basedOn w:val="Normal"/>
    <w:link w:val="FootnoteTextChar"/>
    <w:uiPriority w:val="99"/>
    <w:qFormat/>
    <w:rsid w:val="008513B2"/>
    <w:pPr>
      <w:spacing w:after="0" w:line="240" w:lineRule="auto"/>
    </w:pPr>
    <w:rPr>
      <w:rFonts w:ascii="Calibri" w:eastAsia="Times New Roman" w:hAnsi="Calibri" w:cs="Times New Roman"/>
      <w:sz w:val="20"/>
      <w:szCs w:val="20"/>
    </w:rPr>
  </w:style>
  <w:style w:type="character" w:customStyle="1" w:styleId="FootnoteTextChar">
    <w:name w:val="Footnote Text Char"/>
    <w:aliases w:val="Footnote Text Char1 Char1 Char,Footnote Text Char Char Char1 Char,Footnote Text Char1 Char Char Char,Footnote Text Char Char Char Char Char,single space Char,footnote text Char,Footnote Appendix Char,FOOTNOTES Char,fn Char,ADB Char"/>
    <w:basedOn w:val="DefaultParagraphFont"/>
    <w:link w:val="FootnoteText"/>
    <w:uiPriority w:val="99"/>
    <w:rsid w:val="008513B2"/>
    <w:rPr>
      <w:rFonts w:ascii="Calibri" w:eastAsia="Times New Roman" w:hAnsi="Calibri" w:cs="Times New Roman"/>
      <w:sz w:val="20"/>
      <w:szCs w:val="20"/>
    </w:rPr>
  </w:style>
  <w:style w:type="character" w:styleId="FootnoteReference">
    <w:name w:val="footnote reference"/>
    <w:aliases w:val="16 Point,Superscript 6 Point,BVI fnr,(Diplomarbeit FZ),ftref,Ref,de nota al pie,Error-Fußnotenzeichen5,Error-Fußnotenzeichen6,Error-Fußnotenzeichen3,Footnote Reference1,Footnote Reference Number,referencia nota al pie, BVI fnr,fr"/>
    <w:basedOn w:val="DefaultParagraphFont"/>
    <w:uiPriority w:val="99"/>
    <w:rsid w:val="008513B2"/>
    <w:rPr>
      <w:rFonts w:cs="Times New Roman"/>
      <w:vertAlign w:val="superscript"/>
    </w:rPr>
  </w:style>
  <w:style w:type="table" w:styleId="TableGrid">
    <w:name w:val="Table Grid"/>
    <w:basedOn w:val="TableNormal"/>
    <w:uiPriority w:val="59"/>
    <w:rsid w:val="008513B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513B2"/>
    <w:rPr>
      <w:sz w:val="16"/>
      <w:szCs w:val="16"/>
    </w:rPr>
  </w:style>
  <w:style w:type="paragraph" w:styleId="CommentText">
    <w:name w:val="annotation text"/>
    <w:basedOn w:val="Normal"/>
    <w:link w:val="CommentTextChar"/>
    <w:uiPriority w:val="99"/>
    <w:semiHidden/>
    <w:unhideWhenUsed/>
    <w:rsid w:val="008513B2"/>
    <w:pPr>
      <w:spacing w:line="240" w:lineRule="auto"/>
    </w:pPr>
    <w:rPr>
      <w:sz w:val="20"/>
      <w:szCs w:val="20"/>
    </w:rPr>
  </w:style>
  <w:style w:type="character" w:customStyle="1" w:styleId="CommentTextChar">
    <w:name w:val="Comment Text Char"/>
    <w:basedOn w:val="DefaultParagraphFont"/>
    <w:link w:val="CommentText"/>
    <w:uiPriority w:val="99"/>
    <w:semiHidden/>
    <w:rsid w:val="008513B2"/>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8513B2"/>
    <w:rPr>
      <w:b/>
      <w:bCs/>
    </w:rPr>
  </w:style>
  <w:style w:type="character" w:customStyle="1" w:styleId="CommentSubjectChar">
    <w:name w:val="Comment Subject Char"/>
    <w:basedOn w:val="CommentTextChar"/>
    <w:link w:val="CommentSubject"/>
    <w:uiPriority w:val="99"/>
    <w:semiHidden/>
    <w:rsid w:val="008513B2"/>
    <w:rPr>
      <w:rFonts w:ascii="Times New Roman" w:eastAsiaTheme="minorEastAsia" w:hAnsi="Times New Roman"/>
      <w:b/>
      <w:bCs/>
      <w:sz w:val="20"/>
      <w:szCs w:val="20"/>
    </w:rPr>
  </w:style>
  <w:style w:type="paragraph" w:styleId="Quote">
    <w:name w:val="Quote"/>
    <w:basedOn w:val="Normal"/>
    <w:next w:val="Normal"/>
    <w:link w:val="QuoteChar"/>
    <w:uiPriority w:val="29"/>
    <w:qFormat/>
    <w:rsid w:val="008513B2"/>
    <w:pPr>
      <w:spacing w:after="240" w:line="240" w:lineRule="auto"/>
      <w:ind w:left="720" w:right="720"/>
    </w:pPr>
    <w:rPr>
      <w:rFonts w:ascii="Times" w:hAnsi="Times"/>
      <w:iCs/>
      <w:color w:val="000000" w:themeColor="text1"/>
    </w:rPr>
  </w:style>
  <w:style w:type="character" w:customStyle="1" w:styleId="QuoteChar">
    <w:name w:val="Quote Char"/>
    <w:basedOn w:val="DefaultParagraphFont"/>
    <w:link w:val="Quote"/>
    <w:uiPriority w:val="29"/>
    <w:rsid w:val="008513B2"/>
    <w:rPr>
      <w:rFonts w:ascii="Times" w:eastAsiaTheme="minorEastAsia" w:hAnsi="Times"/>
      <w:iCs/>
      <w:color w:val="000000" w:themeColor="text1"/>
      <w:sz w:val="24"/>
    </w:rPr>
  </w:style>
  <w:style w:type="character" w:styleId="SubtleEmphasis">
    <w:name w:val="Subtle Emphasis"/>
    <w:uiPriority w:val="19"/>
    <w:qFormat/>
    <w:rsid w:val="008513B2"/>
    <w:rPr>
      <w:i/>
      <w:iCs/>
    </w:rPr>
  </w:style>
  <w:style w:type="paragraph" w:customStyle="1" w:styleId="Default">
    <w:name w:val="Default"/>
    <w:rsid w:val="008513B2"/>
    <w:pPr>
      <w:autoSpaceDE w:val="0"/>
      <w:autoSpaceDN w:val="0"/>
      <w:adjustRightInd w:val="0"/>
      <w:spacing w:after="0" w:line="240" w:lineRule="auto"/>
    </w:pPr>
    <w:rPr>
      <w:rFonts w:ascii="Times New Roman" w:hAnsi="Times New Roman" w:cs="Times New Roman"/>
      <w:color w:val="000000"/>
      <w:sz w:val="24"/>
      <w:szCs w:val="24"/>
      <w:lang w:val="fr-CH"/>
    </w:rPr>
  </w:style>
  <w:style w:type="character" w:customStyle="1" w:styleId="hps">
    <w:name w:val="hps"/>
    <w:basedOn w:val="DefaultParagraphFont"/>
    <w:rsid w:val="008513B2"/>
  </w:style>
  <w:style w:type="character" w:customStyle="1" w:styleId="atn">
    <w:name w:val="atn"/>
    <w:basedOn w:val="DefaultParagraphFont"/>
    <w:rsid w:val="008513B2"/>
  </w:style>
  <w:style w:type="character" w:styleId="Strong">
    <w:name w:val="Strong"/>
    <w:uiPriority w:val="22"/>
    <w:qFormat/>
    <w:rsid w:val="008513B2"/>
    <w:rPr>
      <w:b/>
      <w:bCs/>
    </w:rPr>
  </w:style>
  <w:style w:type="character" w:styleId="Emphasis">
    <w:name w:val="Emphasis"/>
    <w:basedOn w:val="DefaultParagraphFont"/>
    <w:uiPriority w:val="20"/>
    <w:qFormat/>
    <w:rsid w:val="008513B2"/>
    <w:rPr>
      <w:b/>
      <w:bCs/>
      <w:i w:val="0"/>
      <w:iCs w:val="0"/>
    </w:rPr>
  </w:style>
  <w:style w:type="paragraph" w:styleId="Caption">
    <w:name w:val="caption"/>
    <w:basedOn w:val="Normal"/>
    <w:next w:val="Normal"/>
    <w:uiPriority w:val="99"/>
    <w:unhideWhenUsed/>
    <w:qFormat/>
    <w:rsid w:val="00893E3D"/>
    <w:pPr>
      <w:spacing w:after="120" w:line="240" w:lineRule="auto"/>
      <w:jc w:val="center"/>
    </w:pPr>
    <w:rPr>
      <w:rFonts w:ascii="Times New Roman Bold" w:hAnsi="Times New Roman Bold"/>
      <w:b/>
      <w:bCs/>
      <w:sz w:val="20"/>
      <w:szCs w:val="18"/>
    </w:rPr>
  </w:style>
  <w:style w:type="paragraph" w:styleId="TableofFigures">
    <w:name w:val="table of figures"/>
    <w:basedOn w:val="Normal"/>
    <w:next w:val="Normal"/>
    <w:uiPriority w:val="99"/>
    <w:unhideWhenUsed/>
    <w:rsid w:val="005E2BA3"/>
    <w:pPr>
      <w:spacing w:after="0" w:line="240" w:lineRule="auto"/>
    </w:pPr>
    <w:rPr>
      <w:sz w:val="20"/>
    </w:rPr>
  </w:style>
  <w:style w:type="character" w:styleId="Hyperlink">
    <w:name w:val="Hyperlink"/>
    <w:basedOn w:val="DefaultParagraphFont"/>
    <w:uiPriority w:val="99"/>
    <w:unhideWhenUsed/>
    <w:rsid w:val="005E2BA3"/>
    <w:rPr>
      <w:rFonts w:ascii="Times New Roman" w:hAnsi="Times New Roman"/>
      <w:color w:val="auto"/>
      <w:sz w:val="20"/>
      <w:u w:val="single"/>
    </w:rPr>
  </w:style>
  <w:style w:type="paragraph" w:styleId="EndnoteText">
    <w:name w:val="endnote text"/>
    <w:basedOn w:val="Normal"/>
    <w:link w:val="EndnoteTextChar"/>
    <w:uiPriority w:val="99"/>
    <w:semiHidden/>
    <w:unhideWhenUsed/>
    <w:rsid w:val="008513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3B2"/>
    <w:rPr>
      <w:rFonts w:ascii="Times New Roman" w:eastAsiaTheme="minorEastAsia" w:hAnsi="Times New Roman"/>
      <w:sz w:val="20"/>
      <w:szCs w:val="20"/>
    </w:rPr>
  </w:style>
  <w:style w:type="character" w:styleId="EndnoteReference">
    <w:name w:val="endnote reference"/>
    <w:basedOn w:val="DefaultParagraphFont"/>
    <w:uiPriority w:val="99"/>
    <w:semiHidden/>
    <w:unhideWhenUsed/>
    <w:rsid w:val="008513B2"/>
    <w:rPr>
      <w:vertAlign w:val="superscript"/>
    </w:rPr>
  </w:style>
  <w:style w:type="paragraph" w:customStyle="1" w:styleId="Boxbodytext">
    <w:name w:val="Box body text"/>
    <w:link w:val="BoxbodytextChar"/>
    <w:qFormat/>
    <w:rsid w:val="008513B2"/>
    <w:pPr>
      <w:spacing w:line="240" w:lineRule="auto"/>
      <w:ind w:left="113" w:right="113"/>
      <w:jc w:val="both"/>
    </w:pPr>
    <w:rPr>
      <w:rFonts w:ascii="Arial" w:eastAsia="Times New Roman" w:hAnsi="Arial" w:cs="Times New Roman"/>
      <w:sz w:val="18"/>
      <w:szCs w:val="20"/>
      <w:lang w:val="en-GB"/>
    </w:rPr>
  </w:style>
  <w:style w:type="character" w:customStyle="1" w:styleId="BoxbodytextChar">
    <w:name w:val="Box body text Char"/>
    <w:basedOn w:val="DefaultParagraphFont"/>
    <w:link w:val="Boxbodytext"/>
    <w:rsid w:val="008513B2"/>
    <w:rPr>
      <w:rFonts w:ascii="Arial" w:eastAsia="Times New Roman" w:hAnsi="Arial" w:cs="Times New Roman"/>
      <w:sz w:val="18"/>
      <w:szCs w:val="20"/>
      <w:lang w:val="en-GB"/>
    </w:rPr>
  </w:style>
  <w:style w:type="character" w:customStyle="1" w:styleId="BodytextChar">
    <w:name w:val="Body text Char"/>
    <w:basedOn w:val="DefaultParagraphFont"/>
    <w:link w:val="BodyText1"/>
    <w:locked/>
    <w:rsid w:val="00E11813"/>
    <w:rPr>
      <w:rFonts w:ascii="Arial" w:eastAsia="Arial" w:hAnsi="Arial" w:cs="Arial"/>
      <w:sz w:val="20"/>
      <w:szCs w:val="20"/>
      <w:lang w:val="en-GB"/>
    </w:rPr>
  </w:style>
  <w:style w:type="paragraph" w:customStyle="1" w:styleId="BodyText1">
    <w:name w:val="Body Text1"/>
    <w:link w:val="BodytextChar"/>
    <w:qFormat/>
    <w:rsid w:val="00E11813"/>
    <w:pPr>
      <w:spacing w:line="240" w:lineRule="auto"/>
      <w:jc w:val="both"/>
    </w:pPr>
    <w:rPr>
      <w:rFonts w:ascii="Arial" w:eastAsia="Arial" w:hAnsi="Arial" w:cs="Arial"/>
      <w:sz w:val="20"/>
      <w:szCs w:val="20"/>
      <w:lang w:val="en-GB"/>
    </w:rPr>
  </w:style>
  <w:style w:type="paragraph" w:styleId="NormalWeb">
    <w:name w:val="Normal (Web)"/>
    <w:basedOn w:val="Normal"/>
    <w:uiPriority w:val="99"/>
    <w:semiHidden/>
    <w:unhideWhenUsed/>
    <w:rsid w:val="002D51FF"/>
    <w:pPr>
      <w:spacing w:before="100" w:beforeAutospacing="1" w:after="100" w:afterAutospacing="1" w:line="240" w:lineRule="auto"/>
      <w:jc w:val="left"/>
    </w:pPr>
    <w:rPr>
      <w:rFonts w:eastAsia="Times New Roman" w:cs="Times New Roman"/>
      <w:szCs w:val="24"/>
    </w:rPr>
  </w:style>
  <w:style w:type="paragraph" w:styleId="Revision">
    <w:name w:val="Revision"/>
    <w:hidden/>
    <w:uiPriority w:val="99"/>
    <w:semiHidden/>
    <w:rsid w:val="00B449D4"/>
    <w:pPr>
      <w:spacing w:after="0" w:line="240" w:lineRule="auto"/>
    </w:pPr>
    <w:rPr>
      <w:rFonts w:ascii="Times New Roman" w:eastAsiaTheme="minorEastAsia" w:hAnsi="Times New Roman"/>
      <w:sz w:val="24"/>
    </w:rPr>
  </w:style>
  <w:style w:type="character" w:customStyle="1" w:styleId="ListParagraphChar">
    <w:name w:val="List Paragraph Char"/>
    <w:aliases w:val="References Char"/>
    <w:basedOn w:val="DefaultParagraphFont"/>
    <w:link w:val="ListParagraph"/>
    <w:uiPriority w:val="34"/>
    <w:locked/>
    <w:rsid w:val="009D6EB0"/>
    <w:rPr>
      <w:rFonts w:ascii="Times New Roman" w:eastAsiaTheme="minorEastAsia" w:hAnsi="Times New Roman"/>
      <w:sz w:val="24"/>
    </w:rPr>
  </w:style>
  <w:style w:type="table" w:customStyle="1" w:styleId="TableGrid1">
    <w:name w:val="Table Grid1"/>
    <w:basedOn w:val="TableNormal"/>
    <w:next w:val="TableGrid"/>
    <w:uiPriority w:val="59"/>
    <w:rsid w:val="00F71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DE7230"/>
    <w:pPr>
      <w:tabs>
        <w:tab w:val="left" w:pos="660"/>
        <w:tab w:val="right" w:leader="dot" w:pos="9620"/>
      </w:tabs>
      <w:spacing w:after="120" w:line="240" w:lineRule="auto"/>
      <w:ind w:left="432" w:hanging="432"/>
      <w:jc w:val="left"/>
    </w:pPr>
    <w:rPr>
      <w:sz w:val="20"/>
    </w:rPr>
  </w:style>
  <w:style w:type="paragraph" w:styleId="TOC1">
    <w:name w:val="toc 1"/>
    <w:basedOn w:val="Normal"/>
    <w:next w:val="Normal"/>
    <w:autoRedefine/>
    <w:uiPriority w:val="39"/>
    <w:unhideWhenUsed/>
    <w:rsid w:val="005F2099"/>
    <w:pPr>
      <w:tabs>
        <w:tab w:val="left" w:pos="360"/>
        <w:tab w:val="right" w:leader="dot" w:pos="9620"/>
      </w:tabs>
      <w:spacing w:after="120" w:line="240" w:lineRule="auto"/>
      <w:jc w:val="left"/>
    </w:pPr>
    <w:rPr>
      <w:sz w:val="20"/>
    </w:rPr>
  </w:style>
  <w:style w:type="table" w:customStyle="1" w:styleId="TableGrid2">
    <w:name w:val="Table Grid2"/>
    <w:basedOn w:val="TableNormal"/>
    <w:next w:val="TableGrid"/>
    <w:uiPriority w:val="59"/>
    <w:rsid w:val="00C2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C38D3"/>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talic">
    <w:name w:val="italic"/>
    <w:basedOn w:val="DefaultParagraphFont"/>
    <w:rsid w:val="009964AC"/>
  </w:style>
  <w:style w:type="character" w:customStyle="1" w:styleId="st">
    <w:name w:val="st"/>
    <w:basedOn w:val="DefaultParagraphFont"/>
    <w:rsid w:val="00D81B4A"/>
  </w:style>
  <w:style w:type="table" w:customStyle="1" w:styleId="TableGrid11">
    <w:name w:val="Table Grid11"/>
    <w:basedOn w:val="TableNormal"/>
    <w:next w:val="TableGrid"/>
    <w:uiPriority w:val="59"/>
    <w:rsid w:val="00DE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09">
      <w:bodyDiv w:val="1"/>
      <w:marLeft w:val="0"/>
      <w:marRight w:val="0"/>
      <w:marTop w:val="0"/>
      <w:marBottom w:val="0"/>
      <w:divBdr>
        <w:top w:val="none" w:sz="0" w:space="0" w:color="auto"/>
        <w:left w:val="none" w:sz="0" w:space="0" w:color="auto"/>
        <w:bottom w:val="none" w:sz="0" w:space="0" w:color="auto"/>
        <w:right w:val="none" w:sz="0" w:space="0" w:color="auto"/>
      </w:divBdr>
    </w:div>
    <w:div w:id="46733076">
      <w:bodyDiv w:val="1"/>
      <w:marLeft w:val="0"/>
      <w:marRight w:val="0"/>
      <w:marTop w:val="0"/>
      <w:marBottom w:val="0"/>
      <w:divBdr>
        <w:top w:val="none" w:sz="0" w:space="0" w:color="auto"/>
        <w:left w:val="none" w:sz="0" w:space="0" w:color="auto"/>
        <w:bottom w:val="none" w:sz="0" w:space="0" w:color="auto"/>
        <w:right w:val="none" w:sz="0" w:space="0" w:color="auto"/>
      </w:divBdr>
    </w:div>
    <w:div w:id="51538120">
      <w:bodyDiv w:val="1"/>
      <w:marLeft w:val="0"/>
      <w:marRight w:val="0"/>
      <w:marTop w:val="0"/>
      <w:marBottom w:val="0"/>
      <w:divBdr>
        <w:top w:val="none" w:sz="0" w:space="0" w:color="auto"/>
        <w:left w:val="none" w:sz="0" w:space="0" w:color="auto"/>
        <w:bottom w:val="none" w:sz="0" w:space="0" w:color="auto"/>
        <w:right w:val="none" w:sz="0" w:space="0" w:color="auto"/>
      </w:divBdr>
    </w:div>
    <w:div w:id="57361622">
      <w:bodyDiv w:val="1"/>
      <w:marLeft w:val="0"/>
      <w:marRight w:val="0"/>
      <w:marTop w:val="0"/>
      <w:marBottom w:val="0"/>
      <w:divBdr>
        <w:top w:val="none" w:sz="0" w:space="0" w:color="auto"/>
        <w:left w:val="none" w:sz="0" w:space="0" w:color="auto"/>
        <w:bottom w:val="none" w:sz="0" w:space="0" w:color="auto"/>
        <w:right w:val="none" w:sz="0" w:space="0" w:color="auto"/>
      </w:divBdr>
    </w:div>
    <w:div w:id="71390131">
      <w:bodyDiv w:val="1"/>
      <w:marLeft w:val="0"/>
      <w:marRight w:val="0"/>
      <w:marTop w:val="0"/>
      <w:marBottom w:val="0"/>
      <w:divBdr>
        <w:top w:val="none" w:sz="0" w:space="0" w:color="auto"/>
        <w:left w:val="none" w:sz="0" w:space="0" w:color="auto"/>
        <w:bottom w:val="none" w:sz="0" w:space="0" w:color="auto"/>
        <w:right w:val="none" w:sz="0" w:space="0" w:color="auto"/>
      </w:divBdr>
    </w:div>
    <w:div w:id="89202396">
      <w:bodyDiv w:val="1"/>
      <w:marLeft w:val="0"/>
      <w:marRight w:val="0"/>
      <w:marTop w:val="0"/>
      <w:marBottom w:val="0"/>
      <w:divBdr>
        <w:top w:val="none" w:sz="0" w:space="0" w:color="auto"/>
        <w:left w:val="none" w:sz="0" w:space="0" w:color="auto"/>
        <w:bottom w:val="none" w:sz="0" w:space="0" w:color="auto"/>
        <w:right w:val="none" w:sz="0" w:space="0" w:color="auto"/>
      </w:divBdr>
    </w:div>
    <w:div w:id="92484900">
      <w:bodyDiv w:val="1"/>
      <w:marLeft w:val="0"/>
      <w:marRight w:val="0"/>
      <w:marTop w:val="0"/>
      <w:marBottom w:val="0"/>
      <w:divBdr>
        <w:top w:val="none" w:sz="0" w:space="0" w:color="auto"/>
        <w:left w:val="none" w:sz="0" w:space="0" w:color="auto"/>
        <w:bottom w:val="none" w:sz="0" w:space="0" w:color="auto"/>
        <w:right w:val="none" w:sz="0" w:space="0" w:color="auto"/>
      </w:divBdr>
    </w:div>
    <w:div w:id="119886017">
      <w:bodyDiv w:val="1"/>
      <w:marLeft w:val="0"/>
      <w:marRight w:val="0"/>
      <w:marTop w:val="0"/>
      <w:marBottom w:val="0"/>
      <w:divBdr>
        <w:top w:val="none" w:sz="0" w:space="0" w:color="auto"/>
        <w:left w:val="none" w:sz="0" w:space="0" w:color="auto"/>
        <w:bottom w:val="none" w:sz="0" w:space="0" w:color="auto"/>
        <w:right w:val="none" w:sz="0" w:space="0" w:color="auto"/>
      </w:divBdr>
    </w:div>
    <w:div w:id="125663357">
      <w:bodyDiv w:val="1"/>
      <w:marLeft w:val="0"/>
      <w:marRight w:val="0"/>
      <w:marTop w:val="0"/>
      <w:marBottom w:val="0"/>
      <w:divBdr>
        <w:top w:val="none" w:sz="0" w:space="0" w:color="auto"/>
        <w:left w:val="none" w:sz="0" w:space="0" w:color="auto"/>
        <w:bottom w:val="none" w:sz="0" w:space="0" w:color="auto"/>
        <w:right w:val="none" w:sz="0" w:space="0" w:color="auto"/>
      </w:divBdr>
    </w:div>
    <w:div w:id="130296702">
      <w:bodyDiv w:val="1"/>
      <w:marLeft w:val="0"/>
      <w:marRight w:val="0"/>
      <w:marTop w:val="0"/>
      <w:marBottom w:val="0"/>
      <w:divBdr>
        <w:top w:val="none" w:sz="0" w:space="0" w:color="auto"/>
        <w:left w:val="none" w:sz="0" w:space="0" w:color="auto"/>
        <w:bottom w:val="none" w:sz="0" w:space="0" w:color="auto"/>
        <w:right w:val="none" w:sz="0" w:space="0" w:color="auto"/>
      </w:divBdr>
    </w:div>
    <w:div w:id="163206102">
      <w:bodyDiv w:val="1"/>
      <w:marLeft w:val="0"/>
      <w:marRight w:val="0"/>
      <w:marTop w:val="0"/>
      <w:marBottom w:val="0"/>
      <w:divBdr>
        <w:top w:val="none" w:sz="0" w:space="0" w:color="auto"/>
        <w:left w:val="none" w:sz="0" w:space="0" w:color="auto"/>
        <w:bottom w:val="none" w:sz="0" w:space="0" w:color="auto"/>
        <w:right w:val="none" w:sz="0" w:space="0" w:color="auto"/>
      </w:divBdr>
    </w:div>
    <w:div w:id="197665894">
      <w:bodyDiv w:val="1"/>
      <w:marLeft w:val="0"/>
      <w:marRight w:val="0"/>
      <w:marTop w:val="0"/>
      <w:marBottom w:val="0"/>
      <w:divBdr>
        <w:top w:val="none" w:sz="0" w:space="0" w:color="auto"/>
        <w:left w:val="none" w:sz="0" w:space="0" w:color="auto"/>
        <w:bottom w:val="none" w:sz="0" w:space="0" w:color="auto"/>
        <w:right w:val="none" w:sz="0" w:space="0" w:color="auto"/>
      </w:divBdr>
      <w:divsChild>
        <w:div w:id="349257082">
          <w:marLeft w:val="576"/>
          <w:marRight w:val="0"/>
          <w:marTop w:val="120"/>
          <w:marBottom w:val="0"/>
          <w:divBdr>
            <w:top w:val="none" w:sz="0" w:space="0" w:color="auto"/>
            <w:left w:val="none" w:sz="0" w:space="0" w:color="auto"/>
            <w:bottom w:val="none" w:sz="0" w:space="0" w:color="auto"/>
            <w:right w:val="none" w:sz="0" w:space="0" w:color="auto"/>
          </w:divBdr>
        </w:div>
        <w:div w:id="477573081">
          <w:marLeft w:val="1008"/>
          <w:marRight w:val="0"/>
          <w:marTop w:val="110"/>
          <w:marBottom w:val="0"/>
          <w:divBdr>
            <w:top w:val="none" w:sz="0" w:space="0" w:color="auto"/>
            <w:left w:val="none" w:sz="0" w:space="0" w:color="auto"/>
            <w:bottom w:val="none" w:sz="0" w:space="0" w:color="auto"/>
            <w:right w:val="none" w:sz="0" w:space="0" w:color="auto"/>
          </w:divBdr>
        </w:div>
        <w:div w:id="1072242789">
          <w:marLeft w:val="1008"/>
          <w:marRight w:val="0"/>
          <w:marTop w:val="110"/>
          <w:marBottom w:val="0"/>
          <w:divBdr>
            <w:top w:val="none" w:sz="0" w:space="0" w:color="auto"/>
            <w:left w:val="none" w:sz="0" w:space="0" w:color="auto"/>
            <w:bottom w:val="none" w:sz="0" w:space="0" w:color="auto"/>
            <w:right w:val="none" w:sz="0" w:space="0" w:color="auto"/>
          </w:divBdr>
        </w:div>
        <w:div w:id="1261526589">
          <w:marLeft w:val="1008"/>
          <w:marRight w:val="0"/>
          <w:marTop w:val="110"/>
          <w:marBottom w:val="0"/>
          <w:divBdr>
            <w:top w:val="none" w:sz="0" w:space="0" w:color="auto"/>
            <w:left w:val="none" w:sz="0" w:space="0" w:color="auto"/>
            <w:bottom w:val="none" w:sz="0" w:space="0" w:color="auto"/>
            <w:right w:val="none" w:sz="0" w:space="0" w:color="auto"/>
          </w:divBdr>
        </w:div>
        <w:div w:id="1742559218">
          <w:marLeft w:val="1008"/>
          <w:marRight w:val="0"/>
          <w:marTop w:val="110"/>
          <w:marBottom w:val="0"/>
          <w:divBdr>
            <w:top w:val="none" w:sz="0" w:space="0" w:color="auto"/>
            <w:left w:val="none" w:sz="0" w:space="0" w:color="auto"/>
            <w:bottom w:val="none" w:sz="0" w:space="0" w:color="auto"/>
            <w:right w:val="none" w:sz="0" w:space="0" w:color="auto"/>
          </w:divBdr>
        </w:div>
        <w:div w:id="1778284126">
          <w:marLeft w:val="1008"/>
          <w:marRight w:val="0"/>
          <w:marTop w:val="110"/>
          <w:marBottom w:val="0"/>
          <w:divBdr>
            <w:top w:val="none" w:sz="0" w:space="0" w:color="auto"/>
            <w:left w:val="none" w:sz="0" w:space="0" w:color="auto"/>
            <w:bottom w:val="none" w:sz="0" w:space="0" w:color="auto"/>
            <w:right w:val="none" w:sz="0" w:space="0" w:color="auto"/>
          </w:divBdr>
        </w:div>
        <w:div w:id="2134052835">
          <w:marLeft w:val="1008"/>
          <w:marRight w:val="0"/>
          <w:marTop w:val="110"/>
          <w:marBottom w:val="0"/>
          <w:divBdr>
            <w:top w:val="none" w:sz="0" w:space="0" w:color="auto"/>
            <w:left w:val="none" w:sz="0" w:space="0" w:color="auto"/>
            <w:bottom w:val="none" w:sz="0" w:space="0" w:color="auto"/>
            <w:right w:val="none" w:sz="0" w:space="0" w:color="auto"/>
          </w:divBdr>
        </w:div>
      </w:divsChild>
    </w:div>
    <w:div w:id="208108692">
      <w:bodyDiv w:val="1"/>
      <w:marLeft w:val="0"/>
      <w:marRight w:val="0"/>
      <w:marTop w:val="0"/>
      <w:marBottom w:val="0"/>
      <w:divBdr>
        <w:top w:val="none" w:sz="0" w:space="0" w:color="auto"/>
        <w:left w:val="none" w:sz="0" w:space="0" w:color="auto"/>
        <w:bottom w:val="none" w:sz="0" w:space="0" w:color="auto"/>
        <w:right w:val="none" w:sz="0" w:space="0" w:color="auto"/>
      </w:divBdr>
    </w:div>
    <w:div w:id="269317718">
      <w:bodyDiv w:val="1"/>
      <w:marLeft w:val="0"/>
      <w:marRight w:val="0"/>
      <w:marTop w:val="0"/>
      <w:marBottom w:val="0"/>
      <w:divBdr>
        <w:top w:val="none" w:sz="0" w:space="0" w:color="auto"/>
        <w:left w:val="none" w:sz="0" w:space="0" w:color="auto"/>
        <w:bottom w:val="none" w:sz="0" w:space="0" w:color="auto"/>
        <w:right w:val="none" w:sz="0" w:space="0" w:color="auto"/>
      </w:divBdr>
    </w:div>
    <w:div w:id="287708792">
      <w:bodyDiv w:val="1"/>
      <w:marLeft w:val="0"/>
      <w:marRight w:val="0"/>
      <w:marTop w:val="0"/>
      <w:marBottom w:val="0"/>
      <w:divBdr>
        <w:top w:val="none" w:sz="0" w:space="0" w:color="auto"/>
        <w:left w:val="none" w:sz="0" w:space="0" w:color="auto"/>
        <w:bottom w:val="none" w:sz="0" w:space="0" w:color="auto"/>
        <w:right w:val="none" w:sz="0" w:space="0" w:color="auto"/>
      </w:divBdr>
    </w:div>
    <w:div w:id="322588033">
      <w:bodyDiv w:val="1"/>
      <w:marLeft w:val="0"/>
      <w:marRight w:val="0"/>
      <w:marTop w:val="0"/>
      <w:marBottom w:val="0"/>
      <w:divBdr>
        <w:top w:val="none" w:sz="0" w:space="0" w:color="auto"/>
        <w:left w:val="none" w:sz="0" w:space="0" w:color="auto"/>
        <w:bottom w:val="none" w:sz="0" w:space="0" w:color="auto"/>
        <w:right w:val="none" w:sz="0" w:space="0" w:color="auto"/>
      </w:divBdr>
    </w:div>
    <w:div w:id="335956952">
      <w:bodyDiv w:val="1"/>
      <w:marLeft w:val="0"/>
      <w:marRight w:val="0"/>
      <w:marTop w:val="0"/>
      <w:marBottom w:val="0"/>
      <w:divBdr>
        <w:top w:val="none" w:sz="0" w:space="0" w:color="auto"/>
        <w:left w:val="none" w:sz="0" w:space="0" w:color="auto"/>
        <w:bottom w:val="none" w:sz="0" w:space="0" w:color="auto"/>
        <w:right w:val="none" w:sz="0" w:space="0" w:color="auto"/>
      </w:divBdr>
    </w:div>
    <w:div w:id="467625702">
      <w:bodyDiv w:val="1"/>
      <w:marLeft w:val="0"/>
      <w:marRight w:val="0"/>
      <w:marTop w:val="0"/>
      <w:marBottom w:val="0"/>
      <w:divBdr>
        <w:top w:val="none" w:sz="0" w:space="0" w:color="auto"/>
        <w:left w:val="none" w:sz="0" w:space="0" w:color="auto"/>
        <w:bottom w:val="none" w:sz="0" w:space="0" w:color="auto"/>
        <w:right w:val="none" w:sz="0" w:space="0" w:color="auto"/>
      </w:divBdr>
    </w:div>
    <w:div w:id="488980671">
      <w:bodyDiv w:val="1"/>
      <w:marLeft w:val="0"/>
      <w:marRight w:val="0"/>
      <w:marTop w:val="0"/>
      <w:marBottom w:val="0"/>
      <w:divBdr>
        <w:top w:val="none" w:sz="0" w:space="0" w:color="auto"/>
        <w:left w:val="none" w:sz="0" w:space="0" w:color="auto"/>
        <w:bottom w:val="none" w:sz="0" w:space="0" w:color="auto"/>
        <w:right w:val="none" w:sz="0" w:space="0" w:color="auto"/>
      </w:divBdr>
    </w:div>
    <w:div w:id="540090980">
      <w:bodyDiv w:val="1"/>
      <w:marLeft w:val="0"/>
      <w:marRight w:val="0"/>
      <w:marTop w:val="0"/>
      <w:marBottom w:val="0"/>
      <w:divBdr>
        <w:top w:val="none" w:sz="0" w:space="0" w:color="auto"/>
        <w:left w:val="none" w:sz="0" w:space="0" w:color="auto"/>
        <w:bottom w:val="none" w:sz="0" w:space="0" w:color="auto"/>
        <w:right w:val="none" w:sz="0" w:space="0" w:color="auto"/>
      </w:divBdr>
    </w:div>
    <w:div w:id="540674266">
      <w:bodyDiv w:val="1"/>
      <w:marLeft w:val="0"/>
      <w:marRight w:val="0"/>
      <w:marTop w:val="0"/>
      <w:marBottom w:val="0"/>
      <w:divBdr>
        <w:top w:val="none" w:sz="0" w:space="0" w:color="auto"/>
        <w:left w:val="none" w:sz="0" w:space="0" w:color="auto"/>
        <w:bottom w:val="none" w:sz="0" w:space="0" w:color="auto"/>
        <w:right w:val="none" w:sz="0" w:space="0" w:color="auto"/>
      </w:divBdr>
    </w:div>
    <w:div w:id="581648684">
      <w:bodyDiv w:val="1"/>
      <w:marLeft w:val="0"/>
      <w:marRight w:val="0"/>
      <w:marTop w:val="0"/>
      <w:marBottom w:val="0"/>
      <w:divBdr>
        <w:top w:val="none" w:sz="0" w:space="0" w:color="auto"/>
        <w:left w:val="none" w:sz="0" w:space="0" w:color="auto"/>
        <w:bottom w:val="none" w:sz="0" w:space="0" w:color="auto"/>
        <w:right w:val="none" w:sz="0" w:space="0" w:color="auto"/>
      </w:divBdr>
    </w:div>
    <w:div w:id="637034564">
      <w:bodyDiv w:val="1"/>
      <w:marLeft w:val="0"/>
      <w:marRight w:val="0"/>
      <w:marTop w:val="0"/>
      <w:marBottom w:val="0"/>
      <w:divBdr>
        <w:top w:val="none" w:sz="0" w:space="0" w:color="auto"/>
        <w:left w:val="none" w:sz="0" w:space="0" w:color="auto"/>
        <w:bottom w:val="none" w:sz="0" w:space="0" w:color="auto"/>
        <w:right w:val="none" w:sz="0" w:space="0" w:color="auto"/>
      </w:divBdr>
    </w:div>
    <w:div w:id="643435836">
      <w:bodyDiv w:val="1"/>
      <w:marLeft w:val="0"/>
      <w:marRight w:val="0"/>
      <w:marTop w:val="0"/>
      <w:marBottom w:val="0"/>
      <w:divBdr>
        <w:top w:val="none" w:sz="0" w:space="0" w:color="auto"/>
        <w:left w:val="none" w:sz="0" w:space="0" w:color="auto"/>
        <w:bottom w:val="none" w:sz="0" w:space="0" w:color="auto"/>
        <w:right w:val="none" w:sz="0" w:space="0" w:color="auto"/>
      </w:divBdr>
    </w:div>
    <w:div w:id="644898736">
      <w:bodyDiv w:val="1"/>
      <w:marLeft w:val="0"/>
      <w:marRight w:val="0"/>
      <w:marTop w:val="0"/>
      <w:marBottom w:val="0"/>
      <w:divBdr>
        <w:top w:val="none" w:sz="0" w:space="0" w:color="auto"/>
        <w:left w:val="none" w:sz="0" w:space="0" w:color="auto"/>
        <w:bottom w:val="none" w:sz="0" w:space="0" w:color="auto"/>
        <w:right w:val="none" w:sz="0" w:space="0" w:color="auto"/>
      </w:divBdr>
    </w:div>
    <w:div w:id="669875025">
      <w:bodyDiv w:val="1"/>
      <w:marLeft w:val="0"/>
      <w:marRight w:val="0"/>
      <w:marTop w:val="0"/>
      <w:marBottom w:val="0"/>
      <w:divBdr>
        <w:top w:val="none" w:sz="0" w:space="0" w:color="auto"/>
        <w:left w:val="none" w:sz="0" w:space="0" w:color="auto"/>
        <w:bottom w:val="none" w:sz="0" w:space="0" w:color="auto"/>
        <w:right w:val="none" w:sz="0" w:space="0" w:color="auto"/>
      </w:divBdr>
    </w:div>
    <w:div w:id="690760674">
      <w:bodyDiv w:val="1"/>
      <w:marLeft w:val="0"/>
      <w:marRight w:val="0"/>
      <w:marTop w:val="0"/>
      <w:marBottom w:val="0"/>
      <w:divBdr>
        <w:top w:val="none" w:sz="0" w:space="0" w:color="auto"/>
        <w:left w:val="none" w:sz="0" w:space="0" w:color="auto"/>
        <w:bottom w:val="none" w:sz="0" w:space="0" w:color="auto"/>
        <w:right w:val="none" w:sz="0" w:space="0" w:color="auto"/>
      </w:divBdr>
    </w:div>
    <w:div w:id="803351051">
      <w:bodyDiv w:val="1"/>
      <w:marLeft w:val="0"/>
      <w:marRight w:val="0"/>
      <w:marTop w:val="0"/>
      <w:marBottom w:val="0"/>
      <w:divBdr>
        <w:top w:val="none" w:sz="0" w:space="0" w:color="auto"/>
        <w:left w:val="none" w:sz="0" w:space="0" w:color="auto"/>
        <w:bottom w:val="none" w:sz="0" w:space="0" w:color="auto"/>
        <w:right w:val="none" w:sz="0" w:space="0" w:color="auto"/>
      </w:divBdr>
    </w:div>
    <w:div w:id="844326027">
      <w:bodyDiv w:val="1"/>
      <w:marLeft w:val="0"/>
      <w:marRight w:val="0"/>
      <w:marTop w:val="0"/>
      <w:marBottom w:val="0"/>
      <w:divBdr>
        <w:top w:val="none" w:sz="0" w:space="0" w:color="auto"/>
        <w:left w:val="none" w:sz="0" w:space="0" w:color="auto"/>
        <w:bottom w:val="none" w:sz="0" w:space="0" w:color="auto"/>
        <w:right w:val="none" w:sz="0" w:space="0" w:color="auto"/>
      </w:divBdr>
    </w:div>
    <w:div w:id="889878786">
      <w:bodyDiv w:val="1"/>
      <w:marLeft w:val="0"/>
      <w:marRight w:val="0"/>
      <w:marTop w:val="0"/>
      <w:marBottom w:val="0"/>
      <w:divBdr>
        <w:top w:val="none" w:sz="0" w:space="0" w:color="auto"/>
        <w:left w:val="none" w:sz="0" w:space="0" w:color="auto"/>
        <w:bottom w:val="none" w:sz="0" w:space="0" w:color="auto"/>
        <w:right w:val="none" w:sz="0" w:space="0" w:color="auto"/>
      </w:divBdr>
    </w:div>
    <w:div w:id="891959416">
      <w:bodyDiv w:val="1"/>
      <w:marLeft w:val="0"/>
      <w:marRight w:val="0"/>
      <w:marTop w:val="0"/>
      <w:marBottom w:val="0"/>
      <w:divBdr>
        <w:top w:val="none" w:sz="0" w:space="0" w:color="auto"/>
        <w:left w:val="none" w:sz="0" w:space="0" w:color="auto"/>
        <w:bottom w:val="none" w:sz="0" w:space="0" w:color="auto"/>
        <w:right w:val="none" w:sz="0" w:space="0" w:color="auto"/>
      </w:divBdr>
    </w:div>
    <w:div w:id="937298223">
      <w:bodyDiv w:val="1"/>
      <w:marLeft w:val="0"/>
      <w:marRight w:val="0"/>
      <w:marTop w:val="0"/>
      <w:marBottom w:val="0"/>
      <w:divBdr>
        <w:top w:val="none" w:sz="0" w:space="0" w:color="auto"/>
        <w:left w:val="none" w:sz="0" w:space="0" w:color="auto"/>
        <w:bottom w:val="none" w:sz="0" w:space="0" w:color="auto"/>
        <w:right w:val="none" w:sz="0" w:space="0" w:color="auto"/>
      </w:divBdr>
    </w:div>
    <w:div w:id="961696051">
      <w:bodyDiv w:val="1"/>
      <w:marLeft w:val="0"/>
      <w:marRight w:val="0"/>
      <w:marTop w:val="0"/>
      <w:marBottom w:val="0"/>
      <w:divBdr>
        <w:top w:val="none" w:sz="0" w:space="0" w:color="auto"/>
        <w:left w:val="none" w:sz="0" w:space="0" w:color="auto"/>
        <w:bottom w:val="none" w:sz="0" w:space="0" w:color="auto"/>
        <w:right w:val="none" w:sz="0" w:space="0" w:color="auto"/>
      </w:divBdr>
    </w:div>
    <w:div w:id="1041394005">
      <w:bodyDiv w:val="1"/>
      <w:marLeft w:val="0"/>
      <w:marRight w:val="0"/>
      <w:marTop w:val="0"/>
      <w:marBottom w:val="0"/>
      <w:divBdr>
        <w:top w:val="none" w:sz="0" w:space="0" w:color="auto"/>
        <w:left w:val="none" w:sz="0" w:space="0" w:color="auto"/>
        <w:bottom w:val="none" w:sz="0" w:space="0" w:color="auto"/>
        <w:right w:val="none" w:sz="0" w:space="0" w:color="auto"/>
      </w:divBdr>
    </w:div>
    <w:div w:id="1072461236">
      <w:bodyDiv w:val="1"/>
      <w:marLeft w:val="0"/>
      <w:marRight w:val="0"/>
      <w:marTop w:val="0"/>
      <w:marBottom w:val="0"/>
      <w:divBdr>
        <w:top w:val="none" w:sz="0" w:space="0" w:color="auto"/>
        <w:left w:val="none" w:sz="0" w:space="0" w:color="auto"/>
        <w:bottom w:val="none" w:sz="0" w:space="0" w:color="auto"/>
        <w:right w:val="none" w:sz="0" w:space="0" w:color="auto"/>
      </w:divBdr>
    </w:div>
    <w:div w:id="1162966178">
      <w:bodyDiv w:val="1"/>
      <w:marLeft w:val="0"/>
      <w:marRight w:val="0"/>
      <w:marTop w:val="0"/>
      <w:marBottom w:val="0"/>
      <w:divBdr>
        <w:top w:val="none" w:sz="0" w:space="0" w:color="auto"/>
        <w:left w:val="none" w:sz="0" w:space="0" w:color="auto"/>
        <w:bottom w:val="none" w:sz="0" w:space="0" w:color="auto"/>
        <w:right w:val="none" w:sz="0" w:space="0" w:color="auto"/>
      </w:divBdr>
    </w:div>
    <w:div w:id="1201285929">
      <w:bodyDiv w:val="1"/>
      <w:marLeft w:val="0"/>
      <w:marRight w:val="0"/>
      <w:marTop w:val="0"/>
      <w:marBottom w:val="0"/>
      <w:divBdr>
        <w:top w:val="none" w:sz="0" w:space="0" w:color="auto"/>
        <w:left w:val="none" w:sz="0" w:space="0" w:color="auto"/>
        <w:bottom w:val="none" w:sz="0" w:space="0" w:color="auto"/>
        <w:right w:val="none" w:sz="0" w:space="0" w:color="auto"/>
      </w:divBdr>
      <w:divsChild>
        <w:div w:id="723219499">
          <w:marLeft w:val="0"/>
          <w:marRight w:val="0"/>
          <w:marTop w:val="0"/>
          <w:marBottom w:val="0"/>
          <w:divBdr>
            <w:top w:val="none" w:sz="0" w:space="0" w:color="auto"/>
            <w:left w:val="none" w:sz="0" w:space="0" w:color="auto"/>
            <w:bottom w:val="none" w:sz="0" w:space="0" w:color="auto"/>
            <w:right w:val="none" w:sz="0" w:space="0" w:color="auto"/>
          </w:divBdr>
          <w:divsChild>
            <w:div w:id="129785643">
              <w:marLeft w:val="0"/>
              <w:marRight w:val="0"/>
              <w:marTop w:val="0"/>
              <w:marBottom w:val="0"/>
              <w:divBdr>
                <w:top w:val="none" w:sz="0" w:space="0" w:color="auto"/>
                <w:left w:val="none" w:sz="0" w:space="0" w:color="auto"/>
                <w:bottom w:val="none" w:sz="0" w:space="0" w:color="auto"/>
                <w:right w:val="none" w:sz="0" w:space="0" w:color="auto"/>
              </w:divBdr>
            </w:div>
            <w:div w:id="218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596">
      <w:bodyDiv w:val="1"/>
      <w:marLeft w:val="0"/>
      <w:marRight w:val="0"/>
      <w:marTop w:val="0"/>
      <w:marBottom w:val="0"/>
      <w:divBdr>
        <w:top w:val="none" w:sz="0" w:space="0" w:color="auto"/>
        <w:left w:val="none" w:sz="0" w:space="0" w:color="auto"/>
        <w:bottom w:val="none" w:sz="0" w:space="0" w:color="auto"/>
        <w:right w:val="none" w:sz="0" w:space="0" w:color="auto"/>
      </w:divBdr>
    </w:div>
    <w:div w:id="1228765371">
      <w:bodyDiv w:val="1"/>
      <w:marLeft w:val="0"/>
      <w:marRight w:val="0"/>
      <w:marTop w:val="0"/>
      <w:marBottom w:val="0"/>
      <w:divBdr>
        <w:top w:val="none" w:sz="0" w:space="0" w:color="auto"/>
        <w:left w:val="none" w:sz="0" w:space="0" w:color="auto"/>
        <w:bottom w:val="none" w:sz="0" w:space="0" w:color="auto"/>
        <w:right w:val="none" w:sz="0" w:space="0" w:color="auto"/>
      </w:divBdr>
    </w:div>
    <w:div w:id="1236934341">
      <w:bodyDiv w:val="1"/>
      <w:marLeft w:val="0"/>
      <w:marRight w:val="0"/>
      <w:marTop w:val="0"/>
      <w:marBottom w:val="0"/>
      <w:divBdr>
        <w:top w:val="none" w:sz="0" w:space="0" w:color="auto"/>
        <w:left w:val="none" w:sz="0" w:space="0" w:color="auto"/>
        <w:bottom w:val="none" w:sz="0" w:space="0" w:color="auto"/>
        <w:right w:val="none" w:sz="0" w:space="0" w:color="auto"/>
      </w:divBdr>
    </w:div>
    <w:div w:id="1254511957">
      <w:bodyDiv w:val="1"/>
      <w:marLeft w:val="0"/>
      <w:marRight w:val="0"/>
      <w:marTop w:val="0"/>
      <w:marBottom w:val="0"/>
      <w:divBdr>
        <w:top w:val="none" w:sz="0" w:space="0" w:color="auto"/>
        <w:left w:val="none" w:sz="0" w:space="0" w:color="auto"/>
        <w:bottom w:val="none" w:sz="0" w:space="0" w:color="auto"/>
        <w:right w:val="none" w:sz="0" w:space="0" w:color="auto"/>
      </w:divBdr>
    </w:div>
    <w:div w:id="1256131983">
      <w:bodyDiv w:val="1"/>
      <w:marLeft w:val="0"/>
      <w:marRight w:val="0"/>
      <w:marTop w:val="0"/>
      <w:marBottom w:val="0"/>
      <w:divBdr>
        <w:top w:val="none" w:sz="0" w:space="0" w:color="auto"/>
        <w:left w:val="none" w:sz="0" w:space="0" w:color="auto"/>
        <w:bottom w:val="none" w:sz="0" w:space="0" w:color="auto"/>
        <w:right w:val="none" w:sz="0" w:space="0" w:color="auto"/>
      </w:divBdr>
    </w:div>
    <w:div w:id="1273973479">
      <w:bodyDiv w:val="1"/>
      <w:marLeft w:val="0"/>
      <w:marRight w:val="0"/>
      <w:marTop w:val="0"/>
      <w:marBottom w:val="0"/>
      <w:divBdr>
        <w:top w:val="none" w:sz="0" w:space="0" w:color="auto"/>
        <w:left w:val="none" w:sz="0" w:space="0" w:color="auto"/>
        <w:bottom w:val="none" w:sz="0" w:space="0" w:color="auto"/>
        <w:right w:val="none" w:sz="0" w:space="0" w:color="auto"/>
      </w:divBdr>
    </w:div>
    <w:div w:id="1314678226">
      <w:bodyDiv w:val="1"/>
      <w:marLeft w:val="0"/>
      <w:marRight w:val="0"/>
      <w:marTop w:val="0"/>
      <w:marBottom w:val="0"/>
      <w:divBdr>
        <w:top w:val="none" w:sz="0" w:space="0" w:color="auto"/>
        <w:left w:val="none" w:sz="0" w:space="0" w:color="auto"/>
        <w:bottom w:val="none" w:sz="0" w:space="0" w:color="auto"/>
        <w:right w:val="none" w:sz="0" w:space="0" w:color="auto"/>
      </w:divBdr>
    </w:div>
    <w:div w:id="1319071568">
      <w:bodyDiv w:val="1"/>
      <w:marLeft w:val="0"/>
      <w:marRight w:val="0"/>
      <w:marTop w:val="0"/>
      <w:marBottom w:val="0"/>
      <w:divBdr>
        <w:top w:val="none" w:sz="0" w:space="0" w:color="auto"/>
        <w:left w:val="none" w:sz="0" w:space="0" w:color="auto"/>
        <w:bottom w:val="none" w:sz="0" w:space="0" w:color="auto"/>
        <w:right w:val="none" w:sz="0" w:space="0" w:color="auto"/>
      </w:divBdr>
    </w:div>
    <w:div w:id="1332372791">
      <w:bodyDiv w:val="1"/>
      <w:marLeft w:val="0"/>
      <w:marRight w:val="0"/>
      <w:marTop w:val="0"/>
      <w:marBottom w:val="0"/>
      <w:divBdr>
        <w:top w:val="none" w:sz="0" w:space="0" w:color="auto"/>
        <w:left w:val="none" w:sz="0" w:space="0" w:color="auto"/>
        <w:bottom w:val="none" w:sz="0" w:space="0" w:color="auto"/>
        <w:right w:val="none" w:sz="0" w:space="0" w:color="auto"/>
      </w:divBdr>
    </w:div>
    <w:div w:id="1351949904">
      <w:bodyDiv w:val="1"/>
      <w:marLeft w:val="0"/>
      <w:marRight w:val="0"/>
      <w:marTop w:val="0"/>
      <w:marBottom w:val="0"/>
      <w:divBdr>
        <w:top w:val="none" w:sz="0" w:space="0" w:color="auto"/>
        <w:left w:val="none" w:sz="0" w:space="0" w:color="auto"/>
        <w:bottom w:val="none" w:sz="0" w:space="0" w:color="auto"/>
        <w:right w:val="none" w:sz="0" w:space="0" w:color="auto"/>
      </w:divBdr>
    </w:div>
    <w:div w:id="1353872931">
      <w:bodyDiv w:val="1"/>
      <w:marLeft w:val="0"/>
      <w:marRight w:val="0"/>
      <w:marTop w:val="0"/>
      <w:marBottom w:val="0"/>
      <w:divBdr>
        <w:top w:val="none" w:sz="0" w:space="0" w:color="auto"/>
        <w:left w:val="none" w:sz="0" w:space="0" w:color="auto"/>
        <w:bottom w:val="none" w:sz="0" w:space="0" w:color="auto"/>
        <w:right w:val="none" w:sz="0" w:space="0" w:color="auto"/>
      </w:divBdr>
      <w:divsChild>
        <w:div w:id="140199453">
          <w:marLeft w:val="0"/>
          <w:marRight w:val="0"/>
          <w:marTop w:val="0"/>
          <w:marBottom w:val="0"/>
          <w:divBdr>
            <w:top w:val="none" w:sz="0" w:space="0" w:color="auto"/>
            <w:left w:val="none" w:sz="0" w:space="0" w:color="auto"/>
            <w:bottom w:val="none" w:sz="0" w:space="0" w:color="auto"/>
            <w:right w:val="none" w:sz="0" w:space="0" w:color="auto"/>
          </w:divBdr>
          <w:divsChild>
            <w:div w:id="1673950660">
              <w:marLeft w:val="0"/>
              <w:marRight w:val="0"/>
              <w:marTop w:val="0"/>
              <w:marBottom w:val="0"/>
              <w:divBdr>
                <w:top w:val="none" w:sz="0" w:space="0" w:color="auto"/>
                <w:left w:val="none" w:sz="0" w:space="0" w:color="auto"/>
                <w:bottom w:val="none" w:sz="0" w:space="0" w:color="auto"/>
                <w:right w:val="none" w:sz="0" w:space="0" w:color="auto"/>
              </w:divBdr>
              <w:divsChild>
                <w:div w:id="165755650">
                  <w:marLeft w:val="0"/>
                  <w:marRight w:val="0"/>
                  <w:marTop w:val="0"/>
                  <w:marBottom w:val="0"/>
                  <w:divBdr>
                    <w:top w:val="none" w:sz="0" w:space="0" w:color="auto"/>
                    <w:left w:val="none" w:sz="0" w:space="0" w:color="auto"/>
                    <w:bottom w:val="none" w:sz="0" w:space="0" w:color="auto"/>
                    <w:right w:val="none" w:sz="0" w:space="0" w:color="auto"/>
                  </w:divBdr>
                  <w:divsChild>
                    <w:div w:id="747701198">
                      <w:marLeft w:val="0"/>
                      <w:marRight w:val="0"/>
                      <w:marTop w:val="0"/>
                      <w:marBottom w:val="0"/>
                      <w:divBdr>
                        <w:top w:val="none" w:sz="0" w:space="0" w:color="auto"/>
                        <w:left w:val="none" w:sz="0" w:space="0" w:color="auto"/>
                        <w:bottom w:val="none" w:sz="0" w:space="0" w:color="auto"/>
                        <w:right w:val="none" w:sz="0" w:space="0" w:color="auto"/>
                      </w:divBdr>
                      <w:divsChild>
                        <w:div w:id="1759448923">
                          <w:marLeft w:val="0"/>
                          <w:marRight w:val="0"/>
                          <w:marTop w:val="0"/>
                          <w:marBottom w:val="0"/>
                          <w:divBdr>
                            <w:top w:val="none" w:sz="0" w:space="0" w:color="auto"/>
                            <w:left w:val="none" w:sz="0" w:space="0" w:color="auto"/>
                            <w:bottom w:val="none" w:sz="0" w:space="0" w:color="auto"/>
                            <w:right w:val="none" w:sz="0" w:space="0" w:color="auto"/>
                          </w:divBdr>
                          <w:divsChild>
                            <w:div w:id="1027290702">
                              <w:marLeft w:val="0"/>
                              <w:marRight w:val="0"/>
                              <w:marTop w:val="0"/>
                              <w:marBottom w:val="0"/>
                              <w:divBdr>
                                <w:top w:val="none" w:sz="0" w:space="0" w:color="auto"/>
                                <w:left w:val="none" w:sz="0" w:space="0" w:color="auto"/>
                                <w:bottom w:val="none" w:sz="0" w:space="0" w:color="auto"/>
                                <w:right w:val="none" w:sz="0" w:space="0" w:color="auto"/>
                              </w:divBdr>
                              <w:divsChild>
                                <w:div w:id="1239901226">
                                  <w:marLeft w:val="0"/>
                                  <w:marRight w:val="0"/>
                                  <w:marTop w:val="0"/>
                                  <w:marBottom w:val="0"/>
                                  <w:divBdr>
                                    <w:top w:val="none" w:sz="0" w:space="0" w:color="auto"/>
                                    <w:left w:val="none" w:sz="0" w:space="0" w:color="auto"/>
                                    <w:bottom w:val="none" w:sz="0" w:space="0" w:color="auto"/>
                                    <w:right w:val="none" w:sz="0" w:space="0" w:color="auto"/>
                                  </w:divBdr>
                                  <w:divsChild>
                                    <w:div w:id="549727851">
                                      <w:marLeft w:val="0"/>
                                      <w:marRight w:val="0"/>
                                      <w:marTop w:val="0"/>
                                      <w:marBottom w:val="0"/>
                                      <w:divBdr>
                                        <w:top w:val="none" w:sz="0" w:space="0" w:color="auto"/>
                                        <w:left w:val="none" w:sz="0" w:space="0" w:color="auto"/>
                                        <w:bottom w:val="none" w:sz="0" w:space="0" w:color="auto"/>
                                        <w:right w:val="none" w:sz="0" w:space="0" w:color="auto"/>
                                      </w:divBdr>
                                      <w:divsChild>
                                        <w:div w:id="1761560095">
                                          <w:marLeft w:val="0"/>
                                          <w:marRight w:val="0"/>
                                          <w:marTop w:val="0"/>
                                          <w:marBottom w:val="0"/>
                                          <w:divBdr>
                                            <w:top w:val="none" w:sz="0" w:space="0" w:color="auto"/>
                                            <w:left w:val="none" w:sz="0" w:space="0" w:color="auto"/>
                                            <w:bottom w:val="none" w:sz="0" w:space="0" w:color="auto"/>
                                            <w:right w:val="none" w:sz="0" w:space="0" w:color="auto"/>
                                          </w:divBdr>
                                          <w:divsChild>
                                            <w:div w:id="1141575086">
                                              <w:marLeft w:val="0"/>
                                              <w:marRight w:val="0"/>
                                              <w:marTop w:val="0"/>
                                              <w:marBottom w:val="0"/>
                                              <w:divBdr>
                                                <w:top w:val="none" w:sz="0" w:space="0" w:color="auto"/>
                                                <w:left w:val="none" w:sz="0" w:space="0" w:color="auto"/>
                                                <w:bottom w:val="none" w:sz="0" w:space="0" w:color="auto"/>
                                                <w:right w:val="none" w:sz="0" w:space="0" w:color="auto"/>
                                              </w:divBdr>
                                              <w:divsChild>
                                                <w:div w:id="1789005243">
                                                  <w:marLeft w:val="0"/>
                                                  <w:marRight w:val="0"/>
                                                  <w:marTop w:val="0"/>
                                                  <w:marBottom w:val="0"/>
                                                  <w:divBdr>
                                                    <w:top w:val="none" w:sz="0" w:space="0" w:color="auto"/>
                                                    <w:left w:val="none" w:sz="0" w:space="0" w:color="auto"/>
                                                    <w:bottom w:val="none" w:sz="0" w:space="0" w:color="auto"/>
                                                    <w:right w:val="none" w:sz="0" w:space="0" w:color="auto"/>
                                                  </w:divBdr>
                                                  <w:divsChild>
                                                    <w:div w:id="296035737">
                                                      <w:marLeft w:val="0"/>
                                                      <w:marRight w:val="0"/>
                                                      <w:marTop w:val="0"/>
                                                      <w:marBottom w:val="0"/>
                                                      <w:divBdr>
                                                        <w:top w:val="none" w:sz="0" w:space="0" w:color="auto"/>
                                                        <w:left w:val="none" w:sz="0" w:space="0" w:color="auto"/>
                                                        <w:bottom w:val="none" w:sz="0" w:space="0" w:color="auto"/>
                                                        <w:right w:val="none" w:sz="0" w:space="0" w:color="auto"/>
                                                      </w:divBdr>
                                                      <w:divsChild>
                                                        <w:div w:id="499275566">
                                                          <w:marLeft w:val="0"/>
                                                          <w:marRight w:val="0"/>
                                                          <w:marTop w:val="0"/>
                                                          <w:marBottom w:val="0"/>
                                                          <w:divBdr>
                                                            <w:top w:val="none" w:sz="0" w:space="0" w:color="auto"/>
                                                            <w:left w:val="none" w:sz="0" w:space="0" w:color="auto"/>
                                                            <w:bottom w:val="none" w:sz="0" w:space="0" w:color="auto"/>
                                                            <w:right w:val="none" w:sz="0" w:space="0" w:color="auto"/>
                                                          </w:divBdr>
                                                          <w:divsChild>
                                                            <w:div w:id="1285962844">
                                                              <w:marLeft w:val="0"/>
                                                              <w:marRight w:val="0"/>
                                                              <w:marTop w:val="0"/>
                                                              <w:marBottom w:val="0"/>
                                                              <w:divBdr>
                                                                <w:top w:val="none" w:sz="0" w:space="0" w:color="auto"/>
                                                                <w:left w:val="none" w:sz="0" w:space="0" w:color="auto"/>
                                                                <w:bottom w:val="none" w:sz="0" w:space="0" w:color="auto"/>
                                                                <w:right w:val="none" w:sz="0" w:space="0" w:color="auto"/>
                                                              </w:divBdr>
                                                              <w:divsChild>
                                                                <w:div w:id="2024238450">
                                                                  <w:marLeft w:val="0"/>
                                                                  <w:marRight w:val="0"/>
                                                                  <w:marTop w:val="0"/>
                                                                  <w:marBottom w:val="0"/>
                                                                  <w:divBdr>
                                                                    <w:top w:val="none" w:sz="0" w:space="0" w:color="auto"/>
                                                                    <w:left w:val="none" w:sz="0" w:space="0" w:color="auto"/>
                                                                    <w:bottom w:val="none" w:sz="0" w:space="0" w:color="auto"/>
                                                                    <w:right w:val="none" w:sz="0" w:space="0" w:color="auto"/>
                                                                  </w:divBdr>
                                                                  <w:divsChild>
                                                                    <w:div w:id="228005079">
                                                                      <w:marLeft w:val="0"/>
                                                                      <w:marRight w:val="0"/>
                                                                      <w:marTop w:val="0"/>
                                                                      <w:marBottom w:val="0"/>
                                                                      <w:divBdr>
                                                                        <w:top w:val="none" w:sz="0" w:space="0" w:color="auto"/>
                                                                        <w:left w:val="none" w:sz="0" w:space="0" w:color="auto"/>
                                                                        <w:bottom w:val="none" w:sz="0" w:space="0" w:color="auto"/>
                                                                        <w:right w:val="none" w:sz="0" w:space="0" w:color="auto"/>
                                                                      </w:divBdr>
                                                                      <w:divsChild>
                                                                        <w:div w:id="1523278837">
                                                                          <w:marLeft w:val="0"/>
                                                                          <w:marRight w:val="0"/>
                                                                          <w:marTop w:val="0"/>
                                                                          <w:marBottom w:val="0"/>
                                                                          <w:divBdr>
                                                                            <w:top w:val="none" w:sz="0" w:space="0" w:color="auto"/>
                                                                            <w:left w:val="none" w:sz="0" w:space="0" w:color="auto"/>
                                                                            <w:bottom w:val="none" w:sz="0" w:space="0" w:color="auto"/>
                                                                            <w:right w:val="none" w:sz="0" w:space="0" w:color="auto"/>
                                                                          </w:divBdr>
                                                                          <w:divsChild>
                                                                            <w:div w:id="1809011880">
                                                                              <w:marLeft w:val="0"/>
                                                                              <w:marRight w:val="0"/>
                                                                              <w:marTop w:val="0"/>
                                                                              <w:marBottom w:val="0"/>
                                                                              <w:divBdr>
                                                                                <w:top w:val="none" w:sz="0" w:space="0" w:color="auto"/>
                                                                                <w:left w:val="none" w:sz="0" w:space="0" w:color="auto"/>
                                                                                <w:bottom w:val="none" w:sz="0" w:space="0" w:color="auto"/>
                                                                                <w:right w:val="none" w:sz="0" w:space="0" w:color="auto"/>
                                                                              </w:divBdr>
                                                                              <w:divsChild>
                                                                                <w:div w:id="81219012">
                                                                                  <w:marLeft w:val="0"/>
                                                                                  <w:marRight w:val="0"/>
                                                                                  <w:marTop w:val="0"/>
                                                                                  <w:marBottom w:val="0"/>
                                                                                  <w:divBdr>
                                                                                    <w:top w:val="none" w:sz="0" w:space="0" w:color="auto"/>
                                                                                    <w:left w:val="none" w:sz="0" w:space="0" w:color="auto"/>
                                                                                    <w:bottom w:val="none" w:sz="0" w:space="0" w:color="auto"/>
                                                                                    <w:right w:val="none" w:sz="0" w:space="0" w:color="auto"/>
                                                                                  </w:divBdr>
                                                                                  <w:divsChild>
                                                                                    <w:div w:id="213782612">
                                                                                      <w:marLeft w:val="0"/>
                                                                                      <w:marRight w:val="0"/>
                                                                                      <w:marTop w:val="0"/>
                                                                                      <w:marBottom w:val="0"/>
                                                                                      <w:divBdr>
                                                                                        <w:top w:val="none" w:sz="0" w:space="0" w:color="auto"/>
                                                                                        <w:left w:val="none" w:sz="0" w:space="0" w:color="auto"/>
                                                                                        <w:bottom w:val="none" w:sz="0" w:space="0" w:color="auto"/>
                                                                                        <w:right w:val="none" w:sz="0" w:space="0" w:color="auto"/>
                                                                                      </w:divBdr>
                                                                                      <w:divsChild>
                                                                                        <w:div w:id="229536696">
                                                                                          <w:marLeft w:val="0"/>
                                                                                          <w:marRight w:val="0"/>
                                                                                          <w:marTop w:val="0"/>
                                                                                          <w:marBottom w:val="0"/>
                                                                                          <w:divBdr>
                                                                                            <w:top w:val="none" w:sz="0" w:space="0" w:color="auto"/>
                                                                                            <w:left w:val="none" w:sz="0" w:space="0" w:color="auto"/>
                                                                                            <w:bottom w:val="none" w:sz="0" w:space="0" w:color="auto"/>
                                                                                            <w:right w:val="none" w:sz="0" w:space="0" w:color="auto"/>
                                                                                          </w:divBdr>
                                                                                          <w:divsChild>
                                                                                            <w:div w:id="2037347530">
                                                                                              <w:marLeft w:val="0"/>
                                                                                              <w:marRight w:val="0"/>
                                                                                              <w:marTop w:val="0"/>
                                                                                              <w:marBottom w:val="0"/>
                                                                                              <w:divBdr>
                                                                                                <w:top w:val="none" w:sz="0" w:space="0" w:color="auto"/>
                                                                                                <w:left w:val="none" w:sz="0" w:space="0" w:color="auto"/>
                                                                                                <w:bottom w:val="none" w:sz="0" w:space="0" w:color="auto"/>
                                                                                                <w:right w:val="none" w:sz="0" w:space="0" w:color="auto"/>
                                                                                              </w:divBdr>
                                                                                              <w:divsChild>
                                                                                                <w:div w:id="904335784">
                                                                                                  <w:marLeft w:val="0"/>
                                                                                                  <w:marRight w:val="0"/>
                                                                                                  <w:marTop w:val="0"/>
                                                                                                  <w:marBottom w:val="0"/>
                                                                                                  <w:divBdr>
                                                                                                    <w:top w:val="none" w:sz="0" w:space="0" w:color="auto"/>
                                                                                                    <w:left w:val="none" w:sz="0" w:space="0" w:color="auto"/>
                                                                                                    <w:bottom w:val="none" w:sz="0" w:space="0" w:color="auto"/>
                                                                                                    <w:right w:val="none" w:sz="0" w:space="0" w:color="auto"/>
                                                                                                  </w:divBdr>
                                                                                                  <w:divsChild>
                                                                                                    <w:div w:id="736127965">
                                                                                                      <w:marLeft w:val="0"/>
                                                                                                      <w:marRight w:val="0"/>
                                                                                                      <w:marTop w:val="0"/>
                                                                                                      <w:marBottom w:val="0"/>
                                                                                                      <w:divBdr>
                                                                                                        <w:top w:val="none" w:sz="0" w:space="0" w:color="auto"/>
                                                                                                        <w:left w:val="none" w:sz="0" w:space="0" w:color="auto"/>
                                                                                                        <w:bottom w:val="none" w:sz="0" w:space="0" w:color="auto"/>
                                                                                                        <w:right w:val="none" w:sz="0" w:space="0" w:color="auto"/>
                                                                                                      </w:divBdr>
                                                                                                      <w:divsChild>
                                                                                                        <w:div w:id="157965106">
                                                                                                          <w:marLeft w:val="0"/>
                                                                                                          <w:marRight w:val="0"/>
                                                                                                          <w:marTop w:val="0"/>
                                                                                                          <w:marBottom w:val="0"/>
                                                                                                          <w:divBdr>
                                                                                                            <w:top w:val="none" w:sz="0" w:space="0" w:color="auto"/>
                                                                                                            <w:left w:val="none" w:sz="0" w:space="0" w:color="auto"/>
                                                                                                            <w:bottom w:val="none" w:sz="0" w:space="0" w:color="auto"/>
                                                                                                            <w:right w:val="none" w:sz="0" w:space="0" w:color="auto"/>
                                                                                                          </w:divBdr>
                                                                                                          <w:divsChild>
                                                                                                            <w:div w:id="466898042">
                                                                                                              <w:marLeft w:val="0"/>
                                                                                                              <w:marRight w:val="0"/>
                                                                                                              <w:marTop w:val="0"/>
                                                                                                              <w:marBottom w:val="0"/>
                                                                                                              <w:divBdr>
                                                                                                                <w:top w:val="none" w:sz="0" w:space="0" w:color="auto"/>
                                                                                                                <w:left w:val="none" w:sz="0" w:space="0" w:color="auto"/>
                                                                                                                <w:bottom w:val="none" w:sz="0" w:space="0" w:color="auto"/>
                                                                                                                <w:right w:val="none" w:sz="0" w:space="0" w:color="auto"/>
                                                                                                              </w:divBdr>
                                                                                                              <w:divsChild>
                                                                                                                <w:div w:id="552430640">
                                                                                                                  <w:marLeft w:val="0"/>
                                                                                                                  <w:marRight w:val="0"/>
                                                                                                                  <w:marTop w:val="0"/>
                                                                                                                  <w:marBottom w:val="0"/>
                                                                                                                  <w:divBdr>
                                                                                                                    <w:top w:val="none" w:sz="0" w:space="0" w:color="auto"/>
                                                                                                                    <w:left w:val="none" w:sz="0" w:space="0" w:color="auto"/>
                                                                                                                    <w:bottom w:val="none" w:sz="0" w:space="0" w:color="auto"/>
                                                                                                                    <w:right w:val="none" w:sz="0" w:space="0" w:color="auto"/>
                                                                                                                  </w:divBdr>
                                                                                                                  <w:divsChild>
                                                                                                                    <w:div w:id="293098916">
                                                                                                                      <w:marLeft w:val="0"/>
                                                                                                                      <w:marRight w:val="0"/>
                                                                                                                      <w:marTop w:val="0"/>
                                                                                                                      <w:marBottom w:val="0"/>
                                                                                                                      <w:divBdr>
                                                                                                                        <w:top w:val="none" w:sz="0" w:space="0" w:color="auto"/>
                                                                                                                        <w:left w:val="none" w:sz="0" w:space="0" w:color="auto"/>
                                                                                                                        <w:bottom w:val="none" w:sz="0" w:space="0" w:color="auto"/>
                                                                                                                        <w:right w:val="none" w:sz="0" w:space="0" w:color="auto"/>
                                                                                                                      </w:divBdr>
                                                                                                                      <w:divsChild>
                                                                                                                        <w:div w:id="1572154615">
                                                                                                                          <w:marLeft w:val="0"/>
                                                                                                                          <w:marRight w:val="0"/>
                                                                                                                          <w:marTop w:val="0"/>
                                                                                                                          <w:marBottom w:val="0"/>
                                                                                                                          <w:divBdr>
                                                                                                                            <w:top w:val="none" w:sz="0" w:space="0" w:color="auto"/>
                                                                                                                            <w:left w:val="none" w:sz="0" w:space="0" w:color="auto"/>
                                                                                                                            <w:bottom w:val="none" w:sz="0" w:space="0" w:color="auto"/>
                                                                                                                            <w:right w:val="none" w:sz="0" w:space="0" w:color="auto"/>
                                                                                                                          </w:divBdr>
                                                                                                                          <w:divsChild>
                                                                                                                            <w:div w:id="1104569010">
                                                                                                                              <w:marLeft w:val="0"/>
                                                                                                                              <w:marRight w:val="0"/>
                                                                                                                              <w:marTop w:val="0"/>
                                                                                                                              <w:marBottom w:val="0"/>
                                                                                                                              <w:divBdr>
                                                                                                                                <w:top w:val="none" w:sz="0" w:space="0" w:color="auto"/>
                                                                                                                                <w:left w:val="none" w:sz="0" w:space="0" w:color="auto"/>
                                                                                                                                <w:bottom w:val="none" w:sz="0" w:space="0" w:color="auto"/>
                                                                                                                                <w:right w:val="none" w:sz="0" w:space="0" w:color="auto"/>
                                                                                                                              </w:divBdr>
                                                                                                                              <w:divsChild>
                                                                                                                                <w:div w:id="12148619">
                                                                                                                                  <w:marLeft w:val="0"/>
                                                                                                                                  <w:marRight w:val="0"/>
                                                                                                                                  <w:marTop w:val="0"/>
                                                                                                                                  <w:marBottom w:val="0"/>
                                                                                                                                  <w:divBdr>
                                                                                                                                    <w:top w:val="none" w:sz="0" w:space="0" w:color="auto"/>
                                                                                                                                    <w:left w:val="none" w:sz="0" w:space="0" w:color="auto"/>
                                                                                                                                    <w:bottom w:val="none" w:sz="0" w:space="0" w:color="auto"/>
                                                                                                                                    <w:right w:val="none" w:sz="0" w:space="0" w:color="auto"/>
                                                                                                                                  </w:divBdr>
                                                                                                                                </w:div>
                                                                                                                                <w:div w:id="241526110">
                                                                                                                                  <w:marLeft w:val="0"/>
                                                                                                                                  <w:marRight w:val="0"/>
                                                                                                                                  <w:marTop w:val="0"/>
                                                                                                                                  <w:marBottom w:val="0"/>
                                                                                                                                  <w:divBdr>
                                                                                                                                    <w:top w:val="none" w:sz="0" w:space="0" w:color="auto"/>
                                                                                                                                    <w:left w:val="none" w:sz="0" w:space="0" w:color="auto"/>
                                                                                                                                    <w:bottom w:val="none" w:sz="0" w:space="0" w:color="auto"/>
                                                                                                                                    <w:right w:val="none" w:sz="0" w:space="0" w:color="auto"/>
                                                                                                                                  </w:divBdr>
                                                                                                                                </w:div>
                                                                                                                                <w:div w:id="1028291975">
                                                                                                                                  <w:marLeft w:val="0"/>
                                                                                                                                  <w:marRight w:val="0"/>
                                                                                                                                  <w:marTop w:val="0"/>
                                                                                                                                  <w:marBottom w:val="0"/>
                                                                                                                                  <w:divBdr>
                                                                                                                                    <w:top w:val="none" w:sz="0" w:space="0" w:color="auto"/>
                                                                                                                                    <w:left w:val="none" w:sz="0" w:space="0" w:color="auto"/>
                                                                                                                                    <w:bottom w:val="none" w:sz="0" w:space="0" w:color="auto"/>
                                                                                                                                    <w:right w:val="none" w:sz="0" w:space="0" w:color="auto"/>
                                                                                                                                  </w:divBdr>
                                                                                                                                </w:div>
                                                                                                                                <w:div w:id="1144006058">
                                                                                                                                  <w:marLeft w:val="0"/>
                                                                                                                                  <w:marRight w:val="0"/>
                                                                                                                                  <w:marTop w:val="0"/>
                                                                                                                                  <w:marBottom w:val="0"/>
                                                                                                                                  <w:divBdr>
                                                                                                                                    <w:top w:val="none" w:sz="0" w:space="0" w:color="auto"/>
                                                                                                                                    <w:left w:val="none" w:sz="0" w:space="0" w:color="auto"/>
                                                                                                                                    <w:bottom w:val="none" w:sz="0" w:space="0" w:color="auto"/>
                                                                                                                                    <w:right w:val="none" w:sz="0" w:space="0" w:color="auto"/>
                                                                                                                                  </w:divBdr>
                                                                                                                                </w:div>
                                                                                                                                <w:div w:id="18849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101955">
      <w:bodyDiv w:val="1"/>
      <w:marLeft w:val="0"/>
      <w:marRight w:val="0"/>
      <w:marTop w:val="0"/>
      <w:marBottom w:val="0"/>
      <w:divBdr>
        <w:top w:val="none" w:sz="0" w:space="0" w:color="auto"/>
        <w:left w:val="none" w:sz="0" w:space="0" w:color="auto"/>
        <w:bottom w:val="none" w:sz="0" w:space="0" w:color="auto"/>
        <w:right w:val="none" w:sz="0" w:space="0" w:color="auto"/>
      </w:divBdr>
    </w:div>
    <w:div w:id="1397128531">
      <w:bodyDiv w:val="1"/>
      <w:marLeft w:val="0"/>
      <w:marRight w:val="0"/>
      <w:marTop w:val="0"/>
      <w:marBottom w:val="0"/>
      <w:divBdr>
        <w:top w:val="none" w:sz="0" w:space="0" w:color="auto"/>
        <w:left w:val="none" w:sz="0" w:space="0" w:color="auto"/>
        <w:bottom w:val="none" w:sz="0" w:space="0" w:color="auto"/>
        <w:right w:val="none" w:sz="0" w:space="0" w:color="auto"/>
      </w:divBdr>
    </w:div>
    <w:div w:id="1441804087">
      <w:bodyDiv w:val="1"/>
      <w:marLeft w:val="0"/>
      <w:marRight w:val="0"/>
      <w:marTop w:val="0"/>
      <w:marBottom w:val="0"/>
      <w:divBdr>
        <w:top w:val="none" w:sz="0" w:space="0" w:color="auto"/>
        <w:left w:val="none" w:sz="0" w:space="0" w:color="auto"/>
        <w:bottom w:val="none" w:sz="0" w:space="0" w:color="auto"/>
        <w:right w:val="none" w:sz="0" w:space="0" w:color="auto"/>
      </w:divBdr>
    </w:div>
    <w:div w:id="1456290713">
      <w:bodyDiv w:val="1"/>
      <w:marLeft w:val="0"/>
      <w:marRight w:val="0"/>
      <w:marTop w:val="0"/>
      <w:marBottom w:val="0"/>
      <w:divBdr>
        <w:top w:val="none" w:sz="0" w:space="0" w:color="auto"/>
        <w:left w:val="none" w:sz="0" w:space="0" w:color="auto"/>
        <w:bottom w:val="none" w:sz="0" w:space="0" w:color="auto"/>
        <w:right w:val="none" w:sz="0" w:space="0" w:color="auto"/>
      </w:divBdr>
    </w:div>
    <w:div w:id="1466507915">
      <w:bodyDiv w:val="1"/>
      <w:marLeft w:val="0"/>
      <w:marRight w:val="0"/>
      <w:marTop w:val="0"/>
      <w:marBottom w:val="0"/>
      <w:divBdr>
        <w:top w:val="none" w:sz="0" w:space="0" w:color="auto"/>
        <w:left w:val="none" w:sz="0" w:space="0" w:color="auto"/>
        <w:bottom w:val="none" w:sz="0" w:space="0" w:color="auto"/>
        <w:right w:val="none" w:sz="0" w:space="0" w:color="auto"/>
      </w:divBdr>
    </w:div>
    <w:div w:id="1469854430">
      <w:bodyDiv w:val="1"/>
      <w:marLeft w:val="0"/>
      <w:marRight w:val="0"/>
      <w:marTop w:val="0"/>
      <w:marBottom w:val="0"/>
      <w:divBdr>
        <w:top w:val="none" w:sz="0" w:space="0" w:color="auto"/>
        <w:left w:val="none" w:sz="0" w:space="0" w:color="auto"/>
        <w:bottom w:val="none" w:sz="0" w:space="0" w:color="auto"/>
        <w:right w:val="none" w:sz="0" w:space="0" w:color="auto"/>
      </w:divBdr>
    </w:div>
    <w:div w:id="1474761834">
      <w:bodyDiv w:val="1"/>
      <w:marLeft w:val="0"/>
      <w:marRight w:val="0"/>
      <w:marTop w:val="0"/>
      <w:marBottom w:val="0"/>
      <w:divBdr>
        <w:top w:val="none" w:sz="0" w:space="0" w:color="auto"/>
        <w:left w:val="none" w:sz="0" w:space="0" w:color="auto"/>
        <w:bottom w:val="none" w:sz="0" w:space="0" w:color="auto"/>
        <w:right w:val="none" w:sz="0" w:space="0" w:color="auto"/>
      </w:divBdr>
    </w:div>
    <w:div w:id="1506435233">
      <w:bodyDiv w:val="1"/>
      <w:marLeft w:val="0"/>
      <w:marRight w:val="0"/>
      <w:marTop w:val="0"/>
      <w:marBottom w:val="0"/>
      <w:divBdr>
        <w:top w:val="none" w:sz="0" w:space="0" w:color="auto"/>
        <w:left w:val="none" w:sz="0" w:space="0" w:color="auto"/>
        <w:bottom w:val="none" w:sz="0" w:space="0" w:color="auto"/>
        <w:right w:val="none" w:sz="0" w:space="0" w:color="auto"/>
      </w:divBdr>
    </w:div>
    <w:div w:id="1539466145">
      <w:bodyDiv w:val="1"/>
      <w:marLeft w:val="0"/>
      <w:marRight w:val="0"/>
      <w:marTop w:val="0"/>
      <w:marBottom w:val="0"/>
      <w:divBdr>
        <w:top w:val="none" w:sz="0" w:space="0" w:color="auto"/>
        <w:left w:val="none" w:sz="0" w:space="0" w:color="auto"/>
        <w:bottom w:val="none" w:sz="0" w:space="0" w:color="auto"/>
        <w:right w:val="none" w:sz="0" w:space="0" w:color="auto"/>
      </w:divBdr>
    </w:div>
    <w:div w:id="1580746875">
      <w:bodyDiv w:val="1"/>
      <w:marLeft w:val="0"/>
      <w:marRight w:val="0"/>
      <w:marTop w:val="0"/>
      <w:marBottom w:val="0"/>
      <w:divBdr>
        <w:top w:val="none" w:sz="0" w:space="0" w:color="auto"/>
        <w:left w:val="none" w:sz="0" w:space="0" w:color="auto"/>
        <w:bottom w:val="none" w:sz="0" w:space="0" w:color="auto"/>
        <w:right w:val="none" w:sz="0" w:space="0" w:color="auto"/>
      </w:divBdr>
    </w:div>
    <w:div w:id="1636789388">
      <w:bodyDiv w:val="1"/>
      <w:marLeft w:val="0"/>
      <w:marRight w:val="0"/>
      <w:marTop w:val="0"/>
      <w:marBottom w:val="0"/>
      <w:divBdr>
        <w:top w:val="none" w:sz="0" w:space="0" w:color="auto"/>
        <w:left w:val="none" w:sz="0" w:space="0" w:color="auto"/>
        <w:bottom w:val="none" w:sz="0" w:space="0" w:color="auto"/>
        <w:right w:val="none" w:sz="0" w:space="0" w:color="auto"/>
      </w:divBdr>
    </w:div>
    <w:div w:id="1664090761">
      <w:bodyDiv w:val="1"/>
      <w:marLeft w:val="0"/>
      <w:marRight w:val="0"/>
      <w:marTop w:val="0"/>
      <w:marBottom w:val="0"/>
      <w:divBdr>
        <w:top w:val="none" w:sz="0" w:space="0" w:color="auto"/>
        <w:left w:val="none" w:sz="0" w:space="0" w:color="auto"/>
        <w:bottom w:val="none" w:sz="0" w:space="0" w:color="auto"/>
        <w:right w:val="none" w:sz="0" w:space="0" w:color="auto"/>
      </w:divBdr>
    </w:div>
    <w:div w:id="1724675482">
      <w:bodyDiv w:val="1"/>
      <w:marLeft w:val="0"/>
      <w:marRight w:val="0"/>
      <w:marTop w:val="0"/>
      <w:marBottom w:val="0"/>
      <w:divBdr>
        <w:top w:val="none" w:sz="0" w:space="0" w:color="auto"/>
        <w:left w:val="none" w:sz="0" w:space="0" w:color="auto"/>
        <w:bottom w:val="none" w:sz="0" w:space="0" w:color="auto"/>
        <w:right w:val="none" w:sz="0" w:space="0" w:color="auto"/>
      </w:divBdr>
    </w:div>
    <w:div w:id="1732801764">
      <w:bodyDiv w:val="1"/>
      <w:marLeft w:val="0"/>
      <w:marRight w:val="0"/>
      <w:marTop w:val="0"/>
      <w:marBottom w:val="0"/>
      <w:divBdr>
        <w:top w:val="none" w:sz="0" w:space="0" w:color="auto"/>
        <w:left w:val="none" w:sz="0" w:space="0" w:color="auto"/>
        <w:bottom w:val="none" w:sz="0" w:space="0" w:color="auto"/>
        <w:right w:val="none" w:sz="0" w:space="0" w:color="auto"/>
      </w:divBdr>
    </w:div>
    <w:div w:id="1733696108">
      <w:bodyDiv w:val="1"/>
      <w:marLeft w:val="0"/>
      <w:marRight w:val="0"/>
      <w:marTop w:val="0"/>
      <w:marBottom w:val="0"/>
      <w:divBdr>
        <w:top w:val="none" w:sz="0" w:space="0" w:color="auto"/>
        <w:left w:val="none" w:sz="0" w:space="0" w:color="auto"/>
        <w:bottom w:val="none" w:sz="0" w:space="0" w:color="auto"/>
        <w:right w:val="none" w:sz="0" w:space="0" w:color="auto"/>
      </w:divBdr>
    </w:div>
    <w:div w:id="1738357032">
      <w:bodyDiv w:val="1"/>
      <w:marLeft w:val="0"/>
      <w:marRight w:val="0"/>
      <w:marTop w:val="0"/>
      <w:marBottom w:val="0"/>
      <w:divBdr>
        <w:top w:val="none" w:sz="0" w:space="0" w:color="auto"/>
        <w:left w:val="none" w:sz="0" w:space="0" w:color="auto"/>
        <w:bottom w:val="none" w:sz="0" w:space="0" w:color="auto"/>
        <w:right w:val="none" w:sz="0" w:space="0" w:color="auto"/>
      </w:divBdr>
    </w:div>
    <w:div w:id="1751151695">
      <w:bodyDiv w:val="1"/>
      <w:marLeft w:val="0"/>
      <w:marRight w:val="0"/>
      <w:marTop w:val="0"/>
      <w:marBottom w:val="0"/>
      <w:divBdr>
        <w:top w:val="none" w:sz="0" w:space="0" w:color="auto"/>
        <w:left w:val="none" w:sz="0" w:space="0" w:color="auto"/>
        <w:bottom w:val="none" w:sz="0" w:space="0" w:color="auto"/>
        <w:right w:val="none" w:sz="0" w:space="0" w:color="auto"/>
      </w:divBdr>
    </w:div>
    <w:div w:id="1809743073">
      <w:bodyDiv w:val="1"/>
      <w:marLeft w:val="0"/>
      <w:marRight w:val="0"/>
      <w:marTop w:val="0"/>
      <w:marBottom w:val="0"/>
      <w:divBdr>
        <w:top w:val="none" w:sz="0" w:space="0" w:color="auto"/>
        <w:left w:val="none" w:sz="0" w:space="0" w:color="auto"/>
        <w:bottom w:val="none" w:sz="0" w:space="0" w:color="auto"/>
        <w:right w:val="none" w:sz="0" w:space="0" w:color="auto"/>
      </w:divBdr>
    </w:div>
    <w:div w:id="1814325961">
      <w:bodyDiv w:val="1"/>
      <w:marLeft w:val="4"/>
      <w:marRight w:val="4"/>
      <w:marTop w:val="0"/>
      <w:marBottom w:val="0"/>
      <w:divBdr>
        <w:top w:val="none" w:sz="0" w:space="0" w:color="auto"/>
        <w:left w:val="none" w:sz="0" w:space="0" w:color="auto"/>
        <w:bottom w:val="none" w:sz="0" w:space="0" w:color="auto"/>
        <w:right w:val="none" w:sz="0" w:space="0" w:color="auto"/>
      </w:divBdr>
    </w:div>
    <w:div w:id="1857766726">
      <w:bodyDiv w:val="1"/>
      <w:marLeft w:val="0"/>
      <w:marRight w:val="0"/>
      <w:marTop w:val="0"/>
      <w:marBottom w:val="0"/>
      <w:divBdr>
        <w:top w:val="none" w:sz="0" w:space="0" w:color="auto"/>
        <w:left w:val="none" w:sz="0" w:space="0" w:color="auto"/>
        <w:bottom w:val="none" w:sz="0" w:space="0" w:color="auto"/>
        <w:right w:val="none" w:sz="0" w:space="0" w:color="auto"/>
      </w:divBdr>
    </w:div>
    <w:div w:id="1912304569">
      <w:bodyDiv w:val="1"/>
      <w:marLeft w:val="0"/>
      <w:marRight w:val="0"/>
      <w:marTop w:val="0"/>
      <w:marBottom w:val="0"/>
      <w:divBdr>
        <w:top w:val="none" w:sz="0" w:space="0" w:color="auto"/>
        <w:left w:val="none" w:sz="0" w:space="0" w:color="auto"/>
        <w:bottom w:val="none" w:sz="0" w:space="0" w:color="auto"/>
        <w:right w:val="none" w:sz="0" w:space="0" w:color="auto"/>
      </w:divBdr>
    </w:div>
    <w:div w:id="1995528582">
      <w:bodyDiv w:val="1"/>
      <w:marLeft w:val="0"/>
      <w:marRight w:val="0"/>
      <w:marTop w:val="0"/>
      <w:marBottom w:val="0"/>
      <w:divBdr>
        <w:top w:val="none" w:sz="0" w:space="0" w:color="auto"/>
        <w:left w:val="none" w:sz="0" w:space="0" w:color="auto"/>
        <w:bottom w:val="none" w:sz="0" w:space="0" w:color="auto"/>
        <w:right w:val="none" w:sz="0" w:space="0" w:color="auto"/>
      </w:divBdr>
    </w:div>
    <w:div w:id="2049135872">
      <w:bodyDiv w:val="1"/>
      <w:marLeft w:val="0"/>
      <w:marRight w:val="0"/>
      <w:marTop w:val="0"/>
      <w:marBottom w:val="0"/>
      <w:divBdr>
        <w:top w:val="none" w:sz="0" w:space="0" w:color="auto"/>
        <w:left w:val="none" w:sz="0" w:space="0" w:color="auto"/>
        <w:bottom w:val="none" w:sz="0" w:space="0" w:color="auto"/>
        <w:right w:val="none" w:sz="0" w:space="0" w:color="auto"/>
      </w:divBdr>
    </w:div>
    <w:div w:id="2090034745">
      <w:bodyDiv w:val="1"/>
      <w:marLeft w:val="0"/>
      <w:marRight w:val="0"/>
      <w:marTop w:val="0"/>
      <w:marBottom w:val="0"/>
      <w:divBdr>
        <w:top w:val="none" w:sz="0" w:space="0" w:color="auto"/>
        <w:left w:val="none" w:sz="0" w:space="0" w:color="auto"/>
        <w:bottom w:val="none" w:sz="0" w:space="0" w:color="auto"/>
        <w:right w:val="none" w:sz="0" w:space="0" w:color="auto"/>
      </w:divBdr>
    </w:div>
    <w:div w:id="21120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http://www.dfat.gov.au/fta/aanzfta/economic-benefits-aftacer-cie-200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db.org/sites/default/files/pub/2010/WP69-Hill-Menon-ASEAN-Economic-Integration.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its.worldbank.org/wits/data_details.html" TargetMode="External"/><Relationship Id="rId25" Type="http://schemas.openxmlformats.org/officeDocument/2006/relationships/hyperlink" Target="http://trade.ec.europa.eu/doclib/docs/2012/november/tradoc_150105.pdf"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europeaninstitute.org/EU-Facts/timeline-of-the-european-un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5.xml"/><Relationship Id="rId10" Type="http://schemas.openxmlformats.org/officeDocument/2006/relationships/hyperlink" Target="http://intranetncb.worldbank.org/servlet/main?pagePK=81000034&amp;piPK=60001822&amp;theSitePK=265640&amp;upi=000018567" TargetMode="External"/><Relationship Id="rId19" Type="http://schemas.openxmlformats.org/officeDocument/2006/relationships/hyperlink" Target="http://trade.ec.europa.eu/doclib/docs/2012/november/tradoc_15010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rade.ec.europa.eu/doclib/docs/2012/november/tradoc_150105.pdf"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144980544333973E-2"/>
          <c:y val="5.1372646217141917E-2"/>
          <c:w val="0.53552567457810663"/>
          <c:h val="0.8022564870756369"/>
        </c:manualLayout>
      </c:layout>
      <c:lineChart>
        <c:grouping val="standard"/>
        <c:varyColors val="0"/>
        <c:ser>
          <c:idx val="0"/>
          <c:order val="0"/>
          <c:tx>
            <c:strRef>
              <c:f>'Fig3.4a Change shares by region'!$A$2</c:f>
              <c:strCache>
                <c:ptCount val="1"/>
                <c:pt idx="0">
                  <c:v>EU27</c:v>
                </c:pt>
              </c:strCache>
            </c:strRef>
          </c:tx>
          <c:marker>
            <c:symbol val="none"/>
          </c:marker>
          <c:cat>
            <c:numRef>
              <c:f>'Fig3.4a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'Fig3.4a Change shares by region'!$B$2:$N$2</c:f>
              <c:numCache>
                <c:formatCode>General</c:formatCode>
                <c:ptCount val="13"/>
                <c:pt idx="0">
                  <c:v>29.236440000000002</c:v>
                </c:pt>
                <c:pt idx="1">
                  <c:v>27.482620000000001</c:v>
                </c:pt>
                <c:pt idx="2">
                  <c:v>22.470230000000001</c:v>
                </c:pt>
                <c:pt idx="3">
                  <c:v>20.426850000000002</c:v>
                </c:pt>
                <c:pt idx="4">
                  <c:v>36.607460000000003</c:v>
                </c:pt>
                <c:pt idx="5">
                  <c:v>42.151249999999997</c:v>
                </c:pt>
                <c:pt idx="6">
                  <c:v>45.323860000000003</c:v>
                </c:pt>
                <c:pt idx="7">
                  <c:v>40.857689999999998</c:v>
                </c:pt>
                <c:pt idx="8">
                  <c:v>43.067230000000002</c:v>
                </c:pt>
                <c:pt idx="9">
                  <c:v>49.047919999999998</c:v>
                </c:pt>
                <c:pt idx="10">
                  <c:v>51.876750000000001</c:v>
                </c:pt>
                <c:pt idx="11">
                  <c:v>48.728369999999998</c:v>
                </c:pt>
                <c:pt idx="12">
                  <c:v>50.267530000000001</c:v>
                </c:pt>
              </c:numCache>
            </c:numRef>
          </c:val>
          <c:smooth val="0"/>
        </c:ser>
        <c:ser>
          <c:idx val="1"/>
          <c:order val="1"/>
          <c:tx>
            <c:strRef>
              <c:f>'Fig3.4a Change shares by region'!$A$3</c:f>
              <c:strCache>
                <c:ptCount val="1"/>
                <c:pt idx="0">
                  <c:v>CU Partners</c:v>
                </c:pt>
              </c:strCache>
            </c:strRef>
          </c:tx>
          <c:marker>
            <c:symbol val="none"/>
          </c:marker>
          <c:cat>
            <c:numRef>
              <c:f>'Fig3.4a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'Fig3.4a Change shares by region'!$B$3:$N$3</c:f>
              <c:numCache>
                <c:formatCode>General</c:formatCode>
                <c:ptCount val="13"/>
                <c:pt idx="0">
                  <c:v>22.679670000000002</c:v>
                </c:pt>
                <c:pt idx="1">
                  <c:v>21.61448</c:v>
                </c:pt>
                <c:pt idx="2">
                  <c:v>15.94781</c:v>
                </c:pt>
                <c:pt idx="3">
                  <c:v>16.123709999999999</c:v>
                </c:pt>
                <c:pt idx="4">
                  <c:v>14.841150000000001</c:v>
                </c:pt>
                <c:pt idx="5">
                  <c:v>10.86143</c:v>
                </c:pt>
                <c:pt idx="6">
                  <c:v>9.9700279999999992</c:v>
                </c:pt>
                <c:pt idx="7">
                  <c:v>10.05528</c:v>
                </c:pt>
                <c:pt idx="8">
                  <c:v>8.9806740000000005</c:v>
                </c:pt>
                <c:pt idx="9">
                  <c:v>8.3965259999999997</c:v>
                </c:pt>
                <c:pt idx="10">
                  <c:v>9.5001610000000003</c:v>
                </c:pt>
                <c:pt idx="11">
                  <c:v>8.6860300000000006</c:v>
                </c:pt>
                <c:pt idx="12">
                  <c:v>7.4174319999999998</c:v>
                </c:pt>
              </c:numCache>
            </c:numRef>
          </c:val>
          <c:smooth val="0"/>
        </c:ser>
        <c:ser>
          <c:idx val="3"/>
          <c:order val="2"/>
          <c:tx>
            <c:strRef>
              <c:f>'Fig3.4a Change shares by region'!$A$5</c:f>
              <c:strCache>
                <c:ptCount val="1"/>
                <c:pt idx="0">
                  <c:v>China</c:v>
                </c:pt>
              </c:strCache>
            </c:strRef>
          </c:tx>
          <c:marker>
            <c:symbol val="none"/>
          </c:marker>
          <c:cat>
            <c:numRef>
              <c:f>'Fig3.4a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'Fig3.4a Change shares by region'!$B$5:$N$5</c:f>
              <c:numCache>
                <c:formatCode>General</c:formatCode>
                <c:ptCount val="13"/>
                <c:pt idx="0">
                  <c:v>8.8198709999999991</c:v>
                </c:pt>
                <c:pt idx="1">
                  <c:v>8.0398720000000008</c:v>
                </c:pt>
                <c:pt idx="2">
                  <c:v>10.761939999999999</c:v>
                </c:pt>
                <c:pt idx="3">
                  <c:v>13.459350000000001</c:v>
                </c:pt>
                <c:pt idx="4">
                  <c:v>10.226319999999999</c:v>
                </c:pt>
                <c:pt idx="5">
                  <c:v>8.9100210000000004</c:v>
                </c:pt>
                <c:pt idx="6">
                  <c:v>9.4231420000000004</c:v>
                </c:pt>
                <c:pt idx="7">
                  <c:v>11.835459999999999</c:v>
                </c:pt>
                <c:pt idx="8">
                  <c:v>10.819850000000001</c:v>
                </c:pt>
                <c:pt idx="9">
                  <c:v>13.72945</c:v>
                </c:pt>
                <c:pt idx="10">
                  <c:v>17.058489999999999</c:v>
                </c:pt>
                <c:pt idx="11">
                  <c:v>18.576370000000001</c:v>
                </c:pt>
                <c:pt idx="12">
                  <c:v>17.882380000000001</c:v>
                </c:pt>
              </c:numCache>
            </c:numRef>
          </c:val>
          <c:smooth val="0"/>
        </c:ser>
        <c:ser>
          <c:idx val="4"/>
          <c:order val="3"/>
          <c:tx>
            <c:strRef>
              <c:f>'Fig3.4a Change shares by region'!$A$6</c:f>
              <c:strCache>
                <c:ptCount val="1"/>
                <c:pt idx="0">
                  <c:v>Non-CU CIS</c:v>
                </c:pt>
              </c:strCache>
            </c:strRef>
          </c:tx>
          <c:marker>
            <c:symbol val="none"/>
          </c:marker>
          <c:cat>
            <c:numRef>
              <c:f>'Fig3.4a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'Fig3.4a Change shares by region'!$B$6:$N$6</c:f>
              <c:numCache>
                <c:formatCode>General</c:formatCode>
                <c:ptCount val="13"/>
                <c:pt idx="0">
                  <c:v>7.4151420000000003</c:v>
                </c:pt>
                <c:pt idx="1">
                  <c:v>10.900919999999999</c:v>
                </c:pt>
                <c:pt idx="2">
                  <c:v>7.2325499999999998</c:v>
                </c:pt>
                <c:pt idx="3">
                  <c:v>8.141356</c:v>
                </c:pt>
                <c:pt idx="4">
                  <c:v>6.4386109999999999</c:v>
                </c:pt>
                <c:pt idx="5">
                  <c:v>4.0931540000000002</c:v>
                </c:pt>
                <c:pt idx="6">
                  <c:v>4.641991</c:v>
                </c:pt>
                <c:pt idx="7">
                  <c:v>6.6701180000000004</c:v>
                </c:pt>
                <c:pt idx="8">
                  <c:v>6.5807510000000002</c:v>
                </c:pt>
                <c:pt idx="9">
                  <c:v>7.4581970000000002</c:v>
                </c:pt>
                <c:pt idx="10">
                  <c:v>5.0374590000000001</c:v>
                </c:pt>
                <c:pt idx="11">
                  <c:v>5.9216329999999999</c:v>
                </c:pt>
                <c:pt idx="12">
                  <c:v>6.3183759999999998</c:v>
                </c:pt>
              </c:numCache>
            </c:numRef>
          </c:val>
          <c:smooth val="0"/>
        </c:ser>
        <c:ser>
          <c:idx val="5"/>
          <c:order val="4"/>
          <c:tx>
            <c:strRef>
              <c:f>'Fig3.4a Change shares by region'!$A$7</c:f>
              <c:strCache>
                <c:ptCount val="1"/>
                <c:pt idx="0">
                  <c:v>Rest of Europe and ECA incl Turkey</c:v>
                </c:pt>
              </c:strCache>
            </c:strRef>
          </c:tx>
          <c:marker>
            <c:symbol val="none"/>
          </c:marker>
          <c:cat>
            <c:numRef>
              <c:f>'Fig3.4a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'Fig3.4a Change shares by region'!$B$7:$N$7</c:f>
              <c:numCache>
                <c:formatCode>General</c:formatCode>
                <c:ptCount val="13"/>
                <c:pt idx="0">
                  <c:v>6.7142819999999999</c:v>
                </c:pt>
                <c:pt idx="1">
                  <c:v>5.7420169999999997</c:v>
                </c:pt>
                <c:pt idx="2">
                  <c:v>9.3056830000000001</c:v>
                </c:pt>
                <c:pt idx="3">
                  <c:v>14.7089</c:v>
                </c:pt>
                <c:pt idx="4">
                  <c:v>20.88128</c:v>
                </c:pt>
                <c:pt idx="5">
                  <c:v>20.980060000000002</c:v>
                </c:pt>
                <c:pt idx="6">
                  <c:v>18.600639999999999</c:v>
                </c:pt>
                <c:pt idx="7">
                  <c:v>18.117080000000001</c:v>
                </c:pt>
                <c:pt idx="8">
                  <c:v>18.681249999999999</c:v>
                </c:pt>
                <c:pt idx="9">
                  <c:v>8.3403069999999992</c:v>
                </c:pt>
                <c:pt idx="10">
                  <c:v>4.2202710000000003</c:v>
                </c:pt>
                <c:pt idx="11">
                  <c:v>8.6672740000000008</c:v>
                </c:pt>
                <c:pt idx="12">
                  <c:v>9.0672770000000007</c:v>
                </c:pt>
              </c:numCache>
            </c:numRef>
          </c:val>
          <c:smooth val="0"/>
        </c:ser>
        <c:ser>
          <c:idx val="7"/>
          <c:order val="5"/>
          <c:tx>
            <c:strRef>
              <c:f>'Fig3.4a Change shares by region'!$A$9</c:f>
              <c:strCache>
                <c:ptCount val="1"/>
                <c:pt idx="0">
                  <c:v>Rest of Asia</c:v>
                </c:pt>
              </c:strCache>
            </c:strRef>
          </c:tx>
          <c:marker>
            <c:symbol val="none"/>
          </c:marker>
          <c:cat>
            <c:numRef>
              <c:f>'Fig3.4a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'Fig3.4a Change shares by region'!$B$9:$N$9</c:f>
              <c:numCache>
                <c:formatCode>General</c:formatCode>
                <c:ptCount val="13"/>
                <c:pt idx="0">
                  <c:v>2.9036309999999999</c:v>
                </c:pt>
                <c:pt idx="1">
                  <c:v>1.871097</c:v>
                </c:pt>
                <c:pt idx="2">
                  <c:v>1.873834</c:v>
                </c:pt>
                <c:pt idx="3">
                  <c:v>1.7414179999999999</c:v>
                </c:pt>
                <c:pt idx="4">
                  <c:v>2.2506650000000001</c:v>
                </c:pt>
                <c:pt idx="5">
                  <c:v>2.5285760000000002</c:v>
                </c:pt>
                <c:pt idx="6">
                  <c:v>2.2527940000000002</c:v>
                </c:pt>
                <c:pt idx="7">
                  <c:v>2.2062719999999998</c:v>
                </c:pt>
                <c:pt idx="8">
                  <c:v>3.0386069999999998</c:v>
                </c:pt>
                <c:pt idx="9">
                  <c:v>2.437147</c:v>
                </c:pt>
                <c:pt idx="10">
                  <c:v>2.2456459999999998</c:v>
                </c:pt>
                <c:pt idx="11">
                  <c:v>2.0249199999999998</c:v>
                </c:pt>
                <c:pt idx="12">
                  <c:v>2.3232569999999999</c:v>
                </c:pt>
              </c:numCache>
            </c:numRef>
          </c:val>
          <c:smooth val="0"/>
        </c:ser>
        <c:ser>
          <c:idx val="8"/>
          <c:order val="6"/>
          <c:tx>
            <c:strRef>
              <c:f>'Fig3.4a Change shares by region'!$A$10</c:f>
              <c:strCache>
                <c:ptCount val="1"/>
                <c:pt idx="0">
                  <c:v>North America</c:v>
                </c:pt>
              </c:strCache>
            </c:strRef>
          </c:tx>
          <c:marker>
            <c:symbol val="none"/>
          </c:marker>
          <c:cat>
            <c:numRef>
              <c:f>'Fig3.4a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'Fig3.4a Change shares by region'!$B$10:$N$10</c:f>
              <c:numCache>
                <c:formatCode>General</c:formatCode>
                <c:ptCount val="13"/>
                <c:pt idx="0">
                  <c:v>2.458663</c:v>
                </c:pt>
                <c:pt idx="1">
                  <c:v>1.7747679999999999</c:v>
                </c:pt>
                <c:pt idx="2">
                  <c:v>1.3357250000000001</c:v>
                </c:pt>
                <c:pt idx="3">
                  <c:v>0.89310369999999994</c:v>
                </c:pt>
                <c:pt idx="4">
                  <c:v>2.7054209999999999</c:v>
                </c:pt>
                <c:pt idx="5">
                  <c:v>4.3955690000000001</c:v>
                </c:pt>
                <c:pt idx="6">
                  <c:v>1.9661709999999999</c:v>
                </c:pt>
                <c:pt idx="7">
                  <c:v>1.7643979999999999</c:v>
                </c:pt>
                <c:pt idx="8">
                  <c:v>1.363443</c:v>
                </c:pt>
                <c:pt idx="9">
                  <c:v>4.6431370000000003</c:v>
                </c:pt>
                <c:pt idx="10">
                  <c:v>5.5735950000000001</c:v>
                </c:pt>
                <c:pt idx="11">
                  <c:v>4.1729729999999998</c:v>
                </c:pt>
                <c:pt idx="12">
                  <c:v>3.8206180000000001</c:v>
                </c:pt>
              </c:numCache>
            </c:numRef>
          </c:val>
          <c:smooth val="0"/>
        </c:ser>
        <c:dLbls>
          <c:showLegendKey val="0"/>
          <c:showVal val="0"/>
          <c:showCatName val="0"/>
          <c:showSerName val="0"/>
          <c:showPercent val="0"/>
          <c:showBubbleSize val="0"/>
        </c:dLbls>
        <c:smooth val="0"/>
        <c:axId val="704982512"/>
        <c:axId val="704979768"/>
      </c:lineChart>
      <c:catAx>
        <c:axId val="704982512"/>
        <c:scaling>
          <c:orientation val="minMax"/>
        </c:scaling>
        <c:delete val="0"/>
        <c:axPos val="b"/>
        <c:numFmt formatCode="General" sourceLinked="1"/>
        <c:majorTickMark val="none"/>
        <c:minorTickMark val="none"/>
        <c:tickLblPos val="nextTo"/>
        <c:txPr>
          <a:bodyPr/>
          <a:lstStyle/>
          <a:p>
            <a:pPr>
              <a:defRPr sz="800"/>
            </a:pPr>
            <a:endParaRPr lang="en-US"/>
          </a:p>
        </c:txPr>
        <c:crossAx val="704979768"/>
        <c:crosses val="autoZero"/>
        <c:auto val="1"/>
        <c:lblAlgn val="ctr"/>
        <c:lblOffset val="100"/>
        <c:noMultiLvlLbl val="0"/>
      </c:catAx>
      <c:valAx>
        <c:axId val="704979768"/>
        <c:scaling>
          <c:orientation val="minMax"/>
        </c:scaling>
        <c:delete val="0"/>
        <c:axPos val="l"/>
        <c:majorGridlines/>
        <c:title>
          <c:tx>
            <c:rich>
              <a:bodyPr/>
              <a:lstStyle/>
              <a:p>
                <a:pPr>
                  <a:defRPr/>
                </a:pPr>
                <a:r>
                  <a:rPr lang="en-US"/>
                  <a:t>Share of exports</a:t>
                </a:r>
              </a:p>
            </c:rich>
          </c:tx>
          <c:layout>
            <c:manualLayout>
              <c:xMode val="edge"/>
              <c:yMode val="edge"/>
              <c:x val="1.0029249855343274E-2"/>
              <c:y val="0.25010436273688569"/>
            </c:manualLayout>
          </c:layout>
          <c:overlay val="0"/>
        </c:title>
        <c:numFmt formatCode="General" sourceLinked="1"/>
        <c:majorTickMark val="none"/>
        <c:minorTickMark val="none"/>
        <c:tickLblPos val="nextTo"/>
        <c:txPr>
          <a:bodyPr/>
          <a:lstStyle/>
          <a:p>
            <a:pPr>
              <a:defRPr sz="800"/>
            </a:pPr>
            <a:endParaRPr lang="en-US"/>
          </a:p>
        </c:txPr>
        <c:crossAx val="704982512"/>
        <c:crosses val="autoZero"/>
        <c:crossBetween val="between"/>
      </c:valAx>
      <c:spPr>
        <a:noFill/>
      </c:spPr>
    </c:plotArea>
    <c:legend>
      <c:legendPos val="r"/>
      <c:layout>
        <c:manualLayout>
          <c:xMode val="edge"/>
          <c:yMode val="edge"/>
          <c:x val="0.65440260753701351"/>
          <c:y val="4.9252869547308453E-2"/>
          <c:w val="0.33449447459844217"/>
          <c:h val="0.79538437499381909"/>
        </c:manualLayout>
      </c:layout>
      <c:overlay val="0"/>
      <c:txPr>
        <a:bodyPr/>
        <a:lstStyle/>
        <a:p>
          <a:pPr>
            <a:defRPr sz="800"/>
          </a:pPr>
          <a:endParaRPr lang="en-US"/>
        </a:p>
      </c:txPr>
    </c:legend>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815298153118823E-2"/>
          <c:y val="4.6191480640627079E-2"/>
          <c:w val="0.57276852262903344"/>
          <c:h val="0.80288911716948885"/>
        </c:manualLayout>
      </c:layout>
      <c:lineChart>
        <c:grouping val="standard"/>
        <c:varyColors val="0"/>
        <c:ser>
          <c:idx val="0"/>
          <c:order val="0"/>
          <c:tx>
            <c:strRef>
              <c:f>'Fig3.4b Change shares by region'!$A$2</c:f>
              <c:strCache>
                <c:ptCount val="1"/>
                <c:pt idx="0">
                  <c:v>CU Partners</c:v>
                </c:pt>
              </c:strCache>
            </c:strRef>
          </c:tx>
          <c:marker>
            <c:symbol val="none"/>
          </c:marker>
          <c:cat>
            <c:numRef>
              <c:f>'Fig3.4b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'Fig3.4b Change shares by region'!$B$2:$N$2</c:f>
              <c:numCache>
                <c:formatCode>General</c:formatCode>
                <c:ptCount val="13"/>
                <c:pt idx="0">
                  <c:v>48.666649999999997</c:v>
                </c:pt>
                <c:pt idx="1">
                  <c:v>44.611190000000001</c:v>
                </c:pt>
                <c:pt idx="2">
                  <c:v>39.577829999999999</c:v>
                </c:pt>
                <c:pt idx="3">
                  <c:v>40.193249999999999</c:v>
                </c:pt>
                <c:pt idx="4">
                  <c:v>38.831429999999997</c:v>
                </c:pt>
                <c:pt idx="5">
                  <c:v>39.232320000000001</c:v>
                </c:pt>
                <c:pt idx="6">
                  <c:v>39.600610000000003</c:v>
                </c:pt>
                <c:pt idx="7">
                  <c:v>36.712119999999999</c:v>
                </c:pt>
                <c:pt idx="8">
                  <c:v>37.848730000000003</c:v>
                </c:pt>
                <c:pt idx="9">
                  <c:v>32.560459999999999</c:v>
                </c:pt>
                <c:pt idx="10">
                  <c:v>40.700189999999999</c:v>
                </c:pt>
                <c:pt idx="11">
                  <c:v>44.461379999999998</c:v>
                </c:pt>
                <c:pt idx="12">
                  <c:v>39.897539999999999</c:v>
                </c:pt>
              </c:numCache>
            </c:numRef>
          </c:val>
          <c:smooth val="0"/>
        </c:ser>
        <c:ser>
          <c:idx val="1"/>
          <c:order val="1"/>
          <c:tx>
            <c:strRef>
              <c:f>'Fig3.4b Change shares by region'!$A$3</c:f>
              <c:strCache>
                <c:ptCount val="1"/>
                <c:pt idx="0">
                  <c:v>EU27</c:v>
                </c:pt>
              </c:strCache>
            </c:strRef>
          </c:tx>
          <c:marker>
            <c:symbol val="none"/>
          </c:marker>
          <c:cat>
            <c:numRef>
              <c:f>'Fig3.4b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'Fig3.4b Change shares by region'!$B$3:$N$3</c:f>
              <c:numCache>
                <c:formatCode>General</c:formatCode>
                <c:ptCount val="13"/>
                <c:pt idx="0">
                  <c:v>24.182300000000001</c:v>
                </c:pt>
                <c:pt idx="1">
                  <c:v>28.093039999999998</c:v>
                </c:pt>
                <c:pt idx="2">
                  <c:v>28.083379999999998</c:v>
                </c:pt>
                <c:pt idx="3">
                  <c:v>28.17999</c:v>
                </c:pt>
                <c:pt idx="4">
                  <c:v>27.84948</c:v>
                </c:pt>
                <c:pt idx="5">
                  <c:v>25.306470000000001</c:v>
                </c:pt>
                <c:pt idx="6">
                  <c:v>26.947420000000001</c:v>
                </c:pt>
                <c:pt idx="7">
                  <c:v>24.752020000000002</c:v>
                </c:pt>
                <c:pt idx="8">
                  <c:v>22.540939999999999</c:v>
                </c:pt>
                <c:pt idx="9">
                  <c:v>27.411580000000001</c:v>
                </c:pt>
                <c:pt idx="10">
                  <c:v>23.49588</c:v>
                </c:pt>
                <c:pt idx="11">
                  <c:v>19.291689999999999</c:v>
                </c:pt>
                <c:pt idx="12">
                  <c:v>16.842960000000001</c:v>
                </c:pt>
              </c:numCache>
            </c:numRef>
          </c:val>
          <c:smooth val="0"/>
        </c:ser>
        <c:ser>
          <c:idx val="2"/>
          <c:order val="2"/>
          <c:tx>
            <c:strRef>
              <c:f>'Fig3.4b Change shares by region'!$A$4</c:f>
              <c:strCache>
                <c:ptCount val="1"/>
                <c:pt idx="0">
                  <c:v>North America</c:v>
                </c:pt>
              </c:strCache>
            </c:strRef>
          </c:tx>
          <c:marker>
            <c:symbol val="none"/>
          </c:marker>
          <c:cat>
            <c:numRef>
              <c:f>'Fig3.4b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'Fig3.4b Change shares by region'!$B$4:$N$4</c:f>
              <c:numCache>
                <c:formatCode>General</c:formatCode>
                <c:ptCount val="13"/>
                <c:pt idx="0">
                  <c:v>6.3273669999999997</c:v>
                </c:pt>
                <c:pt idx="1">
                  <c:v>6.2278840000000004</c:v>
                </c:pt>
                <c:pt idx="2">
                  <c:v>7.8747470000000002</c:v>
                </c:pt>
                <c:pt idx="3">
                  <c:v>6.3400069999999999</c:v>
                </c:pt>
                <c:pt idx="4">
                  <c:v>5.361478</c:v>
                </c:pt>
                <c:pt idx="5">
                  <c:v>7.8623269999999996</c:v>
                </c:pt>
                <c:pt idx="6">
                  <c:v>5.4751070000000004</c:v>
                </c:pt>
                <c:pt idx="7">
                  <c:v>5.7344939999999998</c:v>
                </c:pt>
                <c:pt idx="8">
                  <c:v>6.067685</c:v>
                </c:pt>
                <c:pt idx="9">
                  <c:v>5.9723290000000002</c:v>
                </c:pt>
                <c:pt idx="10">
                  <c:v>5.247738</c:v>
                </c:pt>
                <c:pt idx="11">
                  <c:v>5.155551</c:v>
                </c:pt>
                <c:pt idx="12">
                  <c:v>5.4607830000000002</c:v>
                </c:pt>
              </c:numCache>
            </c:numRef>
          </c:val>
          <c:smooth val="0"/>
        </c:ser>
        <c:ser>
          <c:idx val="3"/>
          <c:order val="3"/>
          <c:tx>
            <c:strRef>
              <c:f>'Fig3.4b Change shares by region'!$A$5</c:f>
              <c:strCache>
                <c:ptCount val="1"/>
                <c:pt idx="0">
                  <c:v>Non-CU CIS</c:v>
                </c:pt>
              </c:strCache>
            </c:strRef>
          </c:tx>
          <c:marker>
            <c:symbol val="none"/>
          </c:marker>
          <c:cat>
            <c:numRef>
              <c:f>'Fig3.4b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'Fig3.4b Change shares by region'!$B$5:$N$5</c:f>
              <c:numCache>
                <c:formatCode>General</c:formatCode>
                <c:ptCount val="13"/>
                <c:pt idx="0">
                  <c:v>5.192272</c:v>
                </c:pt>
                <c:pt idx="1">
                  <c:v>5.9117480000000002</c:v>
                </c:pt>
                <c:pt idx="2">
                  <c:v>6.6865819999999996</c:v>
                </c:pt>
                <c:pt idx="3">
                  <c:v>6.6139140000000003</c:v>
                </c:pt>
                <c:pt idx="4">
                  <c:v>9.107742</c:v>
                </c:pt>
                <c:pt idx="5">
                  <c:v>7.6830049999999996</c:v>
                </c:pt>
                <c:pt idx="6">
                  <c:v>7.210305</c:v>
                </c:pt>
                <c:pt idx="7">
                  <c:v>7.8683579999999997</c:v>
                </c:pt>
                <c:pt idx="8">
                  <c:v>8.9920410000000004</c:v>
                </c:pt>
                <c:pt idx="9">
                  <c:v>9.9445270000000008</c:v>
                </c:pt>
                <c:pt idx="10">
                  <c:v>7.0768990000000001</c:v>
                </c:pt>
                <c:pt idx="11">
                  <c:v>7.8692250000000001</c:v>
                </c:pt>
                <c:pt idx="12">
                  <c:v>10.004300000000001</c:v>
                </c:pt>
              </c:numCache>
            </c:numRef>
          </c:val>
          <c:smooth val="0"/>
        </c:ser>
        <c:ser>
          <c:idx val="4"/>
          <c:order val="4"/>
          <c:tx>
            <c:strRef>
              <c:f>'Fig3.4b Change shares by region'!$A$6</c:f>
              <c:strCache>
                <c:ptCount val="1"/>
                <c:pt idx="0">
                  <c:v>Rest of Asia</c:v>
                </c:pt>
              </c:strCache>
            </c:strRef>
          </c:tx>
          <c:marker>
            <c:symbol val="none"/>
          </c:marker>
          <c:cat>
            <c:numRef>
              <c:f>'Fig3.4b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'Fig3.4b Change shares by region'!$B$6:$N$6</c:f>
              <c:numCache>
                <c:formatCode>General</c:formatCode>
                <c:ptCount val="13"/>
                <c:pt idx="0">
                  <c:v>5.0949</c:v>
                </c:pt>
                <c:pt idx="1">
                  <c:v>5.1935760000000002</c:v>
                </c:pt>
                <c:pt idx="2">
                  <c:v>5.531663</c:v>
                </c:pt>
                <c:pt idx="3">
                  <c:v>5.717009</c:v>
                </c:pt>
                <c:pt idx="4">
                  <c:v>6.3969519999999997</c:v>
                </c:pt>
                <c:pt idx="5">
                  <c:v>6.3092689999999996</c:v>
                </c:pt>
                <c:pt idx="6">
                  <c:v>7.1083910000000001</c:v>
                </c:pt>
                <c:pt idx="7">
                  <c:v>7.4294000000000002</c:v>
                </c:pt>
                <c:pt idx="8">
                  <c:v>5.0729259999999998</c:v>
                </c:pt>
                <c:pt idx="9">
                  <c:v>5.2064159999999999</c:v>
                </c:pt>
                <c:pt idx="10">
                  <c:v>5.1517999999999997</c:v>
                </c:pt>
                <c:pt idx="11">
                  <c:v>5.0112389999999998</c:v>
                </c:pt>
                <c:pt idx="12">
                  <c:v>6.2099849999999996</c:v>
                </c:pt>
              </c:numCache>
            </c:numRef>
          </c:val>
          <c:smooth val="0"/>
        </c:ser>
        <c:ser>
          <c:idx val="5"/>
          <c:order val="5"/>
          <c:tx>
            <c:strRef>
              <c:f>'Fig3.4b Change shares by region'!$A$7</c:f>
              <c:strCache>
                <c:ptCount val="1"/>
                <c:pt idx="0">
                  <c:v>Rest of Europe and ECA incl Turkey</c:v>
                </c:pt>
              </c:strCache>
            </c:strRef>
          </c:tx>
          <c:marker>
            <c:symbol val="none"/>
          </c:marker>
          <c:cat>
            <c:numRef>
              <c:f>'Fig3.4b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'Fig3.4b Change shares by region'!$B$7:$N$7</c:f>
              <c:numCache>
                <c:formatCode>General</c:formatCode>
                <c:ptCount val="13"/>
                <c:pt idx="0">
                  <c:v>3.8730820000000001</c:v>
                </c:pt>
                <c:pt idx="1">
                  <c:v>3.2930980000000001</c:v>
                </c:pt>
                <c:pt idx="2">
                  <c:v>3.7668889999999999</c:v>
                </c:pt>
                <c:pt idx="3">
                  <c:v>3.535571</c:v>
                </c:pt>
                <c:pt idx="4">
                  <c:v>3.7635749999999999</c:v>
                </c:pt>
                <c:pt idx="5">
                  <c:v>3.6937380000000002</c:v>
                </c:pt>
                <c:pt idx="6">
                  <c:v>2.9680490000000002</c:v>
                </c:pt>
                <c:pt idx="7">
                  <c:v>4.1154909999999996</c:v>
                </c:pt>
                <c:pt idx="8">
                  <c:v>4.9640890000000004</c:v>
                </c:pt>
                <c:pt idx="9">
                  <c:v>3.640854</c:v>
                </c:pt>
                <c:pt idx="10">
                  <c:v>2.9636809999999998</c:v>
                </c:pt>
                <c:pt idx="11">
                  <c:v>2.515574</c:v>
                </c:pt>
                <c:pt idx="12">
                  <c:v>2.4526180000000002</c:v>
                </c:pt>
              </c:numCache>
            </c:numRef>
          </c:val>
          <c:smooth val="0"/>
        </c:ser>
        <c:ser>
          <c:idx val="6"/>
          <c:order val="6"/>
          <c:tx>
            <c:strRef>
              <c:f>'Fig3.4b Change shares by region'!$A$8</c:f>
              <c:strCache>
                <c:ptCount val="1"/>
                <c:pt idx="0">
                  <c:v>China</c:v>
                </c:pt>
              </c:strCache>
            </c:strRef>
          </c:tx>
          <c:marker>
            <c:symbol val="none"/>
          </c:marker>
          <c:cat>
            <c:numRef>
              <c:f>'Fig3.4b Change shares by region'!$B$1:$N$1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'Fig3.4b Change shares by region'!$B$8:$N$8</c:f>
              <c:numCache>
                <c:formatCode>General</c:formatCode>
                <c:ptCount val="13"/>
                <c:pt idx="0">
                  <c:v>3.0099499999999999</c:v>
                </c:pt>
                <c:pt idx="1">
                  <c:v>2.7421129999999998</c:v>
                </c:pt>
                <c:pt idx="2">
                  <c:v>4.7616319999999996</c:v>
                </c:pt>
                <c:pt idx="3">
                  <c:v>6.2411830000000004</c:v>
                </c:pt>
                <c:pt idx="4">
                  <c:v>5.9462190000000001</c:v>
                </c:pt>
                <c:pt idx="5">
                  <c:v>7.2332979999999996</c:v>
                </c:pt>
                <c:pt idx="6">
                  <c:v>8.1541809999999995</c:v>
                </c:pt>
                <c:pt idx="7">
                  <c:v>10.75709</c:v>
                </c:pt>
                <c:pt idx="8">
                  <c:v>11.92483</c:v>
                </c:pt>
                <c:pt idx="9">
                  <c:v>12.5845</c:v>
                </c:pt>
                <c:pt idx="10">
                  <c:v>12.868639999999999</c:v>
                </c:pt>
                <c:pt idx="11">
                  <c:v>13.245430000000001</c:v>
                </c:pt>
                <c:pt idx="12">
                  <c:v>16.92557</c:v>
                </c:pt>
              </c:numCache>
            </c:numRef>
          </c:val>
          <c:smooth val="0"/>
        </c:ser>
        <c:dLbls>
          <c:showLegendKey val="0"/>
          <c:showVal val="0"/>
          <c:showCatName val="0"/>
          <c:showSerName val="0"/>
          <c:showPercent val="0"/>
          <c:showBubbleSize val="0"/>
        </c:dLbls>
        <c:smooth val="0"/>
        <c:axId val="704978592"/>
        <c:axId val="704978200"/>
      </c:lineChart>
      <c:catAx>
        <c:axId val="70497859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704978200"/>
        <c:crosses val="autoZero"/>
        <c:auto val="1"/>
        <c:lblAlgn val="ctr"/>
        <c:lblOffset val="100"/>
        <c:noMultiLvlLbl val="0"/>
      </c:catAx>
      <c:valAx>
        <c:axId val="704978200"/>
        <c:scaling>
          <c:orientation val="minMax"/>
        </c:scaling>
        <c:delete val="0"/>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Share of imports</a:t>
                </a:r>
              </a:p>
            </c:rich>
          </c:tx>
          <c:layout>
            <c:manualLayout>
              <c:xMode val="edge"/>
              <c:yMode val="edge"/>
              <c:x val="8.9770789037127031E-3"/>
              <c:y val="0.2192973853694147"/>
            </c:manualLayout>
          </c:layout>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704978592"/>
        <c:crosses val="autoZero"/>
        <c:crossBetween val="between"/>
      </c:valAx>
      <c:spPr>
        <a:noFill/>
      </c:spPr>
    </c:plotArea>
    <c:legend>
      <c:legendPos val="r"/>
      <c:layout>
        <c:manualLayout>
          <c:xMode val="edge"/>
          <c:yMode val="edge"/>
          <c:x val="0.69101427603448684"/>
          <c:y val="3.474065881390629E-2"/>
          <c:w val="0.28555053475770353"/>
          <c:h val="0.92921080840855175"/>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txPr>
    <a:bodyPr/>
    <a:lstStyle/>
    <a:p>
      <a:pPr>
        <a:defRPr sz="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Kazakhstan Tariff Rates: 2009 - 2020</a:t>
            </a:r>
          </a:p>
        </c:rich>
      </c:tx>
      <c:layout/>
      <c:overlay val="0"/>
    </c:title>
    <c:autoTitleDeleted val="0"/>
    <c:plotArea>
      <c:layout>
        <c:manualLayout>
          <c:layoutTarget val="inner"/>
          <c:xMode val="edge"/>
          <c:yMode val="edge"/>
          <c:x val="0.1014063422659075"/>
          <c:y val="0.11000669034017807"/>
          <c:w val="0.72862966057008116"/>
          <c:h val="0.79495283304152831"/>
        </c:manualLayout>
      </c:layout>
      <c:lineChart>
        <c:grouping val="standard"/>
        <c:varyColors val="0"/>
        <c:ser>
          <c:idx val="0"/>
          <c:order val="0"/>
          <c:tx>
            <c:strRef>
              <c:f>'C:\projects\Kazakhstan\model\data\[Tariff data.xls]Figure1'!$B$6</c:f>
              <c:strCache>
                <c:ptCount val="1"/>
                <c:pt idx="0">
                  <c:v>  AGR</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data.xls]Figure1'!$C$6:$N$6</c:f>
              <c:numCache>
                <c:formatCode>General</c:formatCode>
                <c:ptCount val="12"/>
                <c:pt idx="0">
                  <c:v>6.343756</c:v>
                </c:pt>
                <c:pt idx="1">
                  <c:v>7.3583889999999998</c:v>
                </c:pt>
                <c:pt idx="2">
                  <c:v>8.1020459999999996</c:v>
                </c:pt>
                <c:pt idx="3">
                  <c:v>7.4249700000000001</c:v>
                </c:pt>
                <c:pt idx="4">
                  <c:v>6.9629479999999999</c:v>
                </c:pt>
                <c:pt idx="5">
                  <c:v>6.4167730000000001</c:v>
                </c:pt>
                <c:pt idx="6">
                  <c:v>5.9951249999999998</c:v>
                </c:pt>
                <c:pt idx="7">
                  <c:v>5.8972309999999997</c:v>
                </c:pt>
                <c:pt idx="8">
                  <c:v>5.7998349999999999</c:v>
                </c:pt>
                <c:pt idx="9">
                  <c:v>5.7998349999999999</c:v>
                </c:pt>
                <c:pt idx="10">
                  <c:v>5.7998349999999999</c:v>
                </c:pt>
                <c:pt idx="11">
                  <c:v>5.7998349999999999</c:v>
                </c:pt>
              </c:numCache>
            </c:numRef>
          </c:val>
          <c:smooth val="0"/>
        </c:ser>
        <c:ser>
          <c:idx val="1"/>
          <c:order val="1"/>
          <c:tx>
            <c:strRef>
              <c:f>'C:\projects\Kazakhstan\model\data\[Tariff data.xls]Figure1'!$B$7</c:f>
              <c:strCache>
                <c:ptCount val="1"/>
                <c:pt idx="0">
                  <c:v>  FRS</c:v>
                </c:pt>
              </c:strCache>
            </c:strRef>
          </c:tx>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data.xls]Figure1'!$C$7:$N$7</c:f>
              <c:numCache>
                <c:formatCode>General</c:formatCode>
                <c:ptCount val="12"/>
                <c:pt idx="0">
                  <c:v>2.8571430000000002</c:v>
                </c:pt>
                <c:pt idx="1">
                  <c:v>12.64138</c:v>
                </c:pt>
                <c:pt idx="2">
                  <c:v>12.64138</c:v>
                </c:pt>
                <c:pt idx="3">
                  <c:v>12.69186</c:v>
                </c:pt>
                <c:pt idx="4">
                  <c:v>10.769349999999999</c:v>
                </c:pt>
                <c:pt idx="5">
                  <c:v>8.9266170000000002</c:v>
                </c:pt>
                <c:pt idx="6">
                  <c:v>7.6747719999999999</c:v>
                </c:pt>
                <c:pt idx="7">
                  <c:v>7.4513340000000001</c:v>
                </c:pt>
                <c:pt idx="8">
                  <c:v>7.4513340000000001</c:v>
                </c:pt>
                <c:pt idx="9">
                  <c:v>7.4513340000000001</c:v>
                </c:pt>
                <c:pt idx="10">
                  <c:v>7.4513340000000001</c:v>
                </c:pt>
                <c:pt idx="11">
                  <c:v>7.4513340000000001</c:v>
                </c:pt>
              </c:numCache>
            </c:numRef>
          </c:val>
          <c:smooth val="0"/>
        </c:ser>
        <c:ser>
          <c:idx val="2"/>
          <c:order val="2"/>
          <c:tx>
            <c:strRef>
              <c:f>'C:\projects\Kazakhstan\model\data\[Tariff data.xls]Figure1'!$B$8</c:f>
              <c:strCache>
                <c:ptCount val="1"/>
                <c:pt idx="0">
                  <c:v>  FSH</c:v>
                </c:pt>
              </c:strCache>
            </c:strRef>
          </c:tx>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data.xls]Figure1'!$C$8:$N$8</c:f>
              <c:numCache>
                <c:formatCode>General</c:formatCode>
                <c:ptCount val="12"/>
                <c:pt idx="0">
                  <c:v>5</c:v>
                </c:pt>
                <c:pt idx="1">
                  <c:v>9.8672559999999994</c:v>
                </c:pt>
                <c:pt idx="2">
                  <c:v>9.8672559999999994</c:v>
                </c:pt>
                <c:pt idx="3">
                  <c:v>10.35806</c:v>
                </c:pt>
                <c:pt idx="4">
                  <c:v>8.4221240000000002</c:v>
                </c:pt>
                <c:pt idx="5">
                  <c:v>7.4628319999999997</c:v>
                </c:pt>
                <c:pt idx="6">
                  <c:v>6.7566369999999996</c:v>
                </c:pt>
                <c:pt idx="7">
                  <c:v>6.6336279999999999</c:v>
                </c:pt>
                <c:pt idx="8">
                  <c:v>6.5221239999999998</c:v>
                </c:pt>
                <c:pt idx="9">
                  <c:v>6.5221239999999998</c:v>
                </c:pt>
                <c:pt idx="10">
                  <c:v>6.5221239999999998</c:v>
                </c:pt>
                <c:pt idx="11">
                  <c:v>6.5221239999999998</c:v>
                </c:pt>
              </c:numCache>
            </c:numRef>
          </c:val>
          <c:smooth val="0"/>
        </c:ser>
        <c:ser>
          <c:idx val="3"/>
          <c:order val="3"/>
          <c:tx>
            <c:strRef>
              <c:f>'C:\projects\Kazakhstan\model\data\[Tariff data.xls]Figure1'!$B$9</c:f>
              <c:strCache>
                <c:ptCount val="1"/>
                <c:pt idx="0">
                  <c:v>  COA</c:v>
                </c:pt>
              </c:strCache>
            </c:strRef>
          </c:tx>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data.xls]Figure1'!$C$9:$N$9</c:f>
              <c:numCache>
                <c:formatCode>General</c:formatCode>
                <c:ptCount val="12"/>
                <c:pt idx="0">
                  <c:v>5</c:v>
                </c:pt>
                <c:pt idx="1">
                  <c:v>5</c:v>
                </c:pt>
                <c:pt idx="2">
                  <c:v>5</c:v>
                </c:pt>
                <c:pt idx="3">
                  <c:v>4.444445</c:v>
                </c:pt>
                <c:pt idx="4">
                  <c:v>4.444445</c:v>
                </c:pt>
                <c:pt idx="5">
                  <c:v>4.444445</c:v>
                </c:pt>
                <c:pt idx="6">
                  <c:v>4.444445</c:v>
                </c:pt>
                <c:pt idx="7">
                  <c:v>4.444445</c:v>
                </c:pt>
                <c:pt idx="8">
                  <c:v>4.444445</c:v>
                </c:pt>
                <c:pt idx="9">
                  <c:v>4.444445</c:v>
                </c:pt>
                <c:pt idx="10">
                  <c:v>4.444445</c:v>
                </c:pt>
                <c:pt idx="11">
                  <c:v>4.444445</c:v>
                </c:pt>
              </c:numCache>
            </c:numRef>
          </c:val>
          <c:smooth val="0"/>
        </c:ser>
        <c:ser>
          <c:idx val="4"/>
          <c:order val="4"/>
          <c:tx>
            <c:strRef>
              <c:f>'C:\projects\Kazakhstan\model\data\[Tariff data.xls]Figure1'!$B$10</c:f>
              <c:strCache>
                <c:ptCount val="1"/>
                <c:pt idx="0">
                  <c:v>  OGA</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data.xls]Figure1'!$C$10:$N$10</c:f>
              <c:numCache>
                <c:formatCode>General</c:formatCode>
                <c:ptCount val="12"/>
                <c:pt idx="0">
                  <c:v>4</c:v>
                </c:pt>
                <c:pt idx="1">
                  <c:v>4.1666670000000003</c:v>
                </c:pt>
                <c:pt idx="2">
                  <c:v>4.1666670000000003</c:v>
                </c:pt>
                <c:pt idx="3">
                  <c:v>2</c:v>
                </c:pt>
                <c:pt idx="4">
                  <c:v>2.8571430000000002</c:v>
                </c:pt>
                <c:pt idx="5">
                  <c:v>2.8571430000000002</c:v>
                </c:pt>
                <c:pt idx="6">
                  <c:v>2.8571430000000002</c:v>
                </c:pt>
                <c:pt idx="7">
                  <c:v>2.8571430000000002</c:v>
                </c:pt>
                <c:pt idx="8">
                  <c:v>2.8571430000000002</c:v>
                </c:pt>
                <c:pt idx="9">
                  <c:v>2.8571430000000002</c:v>
                </c:pt>
                <c:pt idx="10">
                  <c:v>2.8571430000000002</c:v>
                </c:pt>
                <c:pt idx="11">
                  <c:v>2.8571430000000002</c:v>
                </c:pt>
              </c:numCache>
            </c:numRef>
          </c:val>
          <c:smooth val="0"/>
        </c:ser>
        <c:ser>
          <c:idx val="5"/>
          <c:order val="5"/>
          <c:tx>
            <c:strRef>
              <c:f>'C:\projects\Kazakhstan\model\data\[Tariff data.xls]Figure1'!$B$11</c:f>
              <c:strCache>
                <c:ptCount val="1"/>
                <c:pt idx="0">
                  <c:v>  MMO</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data.xls]Figure1'!$C$11:$N$11</c:f>
              <c:numCache>
                <c:formatCode>General</c:formatCode>
                <c:ptCount val="12"/>
                <c:pt idx="0">
                  <c:v>3.913043</c:v>
                </c:pt>
                <c:pt idx="1">
                  <c:v>2.8260869999999998</c:v>
                </c:pt>
                <c:pt idx="2">
                  <c:v>2.8260869999999998</c:v>
                </c:pt>
                <c:pt idx="3">
                  <c:v>2.954545</c:v>
                </c:pt>
                <c:pt idx="4">
                  <c:v>3.086957</c:v>
                </c:pt>
                <c:pt idx="5">
                  <c:v>2.9565220000000001</c:v>
                </c:pt>
                <c:pt idx="6">
                  <c:v>2.9565220000000001</c:v>
                </c:pt>
                <c:pt idx="7">
                  <c:v>2.9565220000000001</c:v>
                </c:pt>
                <c:pt idx="8">
                  <c:v>2.9565220000000001</c:v>
                </c:pt>
                <c:pt idx="9">
                  <c:v>2.9565220000000001</c:v>
                </c:pt>
                <c:pt idx="10">
                  <c:v>2.9565220000000001</c:v>
                </c:pt>
                <c:pt idx="11">
                  <c:v>2.9565220000000001</c:v>
                </c:pt>
              </c:numCache>
            </c:numRef>
          </c:val>
          <c:smooth val="0"/>
        </c:ser>
        <c:ser>
          <c:idx val="6"/>
          <c:order val="6"/>
          <c:tx>
            <c:strRef>
              <c:f>'C:\projects\Kazakhstan\model\data\[Tariff data.xls]Figure1'!$B$12</c:f>
              <c:strCache>
                <c:ptCount val="1"/>
                <c:pt idx="0">
                  <c:v>  OMI</c:v>
                </c:pt>
              </c:strCache>
            </c:strRef>
          </c:tx>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data.xls]Figure1'!$C$12:$N$12</c:f>
              <c:numCache>
                <c:formatCode>General</c:formatCode>
                <c:ptCount val="12"/>
                <c:pt idx="0">
                  <c:v>5</c:v>
                </c:pt>
                <c:pt idx="1">
                  <c:v>5.1927709999999996</c:v>
                </c:pt>
                <c:pt idx="2">
                  <c:v>5.1927709999999996</c:v>
                </c:pt>
                <c:pt idx="3">
                  <c:v>5.2077920000000004</c:v>
                </c:pt>
                <c:pt idx="4">
                  <c:v>5.0602410000000004</c:v>
                </c:pt>
                <c:pt idx="5">
                  <c:v>5</c:v>
                </c:pt>
                <c:pt idx="6">
                  <c:v>5</c:v>
                </c:pt>
                <c:pt idx="7">
                  <c:v>5</c:v>
                </c:pt>
                <c:pt idx="8">
                  <c:v>5</c:v>
                </c:pt>
                <c:pt idx="9">
                  <c:v>5</c:v>
                </c:pt>
                <c:pt idx="10">
                  <c:v>5</c:v>
                </c:pt>
                <c:pt idx="11">
                  <c:v>5</c:v>
                </c:pt>
              </c:numCache>
            </c:numRef>
          </c:val>
          <c:smooth val="0"/>
        </c:ser>
        <c:ser>
          <c:idx val="7"/>
          <c:order val="7"/>
          <c:tx>
            <c:strRef>
              <c:f>'C:\projects\Kazakhstan\model\data\[Tariff data.xls]Figure1'!$B$13</c:f>
              <c:strCache>
                <c:ptCount val="1"/>
                <c:pt idx="0">
                  <c:v>  FOB</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data.xls]Figure1'!$C$13:$N$13</c:f>
              <c:numCache>
                <c:formatCode>General</c:formatCode>
                <c:ptCount val="12"/>
                <c:pt idx="0">
                  <c:v>14.1395</c:v>
                </c:pt>
                <c:pt idx="1">
                  <c:v>19.685919999999999</c:v>
                </c:pt>
                <c:pt idx="2">
                  <c:v>19.685919999999999</c:v>
                </c:pt>
                <c:pt idx="3">
                  <c:v>17.638269999999999</c:v>
                </c:pt>
                <c:pt idx="4">
                  <c:v>17.362760000000002</c:v>
                </c:pt>
                <c:pt idx="5">
                  <c:v>16.473009999999999</c:v>
                </c:pt>
                <c:pt idx="6">
                  <c:v>15.69417</c:v>
                </c:pt>
                <c:pt idx="7">
                  <c:v>15.36088</c:v>
                </c:pt>
                <c:pt idx="8">
                  <c:v>15.31644</c:v>
                </c:pt>
                <c:pt idx="9">
                  <c:v>15.3123</c:v>
                </c:pt>
                <c:pt idx="10">
                  <c:v>15.3123</c:v>
                </c:pt>
                <c:pt idx="11">
                  <c:v>14.85205</c:v>
                </c:pt>
              </c:numCache>
            </c:numRef>
          </c:val>
          <c:smooth val="0"/>
        </c:ser>
        <c:ser>
          <c:idx val="9"/>
          <c:order val="8"/>
          <c:tx>
            <c:strRef>
              <c:f>'C:\projects\Kazakhstan\model\data\[Tariff data.xls]Figure1'!$B$15</c:f>
              <c:strCache>
                <c:ptCount val="1"/>
                <c:pt idx="0">
                  <c:v>  TEX</c:v>
                </c:pt>
              </c:strCache>
            </c:strRef>
          </c:tx>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data.xls]Figure1'!$C$15:$N$15</c:f>
              <c:numCache>
                <c:formatCode>General</c:formatCode>
                <c:ptCount val="12"/>
                <c:pt idx="0">
                  <c:v>8.0488199999999992</c:v>
                </c:pt>
                <c:pt idx="1">
                  <c:v>12.433479999999999</c:v>
                </c:pt>
                <c:pt idx="2">
                  <c:v>12.433479999999999</c:v>
                </c:pt>
                <c:pt idx="3">
                  <c:v>11.671430000000001</c:v>
                </c:pt>
                <c:pt idx="4">
                  <c:v>10.95837</c:v>
                </c:pt>
                <c:pt idx="5">
                  <c:v>9.8056549999999998</c:v>
                </c:pt>
                <c:pt idx="6">
                  <c:v>8.8486539999999998</c:v>
                </c:pt>
                <c:pt idx="7">
                  <c:v>8.4315010000000008</c:v>
                </c:pt>
                <c:pt idx="8">
                  <c:v>8.2475860000000001</c:v>
                </c:pt>
                <c:pt idx="9">
                  <c:v>8.241752</c:v>
                </c:pt>
                <c:pt idx="10">
                  <c:v>8.241752</c:v>
                </c:pt>
                <c:pt idx="11">
                  <c:v>8.241752</c:v>
                </c:pt>
              </c:numCache>
            </c:numRef>
          </c:val>
          <c:smooth val="0"/>
        </c:ser>
        <c:ser>
          <c:idx val="10"/>
          <c:order val="9"/>
          <c:tx>
            <c:strRef>
              <c:f>'C:\projects\Kazakhstan\model\data\[Tariff data.xls]Figure1'!$B$16</c:f>
              <c:strCache>
                <c:ptCount val="1"/>
                <c:pt idx="0">
                  <c:v>  WAP</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data.xls]Figure1'!$C$16:$N$16</c:f>
              <c:numCache>
                <c:formatCode>General</c:formatCode>
                <c:ptCount val="12"/>
                <c:pt idx="0">
                  <c:v>7.8155210000000004</c:v>
                </c:pt>
                <c:pt idx="1">
                  <c:v>18.194929999999999</c:v>
                </c:pt>
                <c:pt idx="2">
                  <c:v>18.194929999999999</c:v>
                </c:pt>
                <c:pt idx="3">
                  <c:v>16.078469999999999</c:v>
                </c:pt>
                <c:pt idx="4">
                  <c:v>15.321009999999999</c:v>
                </c:pt>
                <c:pt idx="5">
                  <c:v>14.48387</c:v>
                </c:pt>
                <c:pt idx="6">
                  <c:v>11.522220000000001</c:v>
                </c:pt>
                <c:pt idx="7">
                  <c:v>11.46189</c:v>
                </c:pt>
                <c:pt idx="8">
                  <c:v>11.40578</c:v>
                </c:pt>
                <c:pt idx="9">
                  <c:v>11.40578</c:v>
                </c:pt>
                <c:pt idx="10">
                  <c:v>11.40578</c:v>
                </c:pt>
                <c:pt idx="11">
                  <c:v>11.40578</c:v>
                </c:pt>
              </c:numCache>
            </c:numRef>
          </c:val>
          <c:smooth val="0"/>
        </c:ser>
        <c:ser>
          <c:idx val="11"/>
          <c:order val="10"/>
          <c:tx>
            <c:strRef>
              <c:f>'C:\projects\Kazakhstan\model\data\[Tariff data.xls]Figure1'!$B$17</c:f>
              <c:strCache>
                <c:ptCount val="1"/>
                <c:pt idx="0">
                  <c:v>  LEA</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data.xls]Figure1'!$C$17:$N$17</c:f>
              <c:numCache>
                <c:formatCode>General</c:formatCode>
                <c:ptCount val="12"/>
                <c:pt idx="0">
                  <c:v>14.69455</c:v>
                </c:pt>
                <c:pt idx="1">
                  <c:v>13.12842</c:v>
                </c:pt>
                <c:pt idx="2">
                  <c:v>13.12842</c:v>
                </c:pt>
                <c:pt idx="3">
                  <c:v>13.81466</c:v>
                </c:pt>
                <c:pt idx="4">
                  <c:v>12.80462</c:v>
                </c:pt>
                <c:pt idx="5">
                  <c:v>11.5806</c:v>
                </c:pt>
                <c:pt idx="6">
                  <c:v>9.6013769999999994</c:v>
                </c:pt>
                <c:pt idx="7">
                  <c:v>8.5089489999999994</c:v>
                </c:pt>
                <c:pt idx="8">
                  <c:v>8.4580920000000006</c:v>
                </c:pt>
                <c:pt idx="9">
                  <c:v>8.4580920000000006</c:v>
                </c:pt>
                <c:pt idx="10">
                  <c:v>8.4580920000000006</c:v>
                </c:pt>
                <c:pt idx="11">
                  <c:v>8.4580920000000006</c:v>
                </c:pt>
              </c:numCache>
            </c:numRef>
          </c:val>
          <c:smooth val="0"/>
        </c:ser>
        <c:ser>
          <c:idx val="12"/>
          <c:order val="11"/>
          <c:tx>
            <c:strRef>
              <c:f>'C:\projects\Kazakhstan\model\data\[Tariff data.xls]Figure1'!$B$18</c:f>
              <c:strCache>
                <c:ptCount val="1"/>
                <c:pt idx="0">
                  <c:v>  LUM</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data.xls]Figure1'!$C$18:$N$18</c:f>
              <c:numCache>
                <c:formatCode>General</c:formatCode>
                <c:ptCount val="12"/>
                <c:pt idx="0">
                  <c:v>6.3387979999999997</c:v>
                </c:pt>
                <c:pt idx="1">
                  <c:v>14.40217</c:v>
                </c:pt>
                <c:pt idx="2">
                  <c:v>14.40217</c:v>
                </c:pt>
                <c:pt idx="3">
                  <c:v>13.878920000000001</c:v>
                </c:pt>
                <c:pt idx="4">
                  <c:v>12.42656</c:v>
                </c:pt>
                <c:pt idx="5">
                  <c:v>10.797510000000001</c:v>
                </c:pt>
                <c:pt idx="6">
                  <c:v>9.2838170000000009</c:v>
                </c:pt>
                <c:pt idx="7">
                  <c:v>8.3834029999999995</c:v>
                </c:pt>
                <c:pt idx="8">
                  <c:v>8.2240669999999998</c:v>
                </c:pt>
                <c:pt idx="9">
                  <c:v>8.2240669999999998</c:v>
                </c:pt>
                <c:pt idx="10">
                  <c:v>8.2240669999999998</c:v>
                </c:pt>
                <c:pt idx="11">
                  <c:v>8.2240669999999998</c:v>
                </c:pt>
              </c:numCache>
            </c:numRef>
          </c:val>
          <c:smooth val="0"/>
        </c:ser>
        <c:ser>
          <c:idx val="13"/>
          <c:order val="12"/>
          <c:tx>
            <c:strRef>
              <c:f>'C:\projects\Kazakhstan\model\data\[Tariff data.xls]Figure1'!$B$19</c:f>
              <c:strCache>
                <c:ptCount val="1"/>
                <c:pt idx="0">
                  <c:v>  PPA</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data.xls]Figure1'!$C$19:$N$19</c:f>
              <c:numCache>
                <c:formatCode>General</c:formatCode>
                <c:ptCount val="12"/>
                <c:pt idx="0">
                  <c:v>5.7082639999999998</c:v>
                </c:pt>
                <c:pt idx="1">
                  <c:v>10.678000000000001</c:v>
                </c:pt>
                <c:pt idx="2">
                  <c:v>12.740500000000001</c:v>
                </c:pt>
                <c:pt idx="3">
                  <c:v>12.577059999999999</c:v>
                </c:pt>
                <c:pt idx="4">
                  <c:v>10.72438</c:v>
                </c:pt>
                <c:pt idx="5">
                  <c:v>9.5462810000000005</c:v>
                </c:pt>
                <c:pt idx="6">
                  <c:v>8.4228430000000003</c:v>
                </c:pt>
                <c:pt idx="7">
                  <c:v>7.642029</c:v>
                </c:pt>
                <c:pt idx="8">
                  <c:v>7.5120769999999997</c:v>
                </c:pt>
                <c:pt idx="9">
                  <c:v>7.5120769999999997</c:v>
                </c:pt>
                <c:pt idx="10">
                  <c:v>7.5120769999999997</c:v>
                </c:pt>
                <c:pt idx="11">
                  <c:v>7.5120769999999997</c:v>
                </c:pt>
              </c:numCache>
            </c:numRef>
          </c:val>
          <c:smooth val="0"/>
        </c:ser>
        <c:ser>
          <c:idx val="14"/>
          <c:order val="13"/>
          <c:tx>
            <c:strRef>
              <c:f>'C:\projects\Kazakhstan\model\data\[Tariff data.xls]Figure1'!$B$20</c:f>
              <c:strCache>
                <c:ptCount val="1"/>
                <c:pt idx="0">
                  <c:v>  PPR</c:v>
                </c:pt>
              </c:strCache>
            </c:strRef>
          </c:tx>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data.xls]Figure1'!$C$20:$N$20</c:f>
              <c:numCache>
                <c:formatCode>General</c:formatCode>
                <c:ptCount val="12"/>
                <c:pt idx="0">
                  <c:v>2.179487</c:v>
                </c:pt>
                <c:pt idx="1">
                  <c:v>8.0769230000000007</c:v>
                </c:pt>
                <c:pt idx="2">
                  <c:v>8.0769230000000007</c:v>
                </c:pt>
                <c:pt idx="3">
                  <c:v>8.6363640000000004</c:v>
                </c:pt>
                <c:pt idx="4">
                  <c:v>7.4824999999999999</c:v>
                </c:pt>
                <c:pt idx="5">
                  <c:v>6.3550000000000004</c:v>
                </c:pt>
                <c:pt idx="6">
                  <c:v>5.55</c:v>
                </c:pt>
                <c:pt idx="7">
                  <c:v>5.2750000000000004</c:v>
                </c:pt>
                <c:pt idx="8">
                  <c:v>5.2249999999999996</c:v>
                </c:pt>
                <c:pt idx="9">
                  <c:v>5.2249999999999996</c:v>
                </c:pt>
                <c:pt idx="10">
                  <c:v>5.2249999999999996</c:v>
                </c:pt>
                <c:pt idx="11">
                  <c:v>5.2249999999999996</c:v>
                </c:pt>
              </c:numCache>
            </c:numRef>
          </c:val>
          <c:smooth val="0"/>
        </c:ser>
        <c:ser>
          <c:idx val="15"/>
          <c:order val="14"/>
          <c:tx>
            <c:strRef>
              <c:f>'C:\projects\Kazakhstan\model\data\[Tariff data.xls]Figure1'!$B$21</c:f>
              <c:strCache>
                <c:ptCount val="1"/>
                <c:pt idx="0">
                  <c:v>  P_C</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data.xls]Figure1'!$C$21:$N$21</c:f>
              <c:numCache>
                <c:formatCode>General</c:formatCode>
                <c:ptCount val="12"/>
                <c:pt idx="0">
                  <c:v>4.84375</c:v>
                </c:pt>
                <c:pt idx="1">
                  <c:v>4.7087380000000003</c:v>
                </c:pt>
                <c:pt idx="2">
                  <c:v>4.7087380000000003</c:v>
                </c:pt>
                <c:pt idx="3">
                  <c:v>4.7008549999999998</c:v>
                </c:pt>
                <c:pt idx="4">
                  <c:v>4.6826930000000004</c:v>
                </c:pt>
                <c:pt idx="5">
                  <c:v>4.6730770000000001</c:v>
                </c:pt>
                <c:pt idx="6">
                  <c:v>4.6730770000000001</c:v>
                </c:pt>
                <c:pt idx="7">
                  <c:v>4.6730770000000001</c:v>
                </c:pt>
                <c:pt idx="8">
                  <c:v>4.6730770000000001</c:v>
                </c:pt>
                <c:pt idx="9">
                  <c:v>4.6730770000000001</c:v>
                </c:pt>
                <c:pt idx="10">
                  <c:v>4.6730770000000001</c:v>
                </c:pt>
                <c:pt idx="11">
                  <c:v>4.6730770000000001</c:v>
                </c:pt>
              </c:numCache>
            </c:numRef>
          </c:val>
          <c:smooth val="0"/>
        </c:ser>
        <c:ser>
          <c:idx val="16"/>
          <c:order val="15"/>
          <c:tx>
            <c:strRef>
              <c:f>'C:\projects\Kazakhstan\model\data\[Tariff data.xls]Figure1'!$B$22</c:f>
              <c:strCache>
                <c:ptCount val="1"/>
                <c:pt idx="0">
                  <c:v>  CHM</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data.xls]Figure1'!$C$22:$N$22</c:f>
              <c:numCache>
                <c:formatCode>General</c:formatCode>
                <c:ptCount val="12"/>
                <c:pt idx="0">
                  <c:v>4.1851229999999999</c:v>
                </c:pt>
                <c:pt idx="1">
                  <c:v>5.1294139999999997</c:v>
                </c:pt>
                <c:pt idx="2">
                  <c:v>6.1177380000000001</c:v>
                </c:pt>
                <c:pt idx="3">
                  <c:v>6.0355220000000003</c:v>
                </c:pt>
                <c:pt idx="4">
                  <c:v>5.7579719999999996</c:v>
                </c:pt>
                <c:pt idx="5">
                  <c:v>5.3630680000000002</c:v>
                </c:pt>
                <c:pt idx="6">
                  <c:v>5.0810380000000004</c:v>
                </c:pt>
                <c:pt idx="7">
                  <c:v>4.9585540000000004</c:v>
                </c:pt>
                <c:pt idx="8">
                  <c:v>4.905583</c:v>
                </c:pt>
                <c:pt idx="9">
                  <c:v>4.8927509999999996</c:v>
                </c:pt>
                <c:pt idx="10">
                  <c:v>4.8927509999999996</c:v>
                </c:pt>
                <c:pt idx="11">
                  <c:v>4.8927509999999996</c:v>
                </c:pt>
              </c:numCache>
            </c:numRef>
          </c:val>
          <c:smooth val="0"/>
        </c:ser>
        <c:ser>
          <c:idx val="17"/>
          <c:order val="16"/>
          <c:tx>
            <c:strRef>
              <c:f>'C:\projects\Kazakhstan\model\data\[Tariff data.xls]Figure1'!$B$23</c:f>
              <c:strCache>
                <c:ptCount val="1"/>
                <c:pt idx="0">
                  <c:v>  RPL</c:v>
                </c:pt>
              </c:strCache>
            </c:strRef>
          </c:tx>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data.xls]Figure1'!$C$23:$N$23</c:f>
              <c:numCache>
                <c:formatCode>General</c:formatCode>
                <c:ptCount val="12"/>
                <c:pt idx="0">
                  <c:v>8.8461540000000003</c:v>
                </c:pt>
                <c:pt idx="1">
                  <c:v>10.213179999999999</c:v>
                </c:pt>
                <c:pt idx="2">
                  <c:v>10.44665</c:v>
                </c:pt>
                <c:pt idx="3">
                  <c:v>10.654719999999999</c:v>
                </c:pt>
                <c:pt idx="4">
                  <c:v>9.7135409999999993</c:v>
                </c:pt>
                <c:pt idx="5">
                  <c:v>8.3626830000000005</c:v>
                </c:pt>
                <c:pt idx="6">
                  <c:v>7.3875580000000003</c:v>
                </c:pt>
                <c:pt idx="7">
                  <c:v>6.8222550000000002</c:v>
                </c:pt>
                <c:pt idx="8">
                  <c:v>6.4581039999999996</c:v>
                </c:pt>
                <c:pt idx="9">
                  <c:v>6.4262620000000004</c:v>
                </c:pt>
                <c:pt idx="10">
                  <c:v>6.4262620000000004</c:v>
                </c:pt>
                <c:pt idx="11">
                  <c:v>6.4262620000000004</c:v>
                </c:pt>
              </c:numCache>
            </c:numRef>
          </c:val>
          <c:smooth val="0"/>
        </c:ser>
        <c:ser>
          <c:idx val="18"/>
          <c:order val="17"/>
          <c:tx>
            <c:strRef>
              <c:f>'C:\projects\Kazakhstan\model\data\[Tariff data.xls]Figure1'!$B$24</c:f>
              <c:strCache>
                <c:ptCount val="1"/>
                <c:pt idx="0">
                  <c:v>  NMM</c:v>
                </c:pt>
              </c:strCache>
            </c:strRef>
          </c:tx>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data.xls]Figure1'!$C$24:$N$24</c:f>
              <c:numCache>
                <c:formatCode>General</c:formatCode>
                <c:ptCount val="12"/>
                <c:pt idx="0">
                  <c:v>8.699325</c:v>
                </c:pt>
                <c:pt idx="1">
                  <c:v>14.10554</c:v>
                </c:pt>
                <c:pt idx="2">
                  <c:v>14.10554</c:v>
                </c:pt>
                <c:pt idx="3">
                  <c:v>13.712070000000001</c:v>
                </c:pt>
                <c:pt idx="4">
                  <c:v>12.777979999999999</c:v>
                </c:pt>
                <c:pt idx="5">
                  <c:v>11.914540000000001</c:v>
                </c:pt>
                <c:pt idx="6">
                  <c:v>11.237220000000001</c:v>
                </c:pt>
                <c:pt idx="7">
                  <c:v>10.901260000000001</c:v>
                </c:pt>
                <c:pt idx="8">
                  <c:v>10.81546</c:v>
                </c:pt>
                <c:pt idx="9">
                  <c:v>10.81546</c:v>
                </c:pt>
                <c:pt idx="10">
                  <c:v>10.81546</c:v>
                </c:pt>
                <c:pt idx="11">
                  <c:v>10.81546</c:v>
                </c:pt>
              </c:numCache>
            </c:numRef>
          </c:val>
          <c:smooth val="0"/>
        </c:ser>
        <c:ser>
          <c:idx val="19"/>
          <c:order val="18"/>
          <c:tx>
            <c:strRef>
              <c:f>'C:\projects\Kazakhstan\model\data\[Tariff data.xls]Figure1'!$B$25</c:f>
              <c:strCache>
                <c:ptCount val="1"/>
                <c:pt idx="0">
                  <c:v>  MET</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data.xls]Figure1'!$C$25:$N$25</c:f>
              <c:numCache>
                <c:formatCode>General</c:formatCode>
                <c:ptCount val="12"/>
                <c:pt idx="0">
                  <c:v>4.5007339999999996</c:v>
                </c:pt>
                <c:pt idx="1">
                  <c:v>8.4629770000000004</c:v>
                </c:pt>
                <c:pt idx="2">
                  <c:v>9.8535760000000003</c:v>
                </c:pt>
                <c:pt idx="3">
                  <c:v>7.8978599999999997</c:v>
                </c:pt>
                <c:pt idx="4">
                  <c:v>7.8441109999999998</c:v>
                </c:pt>
                <c:pt idx="5">
                  <c:v>7.221025</c:v>
                </c:pt>
                <c:pt idx="6">
                  <c:v>6.667198</c:v>
                </c:pt>
                <c:pt idx="7">
                  <c:v>6.4981970000000002</c:v>
                </c:pt>
                <c:pt idx="8">
                  <c:v>6.4605839999999999</c:v>
                </c:pt>
                <c:pt idx="9">
                  <c:v>6.4605839999999999</c:v>
                </c:pt>
                <c:pt idx="10">
                  <c:v>6.4605839999999999</c:v>
                </c:pt>
                <c:pt idx="11">
                  <c:v>6.4605839999999999</c:v>
                </c:pt>
              </c:numCache>
            </c:numRef>
          </c:val>
          <c:smooth val="0"/>
        </c:ser>
        <c:ser>
          <c:idx val="20"/>
          <c:order val="19"/>
          <c:tx>
            <c:strRef>
              <c:f>'C:\projects\Kazakhstan\model\data\[Tariff data.xls]Figure1'!$B$26</c:f>
              <c:strCache>
                <c:ptCount val="1"/>
                <c:pt idx="0">
                  <c:v>  FMP</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data.xls]Figure1'!$C$26:$N$26</c:f>
              <c:numCache>
                <c:formatCode>General</c:formatCode>
                <c:ptCount val="12"/>
                <c:pt idx="0">
                  <c:v>7.6912929999999999</c:v>
                </c:pt>
                <c:pt idx="1">
                  <c:v>10.867470000000001</c:v>
                </c:pt>
                <c:pt idx="2">
                  <c:v>10.9655</c:v>
                </c:pt>
                <c:pt idx="3">
                  <c:v>10.822749999999999</c:v>
                </c:pt>
                <c:pt idx="4">
                  <c:v>9.9381070000000005</c:v>
                </c:pt>
                <c:pt idx="5">
                  <c:v>8.8642029999999998</c:v>
                </c:pt>
                <c:pt idx="6">
                  <c:v>8.1261589999999995</c:v>
                </c:pt>
                <c:pt idx="7">
                  <c:v>7.7797390000000002</c:v>
                </c:pt>
                <c:pt idx="8">
                  <c:v>7.6594150000000001</c:v>
                </c:pt>
                <c:pt idx="9">
                  <c:v>7.6594150000000001</c:v>
                </c:pt>
                <c:pt idx="10">
                  <c:v>7.6594150000000001</c:v>
                </c:pt>
                <c:pt idx="11">
                  <c:v>7.6594150000000001</c:v>
                </c:pt>
              </c:numCache>
            </c:numRef>
          </c:val>
          <c:smooth val="0"/>
        </c:ser>
        <c:ser>
          <c:idx val="21"/>
          <c:order val="20"/>
          <c:tx>
            <c:strRef>
              <c:f>'C:\projects\Kazakhstan\model\data\[Tariff data.xls]Figure1'!$B$27</c:f>
              <c:strCache>
                <c:ptCount val="1"/>
                <c:pt idx="0">
                  <c:v>  MME</c:v>
                </c:pt>
              </c:strCache>
            </c:strRef>
          </c:tx>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data.xls]Figure1'!$C$27:$N$27</c:f>
              <c:numCache>
                <c:formatCode>General</c:formatCode>
                <c:ptCount val="12"/>
                <c:pt idx="0">
                  <c:v>1.4353039999999999</c:v>
                </c:pt>
                <c:pt idx="1">
                  <c:v>3.9115090000000001</c:v>
                </c:pt>
                <c:pt idx="2">
                  <c:v>4.1020640000000004</c:v>
                </c:pt>
                <c:pt idx="3">
                  <c:v>4.0395139999999996</c:v>
                </c:pt>
                <c:pt idx="4">
                  <c:v>4.6110379999999997</c:v>
                </c:pt>
                <c:pt idx="5">
                  <c:v>4.2838599999999998</c:v>
                </c:pt>
                <c:pt idx="6">
                  <c:v>3.9232849999999999</c:v>
                </c:pt>
                <c:pt idx="7">
                  <c:v>3.7309899999999998</c:v>
                </c:pt>
                <c:pt idx="8">
                  <c:v>3.6861980000000001</c:v>
                </c:pt>
                <c:pt idx="9">
                  <c:v>3.6861980000000001</c:v>
                </c:pt>
                <c:pt idx="10">
                  <c:v>3.6861980000000001</c:v>
                </c:pt>
                <c:pt idx="11">
                  <c:v>3.6861980000000001</c:v>
                </c:pt>
              </c:numCache>
            </c:numRef>
          </c:val>
          <c:smooth val="0"/>
        </c:ser>
        <c:ser>
          <c:idx val="22"/>
          <c:order val="21"/>
          <c:tx>
            <c:strRef>
              <c:f>'C:\projects\Kazakhstan\model\data\[Tariff data.xls]Figure1'!$B$28</c:f>
              <c:strCache>
                <c:ptCount val="1"/>
                <c:pt idx="0">
                  <c:v>  OFM</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data.xls]Figure1'!$C$28:$N$28</c:f>
              <c:numCache>
                <c:formatCode>General</c:formatCode>
                <c:ptCount val="12"/>
                <c:pt idx="0">
                  <c:v>0</c:v>
                </c:pt>
                <c:pt idx="1">
                  <c:v>4.6688960000000002</c:v>
                </c:pt>
                <c:pt idx="2">
                  <c:v>4.6688960000000002</c:v>
                </c:pt>
                <c:pt idx="3">
                  <c:v>3</c:v>
                </c:pt>
                <c:pt idx="4">
                  <c:v>2.2775509999999999</c:v>
                </c:pt>
                <c:pt idx="5">
                  <c:v>1.191837</c:v>
                </c:pt>
                <c:pt idx="6">
                  <c:v>0.1632653</c:v>
                </c:pt>
                <c:pt idx="7">
                  <c:v>0.1632653</c:v>
                </c:pt>
                <c:pt idx="8">
                  <c:v>0.1632653</c:v>
                </c:pt>
                <c:pt idx="9">
                  <c:v>0.1632653</c:v>
                </c:pt>
                <c:pt idx="10">
                  <c:v>0.1632653</c:v>
                </c:pt>
                <c:pt idx="11">
                  <c:v>0.1632653</c:v>
                </c:pt>
              </c:numCache>
            </c:numRef>
          </c:val>
          <c:smooth val="0"/>
        </c:ser>
        <c:ser>
          <c:idx val="23"/>
          <c:order val="22"/>
          <c:tx>
            <c:strRef>
              <c:f>'C:\projects\Kazakhstan\model\data\[Tariff data.xls]Figure1'!$B$29</c:f>
              <c:strCache>
                <c:ptCount val="1"/>
                <c:pt idx="0">
                  <c:v>  EMA</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data.xls]Figure1'!$C$29:$N$29</c:f>
              <c:numCache>
                <c:formatCode>General</c:formatCode>
                <c:ptCount val="12"/>
                <c:pt idx="0">
                  <c:v>2.5524650000000002</c:v>
                </c:pt>
                <c:pt idx="1">
                  <c:v>8.1749910000000003</c:v>
                </c:pt>
                <c:pt idx="2">
                  <c:v>9.3216079999999994</c:v>
                </c:pt>
                <c:pt idx="3">
                  <c:v>9.3803570000000001</c:v>
                </c:pt>
                <c:pt idx="4">
                  <c:v>9.3242370000000001</c:v>
                </c:pt>
                <c:pt idx="5">
                  <c:v>7.7485799999999996</c:v>
                </c:pt>
                <c:pt idx="6">
                  <c:v>6.3107530000000001</c:v>
                </c:pt>
                <c:pt idx="7">
                  <c:v>6.0068380000000001</c:v>
                </c:pt>
                <c:pt idx="8">
                  <c:v>5.933351</c:v>
                </c:pt>
                <c:pt idx="9">
                  <c:v>5.933351</c:v>
                </c:pt>
                <c:pt idx="10">
                  <c:v>5.933351</c:v>
                </c:pt>
                <c:pt idx="11">
                  <c:v>5.933351</c:v>
                </c:pt>
              </c:numCache>
            </c:numRef>
          </c:val>
          <c:smooth val="0"/>
        </c:ser>
        <c:ser>
          <c:idx val="24"/>
          <c:order val="23"/>
          <c:tx>
            <c:strRef>
              <c:f>'C:\projects\Kazakhstan\model\data\[Tariff data.xls]Figure1'!$B$30</c:f>
              <c:strCache>
                <c:ptCount val="1"/>
                <c:pt idx="0">
                  <c:v>  RTC</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data.xls]Figure1'!$C$30:$N$30</c:f>
              <c:numCache>
                <c:formatCode>General</c:formatCode>
                <c:ptCount val="12"/>
                <c:pt idx="0">
                  <c:v>0</c:v>
                </c:pt>
                <c:pt idx="1">
                  <c:v>6.6750030000000002</c:v>
                </c:pt>
                <c:pt idx="2">
                  <c:v>6.9493929999999997</c:v>
                </c:pt>
                <c:pt idx="3">
                  <c:v>6.484756</c:v>
                </c:pt>
                <c:pt idx="4">
                  <c:v>6.1342290000000004</c:v>
                </c:pt>
                <c:pt idx="5">
                  <c:v>4.4404000000000003</c:v>
                </c:pt>
                <c:pt idx="6">
                  <c:v>2.5103430000000002</c:v>
                </c:pt>
                <c:pt idx="7">
                  <c:v>2.4357139999999999</c:v>
                </c:pt>
                <c:pt idx="8">
                  <c:v>2.4357139999999999</c:v>
                </c:pt>
                <c:pt idx="9">
                  <c:v>2.4357139999999999</c:v>
                </c:pt>
                <c:pt idx="10">
                  <c:v>2.4357139999999999</c:v>
                </c:pt>
                <c:pt idx="11">
                  <c:v>2.4357139999999999</c:v>
                </c:pt>
              </c:numCache>
            </c:numRef>
          </c:val>
          <c:smooth val="0"/>
        </c:ser>
        <c:ser>
          <c:idx val="25"/>
          <c:order val="24"/>
          <c:tx>
            <c:strRef>
              <c:f>'C:\projects\Kazakhstan\model\data\[Tariff data.xls]Figure1'!$B$31</c:f>
              <c:strCache>
                <c:ptCount val="1"/>
                <c:pt idx="0">
                  <c:v>  MPO</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data.xls]Figure1'!$C$31:$N$31</c:f>
              <c:numCache>
                <c:formatCode>General</c:formatCode>
                <c:ptCount val="12"/>
                <c:pt idx="0">
                  <c:v>3.5575060000000001</c:v>
                </c:pt>
                <c:pt idx="1">
                  <c:v>6.3658849999999996</c:v>
                </c:pt>
                <c:pt idx="2">
                  <c:v>7.8839899999999998</c:v>
                </c:pt>
                <c:pt idx="3">
                  <c:v>9.4997520000000009</c:v>
                </c:pt>
                <c:pt idx="4">
                  <c:v>6.851483</c:v>
                </c:pt>
                <c:pt idx="5">
                  <c:v>6.1436159999999997</c:v>
                </c:pt>
                <c:pt idx="6">
                  <c:v>5.3669399999999996</c:v>
                </c:pt>
                <c:pt idx="7">
                  <c:v>5.0695290000000002</c:v>
                </c:pt>
                <c:pt idx="8">
                  <c:v>4.98224</c:v>
                </c:pt>
                <c:pt idx="9">
                  <c:v>4.98224</c:v>
                </c:pt>
                <c:pt idx="10">
                  <c:v>4.98224</c:v>
                </c:pt>
                <c:pt idx="11">
                  <c:v>4.98224</c:v>
                </c:pt>
              </c:numCache>
            </c:numRef>
          </c:val>
          <c:smooth val="0"/>
        </c:ser>
        <c:ser>
          <c:idx val="26"/>
          <c:order val="25"/>
          <c:tx>
            <c:strRef>
              <c:f>'C:\projects\Kazakhstan\model\data\[Tariff data.xls]Figure1'!$B$32</c:f>
              <c:strCache>
                <c:ptCount val="1"/>
                <c:pt idx="0">
                  <c:v>  MVH</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data.xls]Figure1'!$C$32:$N$32</c:f>
              <c:numCache>
                <c:formatCode>General</c:formatCode>
                <c:ptCount val="12"/>
                <c:pt idx="0">
                  <c:v>1.466083</c:v>
                </c:pt>
                <c:pt idx="1">
                  <c:v>21.00573</c:v>
                </c:pt>
                <c:pt idx="2">
                  <c:v>21.00573</c:v>
                </c:pt>
                <c:pt idx="3">
                  <c:v>14.59867</c:v>
                </c:pt>
                <c:pt idx="4">
                  <c:v>12.351520000000001</c:v>
                </c:pt>
                <c:pt idx="5">
                  <c:v>12.04881</c:v>
                </c:pt>
                <c:pt idx="6">
                  <c:v>11.79731</c:v>
                </c:pt>
                <c:pt idx="7">
                  <c:v>11.5489</c:v>
                </c:pt>
                <c:pt idx="8">
                  <c:v>11.375220000000001</c:v>
                </c:pt>
                <c:pt idx="9">
                  <c:v>11.10148</c:v>
                </c:pt>
                <c:pt idx="10">
                  <c:v>10.882910000000001</c:v>
                </c:pt>
                <c:pt idx="11">
                  <c:v>10.882910000000001</c:v>
                </c:pt>
              </c:numCache>
            </c:numRef>
          </c:val>
          <c:smooth val="0"/>
        </c:ser>
        <c:ser>
          <c:idx val="27"/>
          <c:order val="26"/>
          <c:tx>
            <c:strRef>
              <c:f>'C:\projects\Kazakhstan\model\data\[Tariff data.xls]Figure1'!$B$33</c:f>
              <c:strCache>
                <c:ptCount val="1"/>
                <c:pt idx="0">
                  <c:v>  OTN</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data.xls]Figure1'!$C$33:$N$33</c:f>
              <c:numCache>
                <c:formatCode>General</c:formatCode>
                <c:ptCount val="12"/>
                <c:pt idx="0">
                  <c:v>2.086093</c:v>
                </c:pt>
                <c:pt idx="1">
                  <c:v>8.9454550000000008</c:v>
                </c:pt>
                <c:pt idx="2">
                  <c:v>9.4909090000000003</c:v>
                </c:pt>
                <c:pt idx="3">
                  <c:v>9.913043</c:v>
                </c:pt>
                <c:pt idx="4">
                  <c:v>10.32864</c:v>
                </c:pt>
                <c:pt idx="5">
                  <c:v>9.4417089999999995</c:v>
                </c:pt>
                <c:pt idx="6">
                  <c:v>8.6703519999999994</c:v>
                </c:pt>
                <c:pt idx="7">
                  <c:v>8.1552760000000006</c:v>
                </c:pt>
                <c:pt idx="8">
                  <c:v>7.8884420000000004</c:v>
                </c:pt>
                <c:pt idx="9">
                  <c:v>7.8060299999999998</c:v>
                </c:pt>
                <c:pt idx="10">
                  <c:v>7.7185930000000003</c:v>
                </c:pt>
                <c:pt idx="11">
                  <c:v>7.7185930000000003</c:v>
                </c:pt>
              </c:numCache>
            </c:numRef>
          </c:val>
          <c:smooth val="0"/>
        </c:ser>
        <c:ser>
          <c:idx val="28"/>
          <c:order val="27"/>
          <c:tx>
            <c:strRef>
              <c:f>'C:\projects\Kazakhstan\model\data\[Tariff data.xls]Figure1'!$B$34</c:f>
              <c:strCache>
                <c:ptCount val="1"/>
                <c:pt idx="0">
                  <c:v>  FUR</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data.xls]Figure1'!$C$34:$N$34</c:f>
              <c:numCache>
                <c:formatCode>General</c:formatCode>
                <c:ptCount val="12"/>
                <c:pt idx="0">
                  <c:v>7.3909770000000004</c:v>
                </c:pt>
                <c:pt idx="1">
                  <c:v>16.22458</c:v>
                </c:pt>
                <c:pt idx="2">
                  <c:v>16.22458</c:v>
                </c:pt>
                <c:pt idx="3">
                  <c:v>15.88297</c:v>
                </c:pt>
                <c:pt idx="4">
                  <c:v>14.570080000000001</c:v>
                </c:pt>
                <c:pt idx="5">
                  <c:v>13.55227</c:v>
                </c:pt>
                <c:pt idx="6">
                  <c:v>12.3924</c:v>
                </c:pt>
                <c:pt idx="7">
                  <c:v>11.265610000000001</c:v>
                </c:pt>
                <c:pt idx="8">
                  <c:v>10.31969</c:v>
                </c:pt>
                <c:pt idx="9">
                  <c:v>9.8094859999999997</c:v>
                </c:pt>
                <c:pt idx="10">
                  <c:v>9.8094859999999997</c:v>
                </c:pt>
                <c:pt idx="11">
                  <c:v>9.8094859999999997</c:v>
                </c:pt>
              </c:numCache>
            </c:numRef>
          </c:val>
          <c:smooth val="0"/>
        </c:ser>
        <c:ser>
          <c:idx val="29"/>
          <c:order val="28"/>
          <c:tx>
            <c:strRef>
              <c:f>'C:\projects\Kazakhstan\model\data\[Tariff data.xls]Figure1'!$B$35</c:f>
              <c:strCache>
                <c:ptCount val="1"/>
                <c:pt idx="0">
                  <c:v>  ELG</c:v>
                </c:pt>
              </c:strCache>
            </c:strRef>
          </c:tx>
          <c:spPr>
            <a:ln w="25400"/>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data.xls]Figure1'!$C$35:$N$35</c:f>
              <c:numCache>
                <c:formatCode>General</c:formatCode>
                <c:ptCount val="12"/>
                <c:pt idx="0">
                  <c:v>5</c:v>
                </c:pt>
                <c:pt idx="1">
                  <c:v>3.3333330000000001</c:v>
                </c:pt>
                <c:pt idx="2">
                  <c:v>3.3333330000000001</c:v>
                </c:pt>
                <c:pt idx="3">
                  <c:v>3.3333330000000001</c:v>
                </c:pt>
                <c:pt idx="4">
                  <c:v>3.3333330000000001</c:v>
                </c:pt>
                <c:pt idx="5">
                  <c:v>3.3333330000000001</c:v>
                </c:pt>
                <c:pt idx="6">
                  <c:v>3.3333330000000001</c:v>
                </c:pt>
                <c:pt idx="7">
                  <c:v>3.3333330000000001</c:v>
                </c:pt>
                <c:pt idx="8">
                  <c:v>3.3333330000000001</c:v>
                </c:pt>
                <c:pt idx="9">
                  <c:v>3.3333330000000001</c:v>
                </c:pt>
                <c:pt idx="10">
                  <c:v>3.3333330000000001</c:v>
                </c:pt>
                <c:pt idx="11">
                  <c:v>3.3333330000000001</c:v>
                </c:pt>
              </c:numCache>
            </c:numRef>
          </c:val>
          <c:smooth val="0"/>
        </c:ser>
        <c:ser>
          <c:idx val="30"/>
          <c:order val="29"/>
          <c:tx>
            <c:strRef>
              <c:f>'C:\projects\Kazakhstan\model\data\[Tariff data.xls]Figure1'!$B$36</c:f>
              <c:strCache>
                <c:ptCount val="1"/>
                <c:pt idx="0">
                  <c:v>Total</c:v>
                </c:pt>
              </c:strCache>
            </c:strRef>
          </c:tx>
          <c:spPr>
            <a:ln w="38100">
              <a:solidFill>
                <a:srgbClr val="FF0000"/>
              </a:solidFill>
              <a:prstDash val="sysDash"/>
            </a:ln>
          </c:spPr>
          <c:marker>
            <c:symbol val="none"/>
          </c:marker>
          <c:cat>
            <c:numRef>
              <c:f>'C:\projects\Kazakhstan\model\data\[Tariff data.xls]Figure1'!$C$5:$N$5</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'C:\projects\Kazakhstan\model\data\[Tariff data.xls]Figure1'!$C$36:$N$36</c:f>
              <c:numCache>
                <c:formatCode>General</c:formatCode>
                <c:ptCount val="12"/>
                <c:pt idx="0">
                  <c:v>6.7433620000000003</c:v>
                </c:pt>
                <c:pt idx="1">
                  <c:v>11.13115</c:v>
                </c:pt>
                <c:pt idx="2">
                  <c:v>11.57334</c:v>
                </c:pt>
                <c:pt idx="3">
                  <c:v>10.76145</c:v>
                </c:pt>
                <c:pt idx="4">
                  <c:v>10.085319999999999</c:v>
                </c:pt>
                <c:pt idx="5">
                  <c:v>9.2786000000000008</c:v>
                </c:pt>
                <c:pt idx="6">
                  <c:v>8.4754280000000008</c:v>
                </c:pt>
                <c:pt idx="7">
                  <c:v>8.1713190000000004</c:v>
                </c:pt>
                <c:pt idx="8">
                  <c:v>8.0647870000000008</c:v>
                </c:pt>
                <c:pt idx="9">
                  <c:v>8.0384740000000008</c:v>
                </c:pt>
                <c:pt idx="10">
                  <c:v>8.0303269999999998</c:v>
                </c:pt>
                <c:pt idx="11">
                  <c:v>7.9521459999999999</c:v>
                </c:pt>
              </c:numCache>
            </c:numRef>
          </c:val>
          <c:smooth val="0"/>
        </c:ser>
        <c:dLbls>
          <c:showLegendKey val="0"/>
          <c:showVal val="0"/>
          <c:showCatName val="0"/>
          <c:showSerName val="0"/>
          <c:showPercent val="0"/>
          <c:showBubbleSize val="0"/>
        </c:dLbls>
        <c:smooth val="0"/>
        <c:axId val="704977416"/>
        <c:axId val="704976632"/>
      </c:lineChart>
      <c:catAx>
        <c:axId val="704977416"/>
        <c:scaling>
          <c:orientation val="minMax"/>
        </c:scaling>
        <c:delete val="0"/>
        <c:axPos val="b"/>
        <c:numFmt formatCode="General" sourceLinked="1"/>
        <c:majorTickMark val="none"/>
        <c:minorTickMark val="none"/>
        <c:tickLblPos val="nextTo"/>
        <c:crossAx val="704976632"/>
        <c:crosses val="autoZero"/>
        <c:auto val="1"/>
        <c:lblAlgn val="ctr"/>
        <c:lblOffset val="100"/>
        <c:noMultiLvlLbl val="0"/>
      </c:catAx>
      <c:valAx>
        <c:axId val="704976632"/>
        <c:scaling>
          <c:orientation val="minMax"/>
        </c:scaling>
        <c:delete val="0"/>
        <c:axPos val="l"/>
        <c:majorGridlines/>
        <c:title>
          <c:tx>
            <c:rich>
              <a:bodyPr/>
              <a:lstStyle/>
              <a:p>
                <a:pPr>
                  <a:defRPr sz="800"/>
                </a:pPr>
                <a:r>
                  <a:rPr lang="en-US" sz="800"/>
                  <a:t>Average Tariff Rate -  Simple Average of Listed Rates</a:t>
                </a:r>
              </a:p>
            </c:rich>
          </c:tx>
          <c:layout>
            <c:manualLayout>
              <c:xMode val="edge"/>
              <c:yMode val="edge"/>
              <c:x val="3.9593265127573331E-3"/>
              <c:y val="0.17611111111111111"/>
            </c:manualLayout>
          </c:layout>
          <c:overlay val="0"/>
        </c:title>
        <c:numFmt formatCode="General" sourceLinked="1"/>
        <c:majorTickMark val="none"/>
        <c:minorTickMark val="none"/>
        <c:tickLblPos val="nextTo"/>
        <c:crossAx val="704977416"/>
        <c:crosses val="autoZero"/>
        <c:crossBetween val="between"/>
      </c:valAx>
    </c:plotArea>
    <c:legend>
      <c:legendPos val="r"/>
      <c:layout>
        <c:manualLayout>
          <c:xMode val="edge"/>
          <c:yMode val="edge"/>
          <c:x val="0.84262882318281651"/>
          <c:y val="4.1467629046369206E-2"/>
          <c:w val="0.15031692467013053"/>
          <c:h val="0.90796749336814198"/>
        </c:manualLayout>
      </c:layout>
      <c:overlay val="0"/>
      <c:txPr>
        <a:bodyPr/>
        <a:lstStyle/>
        <a:p>
          <a:pPr>
            <a:defRPr sz="800"/>
          </a:pPr>
          <a:endParaRPr lang="en-US"/>
        </a:p>
      </c:txPr>
    </c:legend>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ubbleChart>
        <c:varyColors val="0"/>
        <c:ser>
          <c:idx val="0"/>
          <c:order val="0"/>
          <c:spPr>
            <a:noFill/>
            <a:ln w="19050">
              <a:solidFill>
                <a:srgbClr val="C00000"/>
              </a:solidFill>
            </a:ln>
          </c:spPr>
          <c:invertIfNegative val="0"/>
          <c:dLbls>
            <c:dLbl>
              <c:idx val="3"/>
              <c:layout>
                <c:manualLayout>
                  <c:x val="-6.6269052352551358E-2"/>
                  <c:y val="-1.9930241017817006E-2"/>
                </c:manualLayout>
              </c:layout>
              <c:tx>
                <c:rich>
                  <a:bodyPr/>
                  <a:lstStyle/>
                  <a:p>
                    <a:r>
                      <a:rPr lang="en-US" sz="800"/>
                      <a:t>minerals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2.1206305474241169E-2"/>
                  <c:y val="-1.5944192814253605E-2"/>
                </c:manualLayout>
              </c:layout>
              <c:tx>
                <c:rich>
                  <a:bodyPr/>
                  <a:lstStyle/>
                  <a:p>
                    <a:r>
                      <a:rPr lang="en-US" sz="800"/>
                      <a:t>wood</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5.3015241882041084E-2"/>
                  <c:y val="1.1958144610690205E-2"/>
                </c:manualLayout>
              </c:layout>
              <c:tx>
                <c:rich>
                  <a:bodyPr/>
                  <a:lstStyle/>
                  <a:p>
                    <a:r>
                      <a:rPr lang="en-US" sz="800"/>
                      <a:t>textiles/clothing</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1.5904572564612373E-2"/>
                  <c:y val="-2.3916289221380411E-2"/>
                </c:manualLayout>
              </c:layout>
              <c:tx>
                <c:rich>
                  <a:bodyPr/>
                  <a:lstStyle/>
                  <a:p>
                    <a:r>
                      <a:rPr lang="en-US" sz="800"/>
                      <a:t>footwear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layout>
                <c:manualLayout>
                  <c:x val="-3.7110669317428763E-2"/>
                  <c:y val="4.384653023919742E-2"/>
                </c:manualLayout>
              </c:layout>
              <c:tx>
                <c:rich>
                  <a:bodyPr/>
                  <a:lstStyle/>
                  <a:p>
                    <a:r>
                      <a:rPr lang="en-US" sz="800"/>
                      <a:t>stone / glass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layout>
                <c:manualLayout>
                  <c:x val="-5.036447978793903E-2"/>
                  <c:y val="7.9720964071268025E-2"/>
                </c:manualLayout>
              </c:layout>
              <c:tx>
                <c:rich>
                  <a:bodyPr/>
                  <a:lstStyle/>
                  <a:p>
                    <a:r>
                      <a:rPr lang="en-US" sz="800"/>
                      <a:t>metals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layout>
                <c:manualLayout>
                  <c:x val="-0.14844267726971505"/>
                  <c:y val="-4.384653023919742E-2"/>
                </c:manualLayout>
              </c:layout>
              <c:tx>
                <c:rich>
                  <a:bodyPr/>
                  <a:lstStyle/>
                  <a:p>
                    <a:r>
                      <a:rPr lang="en-US" sz="800"/>
                      <a:t>machinery / electronics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3"/>
              <c:layout>
                <c:manualLayout>
                  <c:x val="-2.6507620941020542E-2"/>
                  <c:y val="-0.11160934969977525"/>
                </c:manualLayout>
              </c:layout>
              <c:tx>
                <c:rich>
                  <a:bodyPr/>
                  <a:lstStyle/>
                  <a:p>
                    <a:r>
                      <a:rPr lang="en-US" sz="800"/>
                      <a:t>transport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4"/>
              <c:layout>
                <c:manualLayout>
                  <c:x val="-0.11398277004638833"/>
                  <c:y val="5.9790723053451025E-2"/>
                </c:manualLayout>
              </c:layout>
              <c:tx>
                <c:rich>
                  <a:bodyPr/>
                  <a:lstStyle/>
                  <a:p>
                    <a:r>
                      <a:rPr lang="en-US" sz="800"/>
                      <a:t>miscellaneous</a:t>
                    </a:r>
                    <a:r>
                      <a:rPr lang="en-US" sz="800" baseline="0"/>
                      <a:t> mfg</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'Fig3.6 data'!$J$2:$J$17</c:f>
              <c:numCache>
                <c:formatCode>General</c:formatCode>
                <c:ptCount val="16"/>
                <c:pt idx="0">
                  <c:v>-1.5774999999999999</c:v>
                </c:pt>
                <c:pt idx="1">
                  <c:v>0.26394329999999999</c:v>
                </c:pt>
                <c:pt idx="2">
                  <c:v>-0.99457669999999998</c:v>
                </c:pt>
                <c:pt idx="3">
                  <c:v>2.526786</c:v>
                </c:pt>
                <c:pt idx="4">
                  <c:v>1.71485</c:v>
                </c:pt>
                <c:pt idx="5">
                  <c:v>0.57238999999999995</c:v>
                </c:pt>
                <c:pt idx="6">
                  <c:v>4.0307639999999996</c:v>
                </c:pt>
                <c:pt idx="7">
                  <c:v>5.7046520000000003</c:v>
                </c:pt>
                <c:pt idx="8">
                  <c:v>3.483644</c:v>
                </c:pt>
                <c:pt idx="9">
                  <c:v>0.35294120000000001</c:v>
                </c:pt>
                <c:pt idx="10">
                  <c:v>5.5765560000000001</c:v>
                </c:pt>
                <c:pt idx="11">
                  <c:v>3.8378420000000002</c:v>
                </c:pt>
                <c:pt idx="12">
                  <c:v>2.9760070000000001</c:v>
                </c:pt>
                <c:pt idx="13">
                  <c:v>8.4482599999999994</c:v>
                </c:pt>
                <c:pt idx="14">
                  <c:v>2.3444690000000001</c:v>
                </c:pt>
              </c:numCache>
            </c:numRef>
          </c:xVal>
          <c:yVal>
            <c:numRef>
              <c:f>'Fig3.6 data'!$E$2:$E$17</c:f>
              <c:numCache>
                <c:formatCode>General</c:formatCode>
                <c:ptCount val="16"/>
                <c:pt idx="0">
                  <c:v>-0.5624593</c:v>
                </c:pt>
                <c:pt idx="1">
                  <c:v>-1.936437</c:v>
                </c:pt>
                <c:pt idx="2">
                  <c:v>-6.8689600000000003E-2</c:v>
                </c:pt>
                <c:pt idx="3">
                  <c:v>-5.4325199999999997E-2</c:v>
                </c:pt>
                <c:pt idx="4">
                  <c:v>-0.31323869999999998</c:v>
                </c:pt>
                <c:pt idx="5">
                  <c:v>2.1702669999999999</c:v>
                </c:pt>
                <c:pt idx="6">
                  <c:v>8.3745480000000008</c:v>
                </c:pt>
                <c:pt idx="7">
                  <c:v>-0.19649449999999999</c:v>
                </c:pt>
                <c:pt idx="8">
                  <c:v>8.9866910000000004</c:v>
                </c:pt>
                <c:pt idx="9">
                  <c:v>30.25647</c:v>
                </c:pt>
                <c:pt idx="10">
                  <c:v>-4.6746309999999998</c:v>
                </c:pt>
                <c:pt idx="11">
                  <c:v>-5.6219549999999998</c:v>
                </c:pt>
                <c:pt idx="12">
                  <c:v>11.584709999999999</c:v>
                </c:pt>
                <c:pt idx="13">
                  <c:v>9.5457850000000004</c:v>
                </c:pt>
                <c:pt idx="14">
                  <c:v>-4.1549959999999997</c:v>
                </c:pt>
                <c:pt idx="15">
                  <c:v>7.3306700000000002E-2</c:v>
                </c:pt>
              </c:numCache>
            </c:numRef>
          </c:yVal>
          <c:bubbleSize>
            <c:numRef>
              <c:f>'Fig3.6 data'!$L$2:$L$17</c:f>
              <c:numCache>
                <c:formatCode>General</c:formatCode>
                <c:ptCount val="16"/>
                <c:pt idx="0">
                  <c:v>1.9322760000000001E-2</c:v>
                </c:pt>
                <c:pt idx="1">
                  <c:v>2.7137129999999999E-2</c:v>
                </c:pt>
                <c:pt idx="2">
                  <c:v>4.9045789999999999E-2</c:v>
                </c:pt>
                <c:pt idx="3">
                  <c:v>0.12681580000000001</c:v>
                </c:pt>
                <c:pt idx="4">
                  <c:v>8.1957479999999999E-2</c:v>
                </c:pt>
                <c:pt idx="5">
                  <c:v>4.7205980000000002E-2</c:v>
                </c:pt>
                <c:pt idx="6">
                  <c:v>1.905154E-3</c:v>
                </c:pt>
                <c:pt idx="7">
                  <c:v>3.7151900000000002E-2</c:v>
                </c:pt>
                <c:pt idx="8">
                  <c:v>2.4771060000000001E-2</c:v>
                </c:pt>
                <c:pt idx="9">
                  <c:v>7.9891930000000003E-3</c:v>
                </c:pt>
                <c:pt idx="10">
                  <c:v>2.503725E-2</c:v>
                </c:pt>
                <c:pt idx="11">
                  <c:v>0.1231814</c:v>
                </c:pt>
                <c:pt idx="12">
                  <c:v>0.2403274</c:v>
                </c:pt>
                <c:pt idx="13">
                  <c:v>0.13882749999999999</c:v>
                </c:pt>
                <c:pt idx="14">
                  <c:v>4.5785349999999995E-2</c:v>
                </c:pt>
                <c:pt idx="15">
                  <c:v>3.538921E-3</c:v>
                </c:pt>
              </c:numCache>
            </c:numRef>
          </c:bubbleSize>
          <c:bubble3D val="0"/>
        </c:ser>
        <c:dLbls>
          <c:showLegendKey val="0"/>
          <c:showVal val="0"/>
          <c:showCatName val="0"/>
          <c:showSerName val="0"/>
          <c:showPercent val="0"/>
          <c:showBubbleSize val="0"/>
        </c:dLbls>
        <c:bubbleScale val="100"/>
        <c:showNegBubbles val="0"/>
        <c:axId val="704980552"/>
        <c:axId val="704981336"/>
      </c:bubbleChart>
      <c:valAx>
        <c:axId val="704980552"/>
        <c:scaling>
          <c:orientation val="minMax"/>
          <c:max val="10"/>
        </c:scaling>
        <c:delete val="0"/>
        <c:axPos val="b"/>
        <c:title>
          <c:tx>
            <c:rich>
              <a:bodyPr/>
              <a:lstStyle/>
              <a:p>
                <a:pPr>
                  <a:defRPr sz="700"/>
                </a:pPr>
                <a:r>
                  <a:rPr lang="en-US" sz="700"/>
                  <a:t>Percentage point change in tariff level from 2008 (pre CU) to 2010 (post CU)</a:t>
                </a:r>
              </a:p>
            </c:rich>
          </c:tx>
          <c:layout>
            <c:manualLayout>
              <c:xMode val="edge"/>
              <c:yMode val="edge"/>
              <c:x val="0.12876734344588636"/>
              <c:y val="0.91465870796170756"/>
            </c:manualLayout>
          </c:layout>
          <c:overlay val="0"/>
        </c:title>
        <c:numFmt formatCode="General" sourceLinked="1"/>
        <c:majorTickMark val="out"/>
        <c:minorTickMark val="none"/>
        <c:tickLblPos val="nextTo"/>
        <c:crossAx val="704981336"/>
        <c:crosses val="autoZero"/>
        <c:crossBetween val="midCat"/>
      </c:valAx>
      <c:valAx>
        <c:axId val="704981336"/>
        <c:scaling>
          <c:orientation val="minMax"/>
          <c:max val="35"/>
        </c:scaling>
        <c:delete val="0"/>
        <c:axPos val="l"/>
        <c:majorGridlines>
          <c:spPr>
            <a:ln>
              <a:prstDash val="dash"/>
            </a:ln>
          </c:spPr>
        </c:majorGridlines>
        <c:title>
          <c:tx>
            <c:rich>
              <a:bodyPr rot="-5400000" vert="horz"/>
              <a:lstStyle/>
              <a:p>
                <a:pPr>
                  <a:defRPr sz="700"/>
                </a:pPr>
                <a:r>
                  <a:rPr lang="en-US" sz="700"/>
                  <a:t>Change in share of imports from China (% points) 2011-12 avg versus 2008-09 avg</a:t>
                </a:r>
              </a:p>
            </c:rich>
          </c:tx>
          <c:layout>
            <c:manualLayout>
              <c:xMode val="edge"/>
              <c:yMode val="edge"/>
              <c:x val="1.3253810470510271E-2"/>
              <c:y val="0.10923247229461101"/>
            </c:manualLayout>
          </c:layout>
          <c:overlay val="0"/>
        </c:title>
        <c:numFmt formatCode="General" sourceLinked="1"/>
        <c:majorTickMark val="out"/>
        <c:minorTickMark val="none"/>
        <c:tickLblPos val="nextTo"/>
        <c:txPr>
          <a:bodyPr/>
          <a:lstStyle/>
          <a:p>
            <a:pPr>
              <a:defRPr sz="800"/>
            </a:pPr>
            <a:endParaRPr lang="en-US"/>
          </a:p>
        </c:txPr>
        <c:crossAx val="704980552"/>
        <c:crosses val="autoZero"/>
        <c:crossBetween val="midCat"/>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741214057508"/>
          <c:y val="6.5185185185185179E-2"/>
          <c:w val="0.80528784648187635"/>
          <c:h val="0.75608308605341246"/>
        </c:manualLayout>
      </c:layout>
      <c:bubbleChart>
        <c:varyColors val="0"/>
        <c:ser>
          <c:idx val="0"/>
          <c:order val="0"/>
          <c:spPr>
            <a:noFill/>
            <a:ln w="19050">
              <a:solidFill>
                <a:schemeClr val="accent1"/>
              </a:solidFill>
            </a:ln>
          </c:spPr>
          <c:invertIfNegative val="0"/>
          <c:dLbls>
            <c:dLbl>
              <c:idx val="0"/>
              <c:layout>
                <c:manualLayout>
                  <c:x val="-0.11398277004638833"/>
                  <c:y val="-4.384653023919742E-2"/>
                </c:manualLayout>
              </c:layout>
              <c:tx>
                <c:rich>
                  <a:bodyPr/>
                  <a:lstStyle/>
                  <a:p>
                    <a:r>
                      <a:rPr lang="en-US" sz="800">
                        <a:latin typeface="Times New Roman" pitchFamily="18" charset="0"/>
                        <a:cs typeface="Times New Roman" pitchFamily="18" charset="0"/>
                      </a:rPr>
                      <a:t>animal</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7110669317428763E-2"/>
                  <c:y val="-7.1748867664141264E-2"/>
                </c:manualLayout>
              </c:layout>
              <c:tx>
                <c:rich>
                  <a:bodyPr/>
                  <a:lstStyle/>
                  <a:p>
                    <a:r>
                      <a:rPr lang="en-US" sz="800">
                        <a:latin typeface="Times New Roman" pitchFamily="18" charset="0"/>
                        <a:cs typeface="Times New Roman" pitchFamily="18" charset="0"/>
                      </a:rPr>
                      <a:t>minerals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0.16699801192842942"/>
                  <c:y val="7.9714686830002577E-3"/>
                </c:manualLayout>
              </c:layout>
              <c:tx>
                <c:rich>
                  <a:bodyPr/>
                  <a:lstStyle/>
                  <a:p>
                    <a:r>
                      <a:rPr lang="en-US" sz="800">
                        <a:latin typeface="Times New Roman" pitchFamily="18" charset="0"/>
                        <a:cs typeface="Times New Roman" pitchFamily="18" charset="0"/>
                      </a:rPr>
                      <a:t>plastics / rubber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3.1809145129224649E-2"/>
                  <c:y val="0"/>
                </c:manualLayout>
              </c:layout>
              <c:tx>
                <c:rich>
                  <a:bodyPr/>
                  <a:lstStyle/>
                  <a:p>
                    <a:r>
                      <a:rPr lang="en-US" sz="800">
                        <a:latin typeface="Times New Roman" pitchFamily="18" charset="0"/>
                        <a:cs typeface="Times New Roman" pitchFamily="18" charset="0"/>
                      </a:rPr>
                      <a:t>miscellaneous mfg</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4.241219350563287E-2"/>
                  <c:y val="7.9720964071268025E-3"/>
                </c:manualLayout>
              </c:layout>
              <c:tx>
                <c:rich>
                  <a:bodyPr/>
                  <a:lstStyle/>
                  <a:p>
                    <a:r>
                      <a:rPr lang="en-US" sz="800">
                        <a:latin typeface="Times New Roman" pitchFamily="18" charset="0"/>
                        <a:cs typeface="Times New Roman" pitchFamily="18" charset="0"/>
                      </a:rPr>
                      <a:t>textiles / clothing</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layout>
                <c:manualLayout>
                  <c:x val="-2.6507620941020445E-2"/>
                  <c:y val="3.9860482035634012E-2"/>
                </c:manualLayout>
              </c:layout>
              <c:tx>
                <c:rich>
                  <a:bodyPr/>
                  <a:lstStyle/>
                  <a:p>
                    <a:r>
                      <a:rPr lang="en-US" sz="800">
                        <a:latin typeface="Times New Roman" pitchFamily="18" charset="0"/>
                        <a:cs typeface="Times New Roman" pitchFamily="18" charset="0"/>
                      </a:rPr>
                      <a:t>stone/glass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layout>
                <c:manualLayout>
                  <c:x val="-3.7110669317428666E-2"/>
                  <c:y val="5.1818626646324223E-2"/>
                </c:manualLayout>
              </c:layout>
              <c:tx>
                <c:rich>
                  <a:bodyPr/>
                  <a:lstStyle/>
                  <a:p>
                    <a:r>
                      <a:rPr lang="en-US" sz="800">
                        <a:latin typeface="Times New Roman" pitchFamily="18" charset="0"/>
                        <a:cs typeface="Times New Roman" pitchFamily="18" charset="0"/>
                      </a:rPr>
                      <a:t>metals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layout>
                <c:manualLayout>
                  <c:x val="-0.14844267726971505"/>
                  <c:y val="-3.9860482035634012E-3"/>
                </c:manualLayout>
              </c:layout>
              <c:tx>
                <c:rich>
                  <a:bodyPr/>
                  <a:lstStyle/>
                  <a:p>
                    <a:r>
                      <a:rPr lang="en-US" sz="800">
                        <a:latin typeface="Times New Roman" pitchFamily="18" charset="0"/>
                        <a:cs typeface="Times New Roman" pitchFamily="18" charset="0"/>
                      </a:rPr>
                      <a:t>machinery / electronics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3"/>
              <c:tx>
                <c:rich>
                  <a:bodyPr/>
                  <a:lstStyle/>
                  <a:p>
                    <a:r>
                      <a:rPr lang="en-US" sz="800">
                        <a:latin typeface="Times New Roman" pitchFamily="18" charset="0"/>
                        <a:cs typeface="Times New Roman" pitchFamily="18" charset="0"/>
                      </a:rPr>
                      <a:t>transport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Times New Roman" pitchFamily="18" charset="0"/>
                    <a:cs typeface="Times New Roman"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'Fig3.6 data'!$J$18:$J$33</c:f>
              <c:numCache>
                <c:formatCode>General</c:formatCode>
                <c:ptCount val="16"/>
                <c:pt idx="0">
                  <c:v>-1.3744639999999999</c:v>
                </c:pt>
                <c:pt idx="1">
                  <c:v>7.9409499999999994E-2</c:v>
                </c:pt>
                <c:pt idx="2">
                  <c:v>-2.3826399999999999</c:v>
                </c:pt>
                <c:pt idx="3">
                  <c:v>1.7001470000000001</c:v>
                </c:pt>
                <c:pt idx="4">
                  <c:v>1.2361409999999999</c:v>
                </c:pt>
                <c:pt idx="5">
                  <c:v>0.37087910000000002</c:v>
                </c:pt>
                <c:pt idx="6">
                  <c:v>1.985563</c:v>
                </c:pt>
                <c:pt idx="7">
                  <c:v>5.7223189999999997</c:v>
                </c:pt>
                <c:pt idx="8">
                  <c:v>3.5276420000000002</c:v>
                </c:pt>
                <c:pt idx="9">
                  <c:v>1.0227269999999999</c:v>
                </c:pt>
                <c:pt idx="10">
                  <c:v>5.5598109999999998</c:v>
                </c:pt>
                <c:pt idx="11">
                  <c:v>4.246302</c:v>
                </c:pt>
                <c:pt idx="12">
                  <c:v>2.9822389999999999</c:v>
                </c:pt>
                <c:pt idx="13">
                  <c:v>7.5279670000000003</c:v>
                </c:pt>
                <c:pt idx="14">
                  <c:v>1.453241</c:v>
                </c:pt>
              </c:numCache>
            </c:numRef>
          </c:xVal>
          <c:yVal>
            <c:numRef>
              <c:f>'Fig3.6 data'!$E$18:$E$33</c:f>
              <c:numCache>
                <c:formatCode>General</c:formatCode>
                <c:ptCount val="16"/>
                <c:pt idx="0">
                  <c:v>5.1971639999999999</c:v>
                </c:pt>
                <c:pt idx="1">
                  <c:v>-0.94092920000000002</c:v>
                </c:pt>
                <c:pt idx="2">
                  <c:v>-0.83910439999999997</c:v>
                </c:pt>
                <c:pt idx="3">
                  <c:v>-0.19415669999999999</c:v>
                </c:pt>
                <c:pt idx="4">
                  <c:v>-4.8928630000000002</c:v>
                </c:pt>
                <c:pt idx="5">
                  <c:v>-7.8638649999999997</c:v>
                </c:pt>
                <c:pt idx="6">
                  <c:v>-13.27544</c:v>
                </c:pt>
                <c:pt idx="7">
                  <c:v>-8.8181320000000003</c:v>
                </c:pt>
                <c:pt idx="8">
                  <c:v>-13.13921</c:v>
                </c:pt>
                <c:pt idx="9">
                  <c:v>-10.57105</c:v>
                </c:pt>
                <c:pt idx="10">
                  <c:v>-2.5559289999999999</c:v>
                </c:pt>
                <c:pt idx="11">
                  <c:v>-4.3792609999999996</c:v>
                </c:pt>
                <c:pt idx="12">
                  <c:v>-11.435890000000001</c:v>
                </c:pt>
                <c:pt idx="13">
                  <c:v>-14.142620000000001</c:v>
                </c:pt>
                <c:pt idx="14">
                  <c:v>-8.178153</c:v>
                </c:pt>
                <c:pt idx="15">
                  <c:v>-0.3357328</c:v>
                </c:pt>
              </c:numCache>
            </c:numRef>
          </c:yVal>
          <c:bubbleSize>
            <c:numRef>
              <c:f>'Fig3.6 data'!$L$18:$L$33</c:f>
              <c:numCache>
                <c:formatCode>General</c:formatCode>
                <c:ptCount val="16"/>
                <c:pt idx="0">
                  <c:v>1.9322760000000001E-2</c:v>
                </c:pt>
                <c:pt idx="1">
                  <c:v>2.7137129999999999E-2</c:v>
                </c:pt>
                <c:pt idx="2">
                  <c:v>4.9045789999999999E-2</c:v>
                </c:pt>
                <c:pt idx="3">
                  <c:v>0.12681580000000001</c:v>
                </c:pt>
                <c:pt idx="4">
                  <c:v>8.1957479999999999E-2</c:v>
                </c:pt>
                <c:pt idx="5">
                  <c:v>4.7205980000000002E-2</c:v>
                </c:pt>
                <c:pt idx="6">
                  <c:v>1.905154E-3</c:v>
                </c:pt>
                <c:pt idx="7">
                  <c:v>3.7151900000000002E-2</c:v>
                </c:pt>
                <c:pt idx="8">
                  <c:v>2.4771060000000001E-2</c:v>
                </c:pt>
                <c:pt idx="9">
                  <c:v>7.9891930000000003E-3</c:v>
                </c:pt>
                <c:pt idx="10">
                  <c:v>2.503725E-2</c:v>
                </c:pt>
                <c:pt idx="11">
                  <c:v>0.1231814</c:v>
                </c:pt>
                <c:pt idx="12">
                  <c:v>0.2403274</c:v>
                </c:pt>
                <c:pt idx="13">
                  <c:v>0.13882749999999999</c:v>
                </c:pt>
                <c:pt idx="14">
                  <c:v>4.5785349999999995E-2</c:v>
                </c:pt>
                <c:pt idx="15">
                  <c:v>3.538921E-3</c:v>
                </c:pt>
              </c:numCache>
            </c:numRef>
          </c:bubbleSize>
          <c:bubble3D val="0"/>
        </c:ser>
        <c:dLbls>
          <c:showLegendKey val="0"/>
          <c:showVal val="0"/>
          <c:showCatName val="0"/>
          <c:showSerName val="0"/>
          <c:showPercent val="0"/>
          <c:showBubbleSize val="0"/>
        </c:dLbls>
        <c:bubbleScale val="100"/>
        <c:showNegBubbles val="0"/>
        <c:axId val="704980944"/>
        <c:axId val="704983688"/>
      </c:bubbleChart>
      <c:valAx>
        <c:axId val="704980944"/>
        <c:scaling>
          <c:orientation val="minMax"/>
        </c:scaling>
        <c:delete val="0"/>
        <c:axPos val="b"/>
        <c:title>
          <c:tx>
            <c:rich>
              <a:bodyPr/>
              <a:lstStyle/>
              <a:p>
                <a:pPr>
                  <a:defRPr sz="700">
                    <a:latin typeface="Times New Roman" pitchFamily="18" charset="0"/>
                    <a:cs typeface="Times New Roman" pitchFamily="18" charset="0"/>
                  </a:defRPr>
                </a:pPr>
                <a:r>
                  <a:rPr lang="en-US" sz="700">
                    <a:latin typeface="Times New Roman" pitchFamily="18" charset="0"/>
                    <a:cs typeface="Times New Roman" pitchFamily="18" charset="0"/>
                  </a:rPr>
                  <a:t>Percentage point change in tariff level from 2008 (pre CU) to 2010 (post CU)</a:t>
                </a:r>
              </a:p>
            </c:rich>
          </c:tx>
          <c:layout>
            <c:manualLayout>
              <c:xMode val="edge"/>
              <c:yMode val="edge"/>
              <c:x val="0.12876734344588636"/>
              <c:y val="0.91465870796170756"/>
            </c:manualLayout>
          </c:layout>
          <c:overlay val="0"/>
        </c:title>
        <c:numFmt formatCode="General" sourceLinked="1"/>
        <c:majorTickMark val="out"/>
        <c:minorTickMark val="none"/>
        <c:tickLblPos val="nextTo"/>
        <c:crossAx val="704983688"/>
        <c:crosses val="autoZero"/>
        <c:crossBetween val="midCat"/>
      </c:valAx>
      <c:valAx>
        <c:axId val="704983688"/>
        <c:scaling>
          <c:orientation val="minMax"/>
        </c:scaling>
        <c:delete val="0"/>
        <c:axPos val="l"/>
        <c:majorGridlines>
          <c:spPr>
            <a:ln>
              <a:prstDash val="dash"/>
            </a:ln>
          </c:spPr>
        </c:majorGridlines>
        <c:title>
          <c:tx>
            <c:rich>
              <a:bodyPr rot="-5400000" vert="horz"/>
              <a:lstStyle/>
              <a:p>
                <a:pPr>
                  <a:defRPr sz="700" b="1">
                    <a:latin typeface="Times New Roman" pitchFamily="18" charset="0"/>
                    <a:cs typeface="Times New Roman" pitchFamily="18" charset="0"/>
                  </a:defRPr>
                </a:pPr>
                <a:r>
                  <a:rPr lang="en-US" sz="700" b="1">
                    <a:latin typeface="Times New Roman" pitchFamily="18" charset="0"/>
                    <a:cs typeface="Times New Roman" pitchFamily="18" charset="0"/>
                  </a:rPr>
                  <a:t>Change in share of imports from EU (% points) 2011-12 avg versus 2008-09 avg</a:t>
                </a:r>
              </a:p>
            </c:rich>
          </c:tx>
          <c:layout>
            <c:manualLayout>
              <c:xMode val="edge"/>
              <c:yMode val="edge"/>
              <c:x val="1.3253810470510271E-2"/>
              <c:y val="0.10923247229461101"/>
            </c:manualLayout>
          </c:layout>
          <c:overlay val="0"/>
        </c:title>
        <c:numFmt formatCode="General" sourceLinked="1"/>
        <c:majorTickMark val="out"/>
        <c:minorTickMark val="none"/>
        <c:tickLblPos val="nextTo"/>
        <c:crossAx val="704980944"/>
        <c:crosses val="autoZero"/>
        <c:crossBetween val="midCat"/>
      </c:valAx>
    </c:plotArea>
    <c:plotVisOnly val="1"/>
    <c:dispBlanksAs val="gap"/>
    <c:showDLblsOverMax val="0"/>
  </c:chart>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9396-0F32-494A-B50E-42211F56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14195</Words>
  <Characters>80914</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 Malouche</dc:creator>
  <cp:lastModifiedBy>Shynar Jetpissova</cp:lastModifiedBy>
  <cp:revision>3</cp:revision>
  <cp:lastPrinted>2013-11-15T21:28:00Z</cp:lastPrinted>
  <dcterms:created xsi:type="dcterms:W3CDTF">2015-05-30T11:03:00Z</dcterms:created>
  <dcterms:modified xsi:type="dcterms:W3CDTF">2015-06-30T10:57:00Z</dcterms:modified>
</cp:coreProperties>
</file>