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CD" w:rsidRDefault="00E56693" w:rsidP="001D5B3F">
      <w:pPr>
        <w:spacing w:line="240" w:lineRule="auto"/>
        <w:jc w:val="center"/>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59264" behindDoc="0" locked="0" layoutInCell="1" allowOverlap="1">
                <wp:simplePos x="0" y="0"/>
                <wp:positionH relativeFrom="column">
                  <wp:posOffset>4981487</wp:posOffset>
                </wp:positionH>
                <wp:positionV relativeFrom="paragraph">
                  <wp:posOffset>-835025</wp:posOffset>
                </wp:positionV>
                <wp:extent cx="1182414" cy="7086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82414" cy="708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6693" w:rsidRPr="00E56693" w:rsidRDefault="00E56693">
                            <w:pPr>
                              <w:rPr>
                                <w:rFonts w:ascii="Arial" w:hAnsi="Arial" w:cs="Arial"/>
                                <w:sz w:val="44"/>
                                <w:szCs w:val="44"/>
                              </w:rPr>
                            </w:pPr>
                            <w:r>
                              <w:rPr>
                                <w:rFonts w:ascii="Arial" w:hAnsi="Arial" w:cs="Arial"/>
                                <w:sz w:val="44"/>
                                <w:szCs w:val="44"/>
                              </w:rPr>
                              <w:t>88154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25pt;margin-top:-65.75pt;width:93.1pt;height:5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" fillcolor="white [3201]" stroked="f" strokeweight=".5pt">
                <v:textbox>
                  <w:txbxContent>
                    <w:p w:rsidR="00E56693" w:rsidRPr="00E56693" w:rsidRDefault="00E56693">
                      <w:pPr>
                        <w:rPr>
                          <w:rFonts w:ascii="Arial" w:hAnsi="Arial" w:cs="Arial"/>
                          <w:sz w:val="44"/>
                          <w:szCs w:val="44"/>
                        </w:rPr>
                      </w:pPr>
                      <w:r>
                        <w:rPr>
                          <w:rFonts w:ascii="Arial" w:hAnsi="Arial" w:cs="Arial"/>
                          <w:sz w:val="44"/>
                          <w:szCs w:val="44"/>
                        </w:rPr>
                        <w:t>88154</w:t>
                      </w:r>
                    </w:p>
                  </w:txbxContent>
                </v:textbox>
              </v:shape>
            </w:pict>
          </mc:Fallback>
        </mc:AlternateContent>
      </w:r>
      <w:r w:rsidR="00106B3F" w:rsidRPr="007E69FF">
        <w:rPr>
          <w:rFonts w:ascii="Times New Roman" w:hAnsi="Times New Roman" w:cs="Times New Roman"/>
          <w:b/>
          <w:bCs/>
          <w:color w:val="000000"/>
        </w:rPr>
        <w:t xml:space="preserve">PROJECT INFORMATION DOCUMENT (PID) </w:t>
      </w:r>
    </w:p>
    <w:p w:rsidR="00106B3F" w:rsidRPr="007E69FF" w:rsidRDefault="00EB6B9C" w:rsidP="001D5B3F">
      <w:pPr>
        <w:spacing w:line="240" w:lineRule="auto"/>
        <w:jc w:val="center"/>
        <w:rPr>
          <w:rFonts w:ascii="Times New Roman" w:hAnsi="Times New Roman" w:cs="Times New Roman"/>
          <w:b/>
          <w:bCs/>
          <w:color w:val="000000"/>
        </w:rPr>
      </w:pPr>
      <w:r>
        <w:rPr>
          <w:rFonts w:ascii="Times New Roman" w:hAnsi="Times New Roman" w:cs="Times New Roman"/>
          <w:b/>
          <w:bCs/>
          <w:color w:val="000000"/>
        </w:rPr>
        <w:t>APPRAISAL</w:t>
      </w:r>
      <w:r w:rsidR="00106B3F" w:rsidRPr="007E69FF">
        <w:rPr>
          <w:rFonts w:ascii="Times New Roman" w:hAnsi="Times New Roman" w:cs="Times New Roman"/>
          <w:b/>
          <w:bCs/>
          <w:color w:val="000000"/>
        </w:rPr>
        <w:t xml:space="preserve"> STAGE</w:t>
      </w:r>
      <w:bookmarkStart w:id="0" w:name="_GoBack"/>
      <w:bookmarkEnd w:id="0"/>
    </w:p>
    <w:p w:rsidR="00106B3F" w:rsidRPr="007E69FF" w:rsidRDefault="00106B3F" w:rsidP="001D5B3F">
      <w:pPr>
        <w:pStyle w:val="Default"/>
        <w:jc w:val="both"/>
        <w:rPr>
          <w:sz w:val="22"/>
          <w:szCs w:val="22"/>
        </w:rPr>
      </w:pPr>
    </w:p>
    <w:p w:rsidR="004E1C1B" w:rsidRDefault="004E1C1B" w:rsidP="001D5B3F">
      <w:pPr>
        <w:pStyle w:val="Default"/>
        <w:jc w:val="right"/>
        <w:rPr>
          <w:sz w:val="22"/>
          <w:szCs w:val="22"/>
        </w:rPr>
      </w:pPr>
    </w:p>
    <w:p w:rsidR="006B7BCD" w:rsidRPr="007E69FF" w:rsidRDefault="006B7BCD" w:rsidP="001D5B3F">
      <w:pPr>
        <w:pStyle w:val="Default"/>
        <w:jc w:val="righ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10"/>
        <w:gridCol w:w="5751"/>
      </w:tblGrid>
      <w:tr w:rsidR="004E1C1B" w:rsidRPr="007E69FF">
        <w:trPr>
          <w:trHeight w:val="176"/>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 xml:space="preserve">Project Name </w:t>
            </w:r>
          </w:p>
        </w:tc>
        <w:tc>
          <w:tcPr>
            <w:tcW w:w="5751" w:type="dxa"/>
            <w:tcBorders>
              <w:top w:val="single" w:sz="4" w:space="0" w:color="000000"/>
              <w:left w:val="single" w:sz="4" w:space="0" w:color="000000"/>
              <w:bottom w:val="single" w:sz="4" w:space="0" w:color="000000"/>
              <w:right w:val="single" w:sz="4" w:space="0" w:color="000000"/>
            </w:tcBorders>
          </w:tcPr>
          <w:p w:rsidR="004E1C1B" w:rsidRPr="007E69FF" w:rsidRDefault="0001367E" w:rsidP="00AF2267">
            <w:pPr>
              <w:pStyle w:val="Default"/>
              <w:rPr>
                <w:sz w:val="22"/>
                <w:szCs w:val="22"/>
              </w:rPr>
            </w:pPr>
            <w:r>
              <w:rPr>
                <w:sz w:val="22"/>
                <w:szCs w:val="22"/>
              </w:rPr>
              <w:t xml:space="preserve">Partnership </w:t>
            </w:r>
            <w:r w:rsidR="00350138">
              <w:rPr>
                <w:sz w:val="22"/>
                <w:szCs w:val="22"/>
              </w:rPr>
              <w:t>for</w:t>
            </w:r>
            <w:r>
              <w:rPr>
                <w:sz w:val="22"/>
                <w:szCs w:val="22"/>
              </w:rPr>
              <w:t xml:space="preserve"> Market Readiness</w:t>
            </w:r>
            <w:r w:rsidR="002E59DF">
              <w:rPr>
                <w:sz w:val="22"/>
                <w:szCs w:val="22"/>
              </w:rPr>
              <w:t xml:space="preserve"> (PMR)</w:t>
            </w:r>
            <w:r>
              <w:rPr>
                <w:sz w:val="22"/>
                <w:szCs w:val="22"/>
              </w:rPr>
              <w:t xml:space="preserve"> in </w:t>
            </w:r>
            <w:r w:rsidR="00AF2267">
              <w:rPr>
                <w:sz w:val="22"/>
                <w:szCs w:val="22"/>
              </w:rPr>
              <w:t>Chile</w:t>
            </w:r>
            <w:r w:rsidR="004E1C1B" w:rsidRPr="007E69FF">
              <w:rPr>
                <w:sz w:val="22"/>
                <w:szCs w:val="22"/>
              </w:rPr>
              <w:t xml:space="preserve"> </w:t>
            </w:r>
          </w:p>
        </w:tc>
      </w:tr>
      <w:tr w:rsidR="004E1C1B" w:rsidRPr="007E69FF">
        <w:trPr>
          <w:trHeight w:val="171"/>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 xml:space="preserve">Region </w:t>
            </w:r>
          </w:p>
        </w:tc>
        <w:tc>
          <w:tcPr>
            <w:tcW w:w="5751" w:type="dxa"/>
            <w:tcBorders>
              <w:top w:val="single" w:sz="4" w:space="0" w:color="000000"/>
              <w:left w:val="single" w:sz="4" w:space="0" w:color="000000"/>
              <w:bottom w:val="single" w:sz="4" w:space="0" w:color="000000"/>
              <w:right w:val="single" w:sz="4" w:space="0" w:color="000000"/>
            </w:tcBorders>
          </w:tcPr>
          <w:p w:rsidR="004E1C1B" w:rsidRPr="007E69FF" w:rsidRDefault="00AF2267" w:rsidP="001D5B3F">
            <w:pPr>
              <w:pStyle w:val="Default"/>
              <w:rPr>
                <w:sz w:val="22"/>
                <w:szCs w:val="22"/>
              </w:rPr>
            </w:pPr>
            <w:r>
              <w:rPr>
                <w:sz w:val="22"/>
                <w:szCs w:val="22"/>
              </w:rPr>
              <w:t>Latin America and Caribbean</w:t>
            </w:r>
            <w:r w:rsidR="004E1C1B" w:rsidRPr="007E69FF">
              <w:rPr>
                <w:sz w:val="22"/>
                <w:szCs w:val="22"/>
              </w:rPr>
              <w:t xml:space="preserve"> </w:t>
            </w:r>
          </w:p>
        </w:tc>
      </w:tr>
      <w:tr w:rsidR="004E1C1B" w:rsidRPr="007E69FF">
        <w:trPr>
          <w:trHeight w:val="172"/>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 xml:space="preserve">Country </w:t>
            </w:r>
          </w:p>
        </w:tc>
        <w:tc>
          <w:tcPr>
            <w:tcW w:w="5751" w:type="dxa"/>
            <w:tcBorders>
              <w:top w:val="single" w:sz="4" w:space="0" w:color="000000"/>
              <w:left w:val="single" w:sz="4" w:space="0" w:color="000000"/>
              <w:bottom w:val="single" w:sz="4" w:space="0" w:color="000000"/>
              <w:right w:val="single" w:sz="4" w:space="0" w:color="000000"/>
            </w:tcBorders>
          </w:tcPr>
          <w:p w:rsidR="004E1C1B" w:rsidRPr="007E69FF" w:rsidRDefault="00AF2267" w:rsidP="001D5B3F">
            <w:pPr>
              <w:pStyle w:val="Default"/>
              <w:rPr>
                <w:sz w:val="22"/>
                <w:szCs w:val="22"/>
              </w:rPr>
            </w:pPr>
            <w:r>
              <w:rPr>
                <w:sz w:val="22"/>
                <w:szCs w:val="22"/>
              </w:rPr>
              <w:t>Chile</w:t>
            </w:r>
          </w:p>
        </w:tc>
      </w:tr>
      <w:tr w:rsidR="004E1C1B" w:rsidRPr="007E69FF">
        <w:trPr>
          <w:trHeight w:val="171"/>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 xml:space="preserve">Sector(s) </w:t>
            </w:r>
          </w:p>
        </w:tc>
        <w:tc>
          <w:tcPr>
            <w:tcW w:w="5751" w:type="dxa"/>
            <w:tcBorders>
              <w:top w:val="single" w:sz="4" w:space="0" w:color="000000"/>
              <w:left w:val="single" w:sz="4" w:space="0" w:color="000000"/>
              <w:bottom w:val="single" w:sz="4" w:space="0" w:color="000000"/>
              <w:right w:val="single" w:sz="4" w:space="0" w:color="000000"/>
            </w:tcBorders>
          </w:tcPr>
          <w:p w:rsidR="004E1C1B" w:rsidRPr="007E69FF" w:rsidRDefault="00164769" w:rsidP="001D5B3F">
            <w:pPr>
              <w:pStyle w:val="Default"/>
              <w:rPr>
                <w:sz w:val="22"/>
                <w:szCs w:val="22"/>
              </w:rPr>
            </w:pPr>
            <w:r w:rsidRPr="00164769">
              <w:rPr>
                <w:sz w:val="22"/>
                <w:szCs w:val="22"/>
              </w:rPr>
              <w:t>General energy sector (100%)</w:t>
            </w:r>
          </w:p>
        </w:tc>
      </w:tr>
      <w:tr w:rsidR="00A21B7E" w:rsidRPr="007E69FF">
        <w:trPr>
          <w:trHeight w:val="171"/>
        </w:trPr>
        <w:tc>
          <w:tcPr>
            <w:tcW w:w="3510" w:type="dxa"/>
            <w:tcBorders>
              <w:top w:val="single" w:sz="4" w:space="0" w:color="000000"/>
              <w:left w:val="single" w:sz="4" w:space="0" w:color="000000"/>
              <w:bottom w:val="single" w:sz="4" w:space="0" w:color="000000"/>
              <w:right w:val="single" w:sz="4" w:space="0" w:color="000000"/>
            </w:tcBorders>
          </w:tcPr>
          <w:p w:rsidR="00A21B7E" w:rsidRPr="007E69FF" w:rsidRDefault="00A21B7E" w:rsidP="001D5B3F">
            <w:pPr>
              <w:pStyle w:val="Default"/>
              <w:rPr>
                <w:b/>
                <w:bCs/>
                <w:sz w:val="22"/>
                <w:szCs w:val="22"/>
              </w:rPr>
            </w:pPr>
            <w:r>
              <w:rPr>
                <w:b/>
                <w:bCs/>
                <w:sz w:val="22"/>
                <w:szCs w:val="22"/>
              </w:rPr>
              <w:t>Theme(s)</w:t>
            </w:r>
          </w:p>
        </w:tc>
        <w:tc>
          <w:tcPr>
            <w:tcW w:w="5751" w:type="dxa"/>
            <w:tcBorders>
              <w:top w:val="single" w:sz="4" w:space="0" w:color="000000"/>
              <w:left w:val="single" w:sz="4" w:space="0" w:color="000000"/>
              <w:bottom w:val="single" w:sz="4" w:space="0" w:color="000000"/>
              <w:right w:val="single" w:sz="4" w:space="0" w:color="000000"/>
            </w:tcBorders>
          </w:tcPr>
          <w:p w:rsidR="00A21B7E" w:rsidRPr="00164769" w:rsidRDefault="00164769" w:rsidP="00164769">
            <w:pPr>
              <w:spacing w:after="0" w:line="264" w:lineRule="auto"/>
              <w:rPr>
                <w:rFonts w:ascii="Times New Roman" w:eastAsiaTheme="minorEastAsia" w:hAnsi="Times New Roman" w:cs="Times New Roman"/>
                <w:color w:val="000000"/>
              </w:rPr>
            </w:pPr>
            <w:r w:rsidRPr="00164769">
              <w:rPr>
                <w:rFonts w:ascii="Times New Roman" w:eastAsiaTheme="minorEastAsia" w:hAnsi="Times New Roman" w:cs="Times New Roman"/>
                <w:color w:val="000000"/>
              </w:rPr>
              <w:t>Climate change (50%), Environmental Policies and Institutions (50%)</w:t>
            </w:r>
          </w:p>
        </w:tc>
      </w:tr>
      <w:tr w:rsidR="004E1C1B" w:rsidRPr="007E69FF">
        <w:trPr>
          <w:trHeight w:val="171"/>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 xml:space="preserve">Lending Instrument </w:t>
            </w:r>
          </w:p>
        </w:tc>
        <w:tc>
          <w:tcPr>
            <w:tcW w:w="5751" w:type="dxa"/>
            <w:tcBorders>
              <w:top w:val="single" w:sz="4" w:space="0" w:color="000000"/>
              <w:left w:val="single" w:sz="4" w:space="0" w:color="000000"/>
              <w:bottom w:val="single" w:sz="4" w:space="0" w:color="000000"/>
              <w:right w:val="single" w:sz="4" w:space="0" w:color="000000"/>
            </w:tcBorders>
          </w:tcPr>
          <w:p w:rsidR="004E1C1B" w:rsidRPr="007E69FF" w:rsidRDefault="00201473" w:rsidP="001D5B3F">
            <w:pPr>
              <w:pStyle w:val="Default"/>
              <w:rPr>
                <w:sz w:val="22"/>
                <w:szCs w:val="22"/>
              </w:rPr>
            </w:pPr>
            <w:r>
              <w:rPr>
                <w:sz w:val="22"/>
                <w:szCs w:val="22"/>
              </w:rPr>
              <w:t>Investment Project Financing</w:t>
            </w:r>
            <w:r w:rsidR="004E1C1B" w:rsidRPr="007E69FF">
              <w:rPr>
                <w:sz w:val="22"/>
                <w:szCs w:val="22"/>
              </w:rPr>
              <w:t xml:space="preserve"> </w:t>
            </w:r>
          </w:p>
        </w:tc>
      </w:tr>
      <w:tr w:rsidR="004E1C1B" w:rsidRPr="007E69FF">
        <w:trPr>
          <w:trHeight w:val="171"/>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 xml:space="preserve">Project ID </w:t>
            </w:r>
          </w:p>
        </w:tc>
        <w:tc>
          <w:tcPr>
            <w:tcW w:w="5751" w:type="dxa"/>
            <w:tcBorders>
              <w:top w:val="single" w:sz="4" w:space="0" w:color="000000"/>
              <w:left w:val="single" w:sz="4" w:space="0" w:color="000000"/>
              <w:bottom w:val="single" w:sz="4" w:space="0" w:color="000000"/>
              <w:right w:val="single" w:sz="4" w:space="0" w:color="000000"/>
            </w:tcBorders>
          </w:tcPr>
          <w:p w:rsidR="004E1C1B" w:rsidRPr="007E69FF" w:rsidRDefault="004E1C1B" w:rsidP="00164769">
            <w:pPr>
              <w:pStyle w:val="Default"/>
              <w:rPr>
                <w:sz w:val="22"/>
                <w:szCs w:val="22"/>
              </w:rPr>
            </w:pPr>
            <w:r w:rsidRPr="007E69FF">
              <w:rPr>
                <w:sz w:val="22"/>
                <w:szCs w:val="22"/>
              </w:rPr>
              <w:t>P1</w:t>
            </w:r>
            <w:r w:rsidR="00164769">
              <w:rPr>
                <w:sz w:val="22"/>
                <w:szCs w:val="22"/>
              </w:rPr>
              <w:t>30378</w:t>
            </w:r>
            <w:r w:rsidRPr="007E69FF">
              <w:rPr>
                <w:sz w:val="22"/>
                <w:szCs w:val="22"/>
              </w:rPr>
              <w:t xml:space="preserve"> </w:t>
            </w:r>
          </w:p>
        </w:tc>
      </w:tr>
      <w:tr w:rsidR="004E1C1B" w:rsidRPr="007E69FF">
        <w:trPr>
          <w:trHeight w:val="171"/>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 xml:space="preserve">Borrower(s) </w:t>
            </w:r>
          </w:p>
        </w:tc>
        <w:tc>
          <w:tcPr>
            <w:tcW w:w="5751" w:type="dxa"/>
            <w:tcBorders>
              <w:top w:val="single" w:sz="4" w:space="0" w:color="000000"/>
              <w:left w:val="single" w:sz="4" w:space="0" w:color="000000"/>
              <w:bottom w:val="single" w:sz="4" w:space="0" w:color="000000"/>
              <w:right w:val="single" w:sz="4" w:space="0" w:color="000000"/>
            </w:tcBorders>
          </w:tcPr>
          <w:p w:rsidR="004E1C1B" w:rsidRPr="007E69FF" w:rsidRDefault="00164769" w:rsidP="00164769">
            <w:pPr>
              <w:pStyle w:val="Default"/>
              <w:rPr>
                <w:sz w:val="22"/>
                <w:szCs w:val="22"/>
              </w:rPr>
            </w:pPr>
            <w:r>
              <w:rPr>
                <w:sz w:val="22"/>
                <w:szCs w:val="22"/>
              </w:rPr>
              <w:t>Government of Chile</w:t>
            </w:r>
            <w:r w:rsidR="004E1C1B" w:rsidRPr="007E69FF">
              <w:rPr>
                <w:sz w:val="22"/>
                <w:szCs w:val="22"/>
              </w:rPr>
              <w:t xml:space="preserve">, </w:t>
            </w:r>
            <w:proofErr w:type="spellStart"/>
            <w:r w:rsidRPr="00366D97">
              <w:rPr>
                <w:sz w:val="22"/>
                <w:szCs w:val="22"/>
              </w:rPr>
              <w:t>Agencia</w:t>
            </w:r>
            <w:proofErr w:type="spellEnd"/>
            <w:r w:rsidRPr="00366D97">
              <w:rPr>
                <w:sz w:val="22"/>
                <w:szCs w:val="22"/>
              </w:rPr>
              <w:t xml:space="preserve"> de </w:t>
            </w:r>
            <w:proofErr w:type="spellStart"/>
            <w:r w:rsidRPr="00366D97">
              <w:rPr>
                <w:sz w:val="22"/>
                <w:szCs w:val="22"/>
              </w:rPr>
              <w:t>Cooperacion</w:t>
            </w:r>
            <w:proofErr w:type="spellEnd"/>
            <w:r w:rsidRPr="00366D97">
              <w:rPr>
                <w:sz w:val="22"/>
                <w:szCs w:val="22"/>
              </w:rPr>
              <w:t xml:space="preserve"> </w:t>
            </w:r>
            <w:proofErr w:type="spellStart"/>
            <w:r w:rsidRPr="00366D97">
              <w:rPr>
                <w:sz w:val="22"/>
                <w:szCs w:val="22"/>
              </w:rPr>
              <w:t>Internacional</w:t>
            </w:r>
            <w:proofErr w:type="spellEnd"/>
            <w:r w:rsidRPr="00366D97">
              <w:rPr>
                <w:sz w:val="22"/>
                <w:szCs w:val="22"/>
              </w:rPr>
              <w:t xml:space="preserve"> de Chile</w:t>
            </w:r>
          </w:p>
        </w:tc>
      </w:tr>
      <w:tr w:rsidR="004E1C1B" w:rsidRPr="007E69FF">
        <w:trPr>
          <w:trHeight w:val="172"/>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 xml:space="preserve">Implementing Agency </w:t>
            </w:r>
          </w:p>
        </w:tc>
        <w:tc>
          <w:tcPr>
            <w:tcW w:w="5751" w:type="dxa"/>
            <w:tcBorders>
              <w:top w:val="single" w:sz="4" w:space="0" w:color="000000"/>
              <w:left w:val="single" w:sz="4" w:space="0" w:color="000000"/>
              <w:bottom w:val="single" w:sz="4" w:space="0" w:color="000000"/>
              <w:right w:val="single" w:sz="4" w:space="0" w:color="000000"/>
            </w:tcBorders>
          </w:tcPr>
          <w:p w:rsidR="004E1C1B" w:rsidRPr="007E69FF" w:rsidRDefault="00164769" w:rsidP="001D5B3F">
            <w:pPr>
              <w:pStyle w:val="Default"/>
              <w:rPr>
                <w:sz w:val="22"/>
                <w:szCs w:val="22"/>
              </w:rPr>
            </w:pPr>
            <w:r>
              <w:rPr>
                <w:sz w:val="22"/>
                <w:szCs w:val="22"/>
              </w:rPr>
              <w:t>Ministry of Energy</w:t>
            </w:r>
          </w:p>
        </w:tc>
      </w:tr>
      <w:tr w:rsidR="004E1C1B" w:rsidRPr="007E69FF">
        <w:trPr>
          <w:trHeight w:val="315"/>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 xml:space="preserve">Environmental Category </w:t>
            </w:r>
          </w:p>
        </w:tc>
        <w:tc>
          <w:tcPr>
            <w:tcW w:w="5751"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sz w:val="22"/>
                <w:szCs w:val="22"/>
              </w:rPr>
              <w:t xml:space="preserve">C-Not Required </w:t>
            </w:r>
          </w:p>
        </w:tc>
      </w:tr>
      <w:tr w:rsidR="004E1C1B" w:rsidRPr="007E69FF">
        <w:trPr>
          <w:trHeight w:val="171"/>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Date PID Prepared</w:t>
            </w:r>
            <w:r w:rsidR="00FA23DE">
              <w:rPr>
                <w:b/>
                <w:bCs/>
                <w:sz w:val="22"/>
                <w:szCs w:val="22"/>
              </w:rPr>
              <w:t>/Updated</w:t>
            </w:r>
          </w:p>
        </w:tc>
        <w:tc>
          <w:tcPr>
            <w:tcW w:w="5751" w:type="dxa"/>
            <w:tcBorders>
              <w:top w:val="single" w:sz="4" w:space="0" w:color="000000"/>
              <w:left w:val="single" w:sz="4" w:space="0" w:color="000000"/>
              <w:bottom w:val="single" w:sz="4" w:space="0" w:color="000000"/>
              <w:right w:val="single" w:sz="4" w:space="0" w:color="000000"/>
            </w:tcBorders>
          </w:tcPr>
          <w:p w:rsidR="004E1C1B" w:rsidRPr="007E69FF" w:rsidRDefault="00E6082D" w:rsidP="00E6082D">
            <w:pPr>
              <w:pStyle w:val="Default"/>
              <w:rPr>
                <w:sz w:val="22"/>
                <w:szCs w:val="22"/>
              </w:rPr>
            </w:pPr>
            <w:r>
              <w:rPr>
                <w:sz w:val="22"/>
                <w:szCs w:val="22"/>
              </w:rPr>
              <w:t>24</w:t>
            </w:r>
            <w:r w:rsidR="001A1F71">
              <w:rPr>
                <w:sz w:val="22"/>
                <w:szCs w:val="22"/>
              </w:rPr>
              <w:t>-</w:t>
            </w:r>
            <w:r>
              <w:rPr>
                <w:sz w:val="22"/>
                <w:szCs w:val="22"/>
              </w:rPr>
              <w:t>April</w:t>
            </w:r>
            <w:r w:rsidR="00164769">
              <w:rPr>
                <w:sz w:val="22"/>
                <w:szCs w:val="22"/>
              </w:rPr>
              <w:t>-2014</w:t>
            </w:r>
            <w:r w:rsidR="004E1C1B" w:rsidRPr="007E69FF">
              <w:rPr>
                <w:sz w:val="22"/>
                <w:szCs w:val="22"/>
              </w:rPr>
              <w:t xml:space="preserve"> </w:t>
            </w:r>
          </w:p>
        </w:tc>
      </w:tr>
      <w:tr w:rsidR="004E1C1B" w:rsidRPr="007E69FF">
        <w:trPr>
          <w:trHeight w:val="315"/>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 xml:space="preserve">Estimated Date of Appraisal Completion </w:t>
            </w:r>
          </w:p>
        </w:tc>
        <w:tc>
          <w:tcPr>
            <w:tcW w:w="5751" w:type="dxa"/>
            <w:tcBorders>
              <w:top w:val="single" w:sz="4" w:space="0" w:color="000000"/>
              <w:left w:val="single" w:sz="4" w:space="0" w:color="000000"/>
              <w:bottom w:val="single" w:sz="4" w:space="0" w:color="000000"/>
              <w:right w:val="single" w:sz="4" w:space="0" w:color="000000"/>
            </w:tcBorders>
            <w:vAlign w:val="center"/>
          </w:tcPr>
          <w:p w:rsidR="004E1C1B" w:rsidRPr="007E69FF" w:rsidRDefault="00E6082D" w:rsidP="00E6082D">
            <w:pPr>
              <w:pStyle w:val="Default"/>
              <w:rPr>
                <w:sz w:val="22"/>
                <w:szCs w:val="22"/>
              </w:rPr>
            </w:pPr>
            <w:r>
              <w:rPr>
                <w:sz w:val="22"/>
                <w:szCs w:val="22"/>
              </w:rPr>
              <w:t>24</w:t>
            </w:r>
            <w:r w:rsidR="00203BEC">
              <w:rPr>
                <w:sz w:val="22"/>
                <w:szCs w:val="22"/>
              </w:rPr>
              <w:t>-</w:t>
            </w:r>
            <w:r>
              <w:rPr>
                <w:sz w:val="22"/>
                <w:szCs w:val="22"/>
              </w:rPr>
              <w:t>April</w:t>
            </w:r>
            <w:r w:rsidR="00203BEC">
              <w:rPr>
                <w:sz w:val="22"/>
                <w:szCs w:val="22"/>
              </w:rPr>
              <w:t>-201</w:t>
            </w:r>
            <w:r w:rsidR="0068496C">
              <w:rPr>
                <w:sz w:val="22"/>
                <w:szCs w:val="22"/>
              </w:rPr>
              <w:t>4</w:t>
            </w:r>
          </w:p>
        </w:tc>
      </w:tr>
      <w:tr w:rsidR="004E1C1B" w:rsidRPr="007E69FF">
        <w:trPr>
          <w:trHeight w:val="315"/>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 xml:space="preserve">Estimated Date of Board Approval </w:t>
            </w:r>
          </w:p>
        </w:tc>
        <w:tc>
          <w:tcPr>
            <w:tcW w:w="5751" w:type="dxa"/>
            <w:tcBorders>
              <w:top w:val="single" w:sz="4" w:space="0" w:color="000000"/>
              <w:left w:val="single" w:sz="4" w:space="0" w:color="000000"/>
              <w:bottom w:val="single" w:sz="4" w:space="0" w:color="000000"/>
              <w:right w:val="single" w:sz="4" w:space="0" w:color="000000"/>
            </w:tcBorders>
          </w:tcPr>
          <w:p w:rsidR="004E1C1B" w:rsidRPr="007E69FF" w:rsidRDefault="00203BEC" w:rsidP="001D5B3F">
            <w:pPr>
              <w:pStyle w:val="Default"/>
              <w:rPr>
                <w:sz w:val="22"/>
                <w:szCs w:val="22"/>
              </w:rPr>
            </w:pPr>
            <w:r>
              <w:rPr>
                <w:sz w:val="22"/>
                <w:szCs w:val="22"/>
              </w:rPr>
              <w:t>N/A</w:t>
            </w:r>
            <w:r w:rsidR="004E1C1B" w:rsidRPr="007E69FF">
              <w:rPr>
                <w:sz w:val="22"/>
                <w:szCs w:val="22"/>
              </w:rPr>
              <w:t xml:space="preserve"> </w:t>
            </w:r>
          </w:p>
        </w:tc>
      </w:tr>
      <w:tr w:rsidR="004E1C1B" w:rsidRPr="007E69FF">
        <w:trPr>
          <w:trHeight w:val="316"/>
        </w:trPr>
        <w:tc>
          <w:tcPr>
            <w:tcW w:w="3510"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sz w:val="22"/>
                <w:szCs w:val="22"/>
              </w:rPr>
            </w:pPr>
            <w:r w:rsidRPr="007E69FF">
              <w:rPr>
                <w:b/>
                <w:bCs/>
                <w:sz w:val="22"/>
                <w:szCs w:val="22"/>
              </w:rPr>
              <w:t xml:space="preserve">Decision </w:t>
            </w:r>
          </w:p>
        </w:tc>
        <w:tc>
          <w:tcPr>
            <w:tcW w:w="5751" w:type="dxa"/>
            <w:tcBorders>
              <w:top w:val="single" w:sz="4" w:space="0" w:color="000000"/>
              <w:left w:val="single" w:sz="4" w:space="0" w:color="000000"/>
              <w:bottom w:val="single" w:sz="4" w:space="0" w:color="000000"/>
              <w:right w:val="single" w:sz="4" w:space="0" w:color="000000"/>
            </w:tcBorders>
          </w:tcPr>
          <w:p w:rsidR="004E1C1B" w:rsidRPr="007E69FF" w:rsidRDefault="004E1C1B" w:rsidP="001D5B3F">
            <w:pPr>
              <w:pStyle w:val="Default"/>
              <w:rPr>
                <w:color w:val="auto"/>
                <w:sz w:val="22"/>
                <w:szCs w:val="22"/>
              </w:rPr>
            </w:pPr>
          </w:p>
        </w:tc>
      </w:tr>
      <w:tr w:rsidR="007B49A8" w:rsidRPr="007E69FF">
        <w:trPr>
          <w:trHeight w:val="316"/>
        </w:trPr>
        <w:tc>
          <w:tcPr>
            <w:tcW w:w="3510" w:type="dxa"/>
            <w:tcBorders>
              <w:top w:val="single" w:sz="4" w:space="0" w:color="000000"/>
              <w:left w:val="single" w:sz="4" w:space="0" w:color="000000"/>
              <w:bottom w:val="single" w:sz="4" w:space="0" w:color="000000"/>
              <w:right w:val="single" w:sz="4" w:space="0" w:color="000000"/>
            </w:tcBorders>
          </w:tcPr>
          <w:p w:rsidR="007B49A8" w:rsidRPr="007E69FF" w:rsidRDefault="007B49A8" w:rsidP="001D5B3F">
            <w:pPr>
              <w:pStyle w:val="Default"/>
              <w:rPr>
                <w:b/>
                <w:bCs/>
                <w:sz w:val="22"/>
                <w:szCs w:val="22"/>
              </w:rPr>
            </w:pPr>
            <w:r>
              <w:rPr>
                <w:b/>
                <w:bCs/>
                <w:sz w:val="22"/>
                <w:szCs w:val="22"/>
              </w:rPr>
              <w:t>Other Decision</w:t>
            </w:r>
          </w:p>
        </w:tc>
        <w:tc>
          <w:tcPr>
            <w:tcW w:w="5751" w:type="dxa"/>
            <w:tcBorders>
              <w:top w:val="single" w:sz="4" w:space="0" w:color="000000"/>
              <w:left w:val="single" w:sz="4" w:space="0" w:color="000000"/>
              <w:bottom w:val="single" w:sz="4" w:space="0" w:color="000000"/>
              <w:right w:val="single" w:sz="4" w:space="0" w:color="000000"/>
            </w:tcBorders>
          </w:tcPr>
          <w:p w:rsidR="007B49A8" w:rsidRPr="00F71C77" w:rsidRDefault="007B49A8" w:rsidP="001D5B3F">
            <w:pPr>
              <w:pStyle w:val="Default"/>
              <w:rPr>
                <w:sz w:val="22"/>
                <w:szCs w:val="22"/>
                <w:highlight w:val="yellow"/>
              </w:rPr>
            </w:pPr>
          </w:p>
        </w:tc>
      </w:tr>
    </w:tbl>
    <w:p w:rsidR="00E13A4A" w:rsidRPr="007E69FF" w:rsidRDefault="00E13A4A" w:rsidP="001D5B3F">
      <w:pPr>
        <w:spacing w:line="240" w:lineRule="auto"/>
        <w:rPr>
          <w:rFonts w:ascii="Times New Roman" w:hAnsi="Times New Roman" w:cs="Times New Roman"/>
        </w:rPr>
      </w:pPr>
    </w:p>
    <w:p w:rsidR="004E1C1B" w:rsidRPr="007E69FF" w:rsidRDefault="005F16F1" w:rsidP="001D5B3F">
      <w:pPr>
        <w:pStyle w:val="ListParagraph"/>
        <w:numPr>
          <w:ilvl w:val="0"/>
          <w:numId w:val="2"/>
        </w:numPr>
        <w:spacing w:after="120" w:line="240" w:lineRule="auto"/>
        <w:ind w:left="547" w:hanging="547"/>
        <w:contextualSpacing w:val="0"/>
        <w:rPr>
          <w:rFonts w:ascii="Times New Roman" w:hAnsi="Times New Roman" w:cs="Times New Roman"/>
          <w:b/>
        </w:rPr>
      </w:pPr>
      <w:r>
        <w:rPr>
          <w:rFonts w:ascii="Times New Roman" w:hAnsi="Times New Roman" w:cs="Times New Roman"/>
          <w:b/>
        </w:rPr>
        <w:t>Project</w:t>
      </w:r>
      <w:r w:rsidR="004E1C1B" w:rsidRPr="007E69FF">
        <w:rPr>
          <w:rFonts w:ascii="Times New Roman" w:hAnsi="Times New Roman" w:cs="Times New Roman"/>
          <w:b/>
        </w:rPr>
        <w:t xml:space="preserve"> Context</w:t>
      </w:r>
    </w:p>
    <w:p w:rsidR="00C33D8D" w:rsidRPr="005C6894" w:rsidRDefault="00C33D8D" w:rsidP="001D5B3F">
      <w:pPr>
        <w:pStyle w:val="ListParagraph"/>
        <w:spacing w:after="120" w:line="240" w:lineRule="auto"/>
        <w:ind w:left="547"/>
        <w:contextualSpacing w:val="0"/>
        <w:rPr>
          <w:rFonts w:ascii="Times New Roman" w:hAnsi="Times New Roman" w:cs="Times New Roman"/>
          <w:b/>
          <w:color w:val="404040" w:themeColor="text1" w:themeTint="BF"/>
        </w:rPr>
      </w:pPr>
      <w:r w:rsidRPr="005C6894">
        <w:rPr>
          <w:rFonts w:ascii="Times New Roman" w:hAnsi="Times New Roman" w:cs="Times New Roman"/>
          <w:b/>
          <w:color w:val="404040" w:themeColor="text1" w:themeTint="BF"/>
        </w:rPr>
        <w:t>Country Context</w:t>
      </w:r>
    </w:p>
    <w:p w:rsidR="0076019A" w:rsidRDefault="0076019A" w:rsidP="0076019A">
      <w:pPr>
        <w:pStyle w:val="PDSHeading2"/>
        <w:numPr>
          <w:ilvl w:val="0"/>
          <w:numId w:val="0"/>
        </w:numPr>
        <w:spacing w:line="264" w:lineRule="auto"/>
        <w:ind w:left="547"/>
        <w:jc w:val="both"/>
        <w:rPr>
          <w:rFonts w:eastAsiaTheme="minorHAnsi"/>
          <w:b w:val="0"/>
          <w:color w:val="000000"/>
          <w:sz w:val="22"/>
          <w:szCs w:val="22"/>
        </w:rPr>
      </w:pPr>
      <w:r w:rsidRPr="0076019A">
        <w:rPr>
          <w:rFonts w:eastAsiaTheme="minorHAnsi"/>
          <w:b w:val="0"/>
          <w:color w:val="000000"/>
          <w:sz w:val="22"/>
          <w:szCs w:val="22"/>
        </w:rPr>
        <w:t>Chile is an upper middle income country with one of the most politically stable systems in Latin America, strong institutions and a solid record of economic growth during the last two and a half decades. Chile’s income per capita was US$14,280 in 2012, the highest among the larger economies of the region. A vibrant private sector, substantial job creation and strong social programs have also led to rising welfare levels and declining poverty rates. Only 14.4 percent (%) of Chileans were under the poverty line in 2011, also one of the lowest rates in the region. In 2010, literacy rate was at 99% and life expectancy at 79 years. As an economy in transition, the Government of Chile has ambitions to achieve a high-income developed status by 2018. It joined the Organization for Economic Co-operation and Development (OECD) in 2010 as a high middle income developing country.</w:t>
      </w:r>
    </w:p>
    <w:p w:rsidR="0076019A" w:rsidRPr="0076019A" w:rsidRDefault="0076019A" w:rsidP="0076019A">
      <w:pPr>
        <w:spacing w:after="0"/>
      </w:pPr>
    </w:p>
    <w:p w:rsidR="0076019A" w:rsidRDefault="0076019A" w:rsidP="0076019A">
      <w:pPr>
        <w:pStyle w:val="PDSHeading2"/>
        <w:numPr>
          <w:ilvl w:val="0"/>
          <w:numId w:val="0"/>
        </w:numPr>
        <w:spacing w:line="264" w:lineRule="auto"/>
        <w:ind w:left="547"/>
        <w:jc w:val="both"/>
        <w:rPr>
          <w:rFonts w:eastAsiaTheme="minorHAnsi"/>
          <w:b w:val="0"/>
          <w:color w:val="000000"/>
          <w:sz w:val="22"/>
          <w:szCs w:val="22"/>
        </w:rPr>
      </w:pPr>
      <w:r w:rsidRPr="0076019A">
        <w:rPr>
          <w:rFonts w:eastAsiaTheme="minorHAnsi"/>
          <w:b w:val="0"/>
          <w:color w:val="000000"/>
          <w:sz w:val="22"/>
          <w:szCs w:val="22"/>
        </w:rPr>
        <w:t xml:space="preserve">Chile’s economic growth can be attributed to continuity in sound macro policies, an open trade regime, and a business-friendly environment. Growing exports, a result of sustained trade policy framework of low tariffs and trade barriers, the approval of free trade agreements with partners such as the U.S., European Union (EU), China, and Mexico, and a strong business climate environment has sustained the economic growth. Chile’s strong democratic institutions during the past two decades are based on efficient civil service and good governance. This solid institutional platform and above-mentioned fiscal policies has allowed Chile to successfully withstand two large </w:t>
      </w:r>
      <w:r w:rsidRPr="0076019A">
        <w:rPr>
          <w:rFonts w:eastAsiaTheme="minorHAnsi"/>
          <w:b w:val="0"/>
          <w:color w:val="000000"/>
          <w:sz w:val="22"/>
          <w:szCs w:val="22"/>
        </w:rPr>
        <w:lastRenderedPageBreak/>
        <w:t xml:space="preserve">adverse shocks since 2008—the global financial crisis and the devastating earthquake of February 2010. </w:t>
      </w:r>
    </w:p>
    <w:p w:rsidR="0076019A" w:rsidRPr="0076019A" w:rsidRDefault="0076019A" w:rsidP="0076019A">
      <w:pPr>
        <w:spacing w:after="0"/>
      </w:pPr>
    </w:p>
    <w:p w:rsidR="0076019A" w:rsidRDefault="0076019A" w:rsidP="0076019A">
      <w:pPr>
        <w:pStyle w:val="PDSHeading2"/>
        <w:numPr>
          <w:ilvl w:val="0"/>
          <w:numId w:val="0"/>
        </w:numPr>
        <w:spacing w:line="264" w:lineRule="auto"/>
        <w:ind w:left="547"/>
        <w:jc w:val="both"/>
        <w:rPr>
          <w:rFonts w:eastAsiaTheme="minorHAnsi"/>
          <w:b w:val="0"/>
          <w:color w:val="000000"/>
          <w:sz w:val="22"/>
          <w:szCs w:val="22"/>
        </w:rPr>
      </w:pPr>
      <w:r w:rsidRPr="0076019A">
        <w:rPr>
          <w:rFonts w:eastAsiaTheme="minorHAnsi"/>
          <w:b w:val="0"/>
          <w:color w:val="000000"/>
          <w:sz w:val="22"/>
          <w:szCs w:val="22"/>
        </w:rPr>
        <w:t xml:space="preserve">Chile has a presidential political system with a bicameral legislature. The constitutional presidential term is four years and immediate reelection is not allowed. In the elections held in December 2013, Michelle </w:t>
      </w:r>
      <w:proofErr w:type="spellStart"/>
      <w:r w:rsidRPr="0076019A">
        <w:rPr>
          <w:rFonts w:eastAsiaTheme="minorHAnsi"/>
          <w:b w:val="0"/>
          <w:color w:val="000000"/>
          <w:sz w:val="22"/>
          <w:szCs w:val="22"/>
        </w:rPr>
        <w:t>Bachelet</w:t>
      </w:r>
      <w:proofErr w:type="spellEnd"/>
      <w:r w:rsidRPr="0076019A">
        <w:rPr>
          <w:rFonts w:eastAsiaTheme="minorHAnsi"/>
          <w:b w:val="0"/>
          <w:color w:val="000000"/>
          <w:sz w:val="22"/>
          <w:szCs w:val="22"/>
          <w:vertAlign w:val="superscript"/>
        </w:rPr>
        <w:footnoteReference w:id="1"/>
      </w:r>
      <w:r w:rsidRPr="0076019A">
        <w:rPr>
          <w:rFonts w:eastAsiaTheme="minorHAnsi"/>
          <w:b w:val="0"/>
          <w:color w:val="000000"/>
          <w:sz w:val="22"/>
          <w:szCs w:val="22"/>
        </w:rPr>
        <w:t xml:space="preserve">, representing the New Majority Coalition, won by the widest margins in eight decades. She succeeded President </w:t>
      </w:r>
      <w:proofErr w:type="spellStart"/>
      <w:r w:rsidRPr="0076019A">
        <w:rPr>
          <w:rFonts w:eastAsiaTheme="minorHAnsi"/>
          <w:b w:val="0"/>
          <w:color w:val="000000"/>
          <w:sz w:val="22"/>
          <w:szCs w:val="22"/>
        </w:rPr>
        <w:t>Piñera</w:t>
      </w:r>
      <w:proofErr w:type="spellEnd"/>
      <w:r w:rsidRPr="0076019A">
        <w:rPr>
          <w:rFonts w:eastAsiaTheme="minorHAnsi"/>
          <w:b w:val="0"/>
          <w:color w:val="000000"/>
          <w:sz w:val="22"/>
          <w:szCs w:val="22"/>
        </w:rPr>
        <w:t xml:space="preserve"> who was elected in a second round run-off in January 2010.</w:t>
      </w:r>
    </w:p>
    <w:p w:rsidR="0076019A" w:rsidRPr="0076019A" w:rsidRDefault="0076019A" w:rsidP="0076019A">
      <w:pPr>
        <w:spacing w:after="0"/>
      </w:pPr>
    </w:p>
    <w:p w:rsidR="0076019A" w:rsidRPr="0076019A" w:rsidRDefault="0076019A" w:rsidP="0076019A">
      <w:pPr>
        <w:pStyle w:val="PDSHeading2"/>
        <w:numPr>
          <w:ilvl w:val="0"/>
          <w:numId w:val="0"/>
        </w:numPr>
        <w:spacing w:line="264" w:lineRule="auto"/>
        <w:ind w:left="547"/>
        <w:jc w:val="both"/>
        <w:rPr>
          <w:rFonts w:eastAsiaTheme="minorHAnsi"/>
          <w:b w:val="0"/>
          <w:color w:val="000000"/>
          <w:sz w:val="22"/>
          <w:szCs w:val="22"/>
        </w:rPr>
      </w:pPr>
      <w:r w:rsidRPr="0076019A">
        <w:rPr>
          <w:rFonts w:eastAsiaTheme="minorHAnsi"/>
          <w:b w:val="0"/>
          <w:color w:val="000000"/>
          <w:sz w:val="22"/>
          <w:szCs w:val="22"/>
        </w:rPr>
        <w:t>Chile faces two key challenges going forward: declining growth performance and high inequality. Chile's growth has slowed down from an average of 7.6% during the period of 1986-1997 to 5.5% in the period of 2000-2012 (excluding the negative growth in 2009 during the financial crisis). Productivity growth has been trending downward through much of the last decade and overall investment levels have also declined since the late 1990s. The second challenge relates to the need to tackle inequality. While Chile has made substantial progress in reducing poverty, the average income of the richest 20 percent of Chileans was 12 times that of the poorest 20 percent in 2009.</w:t>
      </w:r>
    </w:p>
    <w:p w:rsidR="0076019A" w:rsidRDefault="0076019A" w:rsidP="001D5B3F">
      <w:pPr>
        <w:pStyle w:val="ListParagraph"/>
        <w:spacing w:after="120" w:line="240" w:lineRule="auto"/>
        <w:ind w:left="547"/>
        <w:contextualSpacing w:val="0"/>
        <w:jc w:val="both"/>
        <w:rPr>
          <w:rFonts w:ascii="Times New Roman" w:hAnsi="Times New Roman" w:cs="Times New Roman"/>
          <w:b/>
          <w:color w:val="404040" w:themeColor="text1" w:themeTint="BF"/>
        </w:rPr>
      </w:pPr>
    </w:p>
    <w:p w:rsidR="00C33D8D" w:rsidRPr="005C6894" w:rsidRDefault="00C33D8D" w:rsidP="001D5B3F">
      <w:pPr>
        <w:pStyle w:val="ListParagraph"/>
        <w:spacing w:after="120" w:line="240" w:lineRule="auto"/>
        <w:ind w:left="547"/>
        <w:contextualSpacing w:val="0"/>
        <w:jc w:val="both"/>
        <w:rPr>
          <w:rFonts w:ascii="Times New Roman" w:hAnsi="Times New Roman" w:cs="Times New Roman"/>
          <w:b/>
          <w:color w:val="404040" w:themeColor="text1" w:themeTint="BF"/>
        </w:rPr>
      </w:pPr>
      <w:proofErr w:type="spellStart"/>
      <w:r w:rsidRPr="005C6894">
        <w:rPr>
          <w:rFonts w:ascii="Times New Roman" w:hAnsi="Times New Roman" w:cs="Times New Roman"/>
          <w:b/>
          <w:color w:val="404040" w:themeColor="text1" w:themeTint="BF"/>
        </w:rPr>
        <w:t>Sectoral</w:t>
      </w:r>
      <w:proofErr w:type="spellEnd"/>
      <w:r w:rsidRPr="005C6894">
        <w:rPr>
          <w:rFonts w:ascii="Times New Roman" w:hAnsi="Times New Roman" w:cs="Times New Roman"/>
          <w:b/>
          <w:color w:val="404040" w:themeColor="text1" w:themeTint="BF"/>
        </w:rPr>
        <w:t xml:space="preserve"> and Institutional Context</w:t>
      </w:r>
    </w:p>
    <w:p w:rsidR="0076019A" w:rsidRDefault="0076019A" w:rsidP="0076019A">
      <w:pPr>
        <w:autoSpaceDE w:val="0"/>
        <w:autoSpaceDN w:val="0"/>
        <w:adjustRightInd w:val="0"/>
        <w:spacing w:after="0" w:line="264" w:lineRule="auto"/>
        <w:ind w:left="547"/>
        <w:jc w:val="both"/>
        <w:rPr>
          <w:rFonts w:ascii="Times New Roman" w:hAnsi="Times New Roman" w:cs="Times New Roman"/>
          <w:color w:val="000000"/>
        </w:rPr>
      </w:pPr>
      <w:r w:rsidRPr="0076019A">
        <w:rPr>
          <w:rFonts w:ascii="Times New Roman" w:hAnsi="Times New Roman" w:cs="Times New Roman"/>
          <w:color w:val="000000"/>
        </w:rPr>
        <w:t xml:space="preserve">According to the International Energy Agency (IEA), Chile ranked 61st in the world for per capita Carbon Dioxide (CO2) emissions in 2008, producing 4.35 tons of CO2 per person, slightly above the global average of 4.23 tons of CO2 per person. Nevertheless, the country’s emissions are growing significantly, mainly as a result of its rapid economic growth. </w:t>
      </w:r>
    </w:p>
    <w:p w:rsidR="0076019A" w:rsidRPr="0076019A" w:rsidRDefault="0076019A" w:rsidP="0076019A">
      <w:pPr>
        <w:autoSpaceDE w:val="0"/>
        <w:autoSpaceDN w:val="0"/>
        <w:adjustRightInd w:val="0"/>
        <w:spacing w:after="0" w:line="264" w:lineRule="auto"/>
        <w:ind w:left="547"/>
        <w:jc w:val="both"/>
        <w:rPr>
          <w:rFonts w:ascii="Times New Roman" w:hAnsi="Times New Roman" w:cs="Times New Roman"/>
          <w:color w:val="000000"/>
        </w:rPr>
      </w:pPr>
    </w:p>
    <w:p w:rsidR="0076019A" w:rsidRDefault="0076019A" w:rsidP="0076019A">
      <w:pPr>
        <w:autoSpaceDE w:val="0"/>
        <w:autoSpaceDN w:val="0"/>
        <w:adjustRightInd w:val="0"/>
        <w:spacing w:after="0" w:line="264" w:lineRule="auto"/>
        <w:ind w:left="547"/>
        <w:jc w:val="both"/>
        <w:rPr>
          <w:rFonts w:ascii="Times New Roman" w:hAnsi="Times New Roman" w:cs="Times New Roman"/>
          <w:color w:val="000000"/>
        </w:rPr>
      </w:pPr>
      <w:r w:rsidRPr="0076019A">
        <w:rPr>
          <w:rFonts w:ascii="Times New Roman" w:hAnsi="Times New Roman" w:cs="Times New Roman"/>
          <w:color w:val="000000"/>
        </w:rPr>
        <w:t xml:space="preserve">The electricity demand in Chile is projected to double by 2020 due to strong and stable economic growth and demand from services and mining sectors. On a similar trend, Chile’s energy intensity stands at 0.15 </w:t>
      </w:r>
      <w:proofErr w:type="spellStart"/>
      <w:r w:rsidRPr="0076019A">
        <w:rPr>
          <w:rFonts w:ascii="Times New Roman" w:hAnsi="Times New Roman" w:cs="Times New Roman"/>
          <w:color w:val="000000"/>
        </w:rPr>
        <w:t>tonnes</w:t>
      </w:r>
      <w:proofErr w:type="spellEnd"/>
      <w:r w:rsidRPr="0076019A">
        <w:rPr>
          <w:rFonts w:ascii="Times New Roman" w:hAnsi="Times New Roman" w:cs="Times New Roman"/>
          <w:color w:val="000000"/>
        </w:rPr>
        <w:t xml:space="preserve"> of oil equivalent per US$1000 of GDP, above Latin America and the Caribbean (LAC) regional average of 0.14.  This can be explained by the fact that the Chilean economic sectors that contribute most to GDP are energy intensive and as a consequence, there is a strong link between economic growth and energy consumption pattern. As of 2009, 67% of the electricity produced was consumed by industrial users while the residential and commercial sectors accounted for 16% and 15% respectively.</w:t>
      </w:r>
    </w:p>
    <w:p w:rsidR="0076019A" w:rsidRPr="0076019A" w:rsidRDefault="0076019A" w:rsidP="0076019A">
      <w:pPr>
        <w:autoSpaceDE w:val="0"/>
        <w:autoSpaceDN w:val="0"/>
        <w:adjustRightInd w:val="0"/>
        <w:spacing w:after="0" w:line="264" w:lineRule="auto"/>
        <w:ind w:left="547"/>
        <w:jc w:val="both"/>
        <w:rPr>
          <w:rFonts w:ascii="Times New Roman" w:hAnsi="Times New Roman" w:cs="Times New Roman"/>
          <w:color w:val="000000"/>
        </w:rPr>
      </w:pPr>
    </w:p>
    <w:p w:rsidR="0076019A" w:rsidRPr="0076019A" w:rsidRDefault="0076019A" w:rsidP="0076019A">
      <w:pPr>
        <w:autoSpaceDE w:val="0"/>
        <w:autoSpaceDN w:val="0"/>
        <w:adjustRightInd w:val="0"/>
        <w:spacing w:after="0" w:line="264" w:lineRule="auto"/>
        <w:ind w:left="547"/>
        <w:jc w:val="both"/>
        <w:rPr>
          <w:rFonts w:ascii="Times New Roman" w:hAnsi="Times New Roman" w:cs="Times New Roman"/>
          <w:color w:val="000000"/>
        </w:rPr>
      </w:pPr>
      <w:r w:rsidRPr="0076019A">
        <w:rPr>
          <w:rFonts w:ascii="Times New Roman" w:hAnsi="Times New Roman" w:cs="Times New Roman"/>
          <w:color w:val="000000"/>
        </w:rPr>
        <w:t>The energy sector is heavily dependent on imported fossil fuels (oil, natural gas and coal), which has resulted in high and volatile electricity prices and raised concern about energy security. The Government’s objectives</w:t>
      </w:r>
      <w:r w:rsidRPr="00B619A2">
        <w:rPr>
          <w:rFonts w:ascii="Times New Roman" w:hAnsi="Times New Roman" w:cs="Times New Roman"/>
          <w:color w:val="000000"/>
          <w:vertAlign w:val="superscript"/>
        </w:rPr>
        <w:footnoteReference w:id="2"/>
      </w:r>
      <w:r w:rsidRPr="0076019A">
        <w:rPr>
          <w:rFonts w:ascii="Times New Roman" w:hAnsi="Times New Roman" w:cs="Times New Roman"/>
          <w:color w:val="000000"/>
        </w:rPr>
        <w:t xml:space="preserve"> in the energy sector are as follows: </w:t>
      </w:r>
    </w:p>
    <w:p w:rsidR="0076019A" w:rsidRPr="0076019A" w:rsidRDefault="0076019A" w:rsidP="0076019A">
      <w:pPr>
        <w:pStyle w:val="Default"/>
        <w:widowControl/>
        <w:numPr>
          <w:ilvl w:val="0"/>
          <w:numId w:val="10"/>
        </w:numPr>
        <w:spacing w:line="264" w:lineRule="auto"/>
        <w:jc w:val="both"/>
        <w:rPr>
          <w:rFonts w:eastAsiaTheme="minorHAnsi"/>
          <w:sz w:val="22"/>
          <w:szCs w:val="22"/>
        </w:rPr>
      </w:pPr>
      <w:r w:rsidRPr="0076019A">
        <w:rPr>
          <w:rFonts w:eastAsiaTheme="minorHAnsi"/>
          <w:sz w:val="22"/>
          <w:szCs w:val="22"/>
        </w:rPr>
        <w:t xml:space="preserve">Increase and improve the level of energy security to meet the increase in demand associated to the expected economic average annual growth rate of 6% up to 2020. </w:t>
      </w:r>
    </w:p>
    <w:p w:rsidR="0076019A" w:rsidRPr="0076019A" w:rsidRDefault="0076019A" w:rsidP="0076019A">
      <w:pPr>
        <w:pStyle w:val="Default"/>
        <w:widowControl/>
        <w:numPr>
          <w:ilvl w:val="0"/>
          <w:numId w:val="10"/>
        </w:numPr>
        <w:spacing w:line="264" w:lineRule="auto"/>
        <w:jc w:val="both"/>
        <w:rPr>
          <w:rFonts w:eastAsiaTheme="minorHAnsi"/>
          <w:sz w:val="22"/>
          <w:szCs w:val="22"/>
        </w:rPr>
      </w:pPr>
      <w:r w:rsidRPr="0076019A">
        <w:rPr>
          <w:rFonts w:eastAsiaTheme="minorHAnsi"/>
          <w:sz w:val="22"/>
          <w:szCs w:val="22"/>
        </w:rPr>
        <w:t xml:space="preserve">Improve current regulations governing access to energy resources, in order to increase investment in renewable energies in Chile. </w:t>
      </w:r>
    </w:p>
    <w:p w:rsidR="0076019A" w:rsidRPr="0076019A" w:rsidRDefault="0076019A" w:rsidP="0076019A">
      <w:pPr>
        <w:pStyle w:val="Default"/>
        <w:widowControl/>
        <w:numPr>
          <w:ilvl w:val="0"/>
          <w:numId w:val="10"/>
        </w:numPr>
        <w:spacing w:line="264" w:lineRule="auto"/>
        <w:jc w:val="both"/>
        <w:rPr>
          <w:rFonts w:eastAsiaTheme="minorHAnsi"/>
          <w:sz w:val="22"/>
          <w:szCs w:val="22"/>
        </w:rPr>
      </w:pPr>
      <w:r w:rsidRPr="0076019A">
        <w:rPr>
          <w:rFonts w:eastAsiaTheme="minorHAnsi"/>
          <w:sz w:val="22"/>
          <w:szCs w:val="22"/>
        </w:rPr>
        <w:t xml:space="preserve">Improve information availability and research programs that promote energy efficiency and energy saving projects. </w:t>
      </w:r>
    </w:p>
    <w:p w:rsidR="00B619A2" w:rsidRPr="00EB05CE" w:rsidRDefault="0076019A" w:rsidP="00B619A2">
      <w:pPr>
        <w:pStyle w:val="ListParagraph"/>
        <w:autoSpaceDE w:val="0"/>
        <w:autoSpaceDN w:val="0"/>
        <w:adjustRightInd w:val="0"/>
        <w:spacing w:after="0" w:line="264" w:lineRule="auto"/>
        <w:ind w:left="547"/>
        <w:jc w:val="both"/>
      </w:pPr>
      <w:r w:rsidRPr="0076019A">
        <w:rPr>
          <w:rFonts w:ascii="Times New Roman" w:hAnsi="Times New Roman" w:cs="Times New Roman"/>
          <w:color w:val="000000"/>
        </w:rPr>
        <w:lastRenderedPageBreak/>
        <w:t xml:space="preserve">In January 2009, the National Commission for the Environment (CONAMA) presented the National Climate Change Action Plan, for 2008-2012, as a reference framework for climate change impact analysis, vulnerability, adaptation and mitigation. As a new member of the OECD, Chile is adopting a series of OECD policy recommendations including the “Declaration on Green Growth” (2009) and its “Green Growth Strategy” (2011). To this end, Chile’s government has committed to achieving a 20% reduction in GHG emissions below Business as Usual (BAU) by 2020. This has been reflected in statements by President Sebastian </w:t>
      </w:r>
      <w:proofErr w:type="spellStart"/>
      <w:r w:rsidR="00B619A2" w:rsidRPr="001A1F71">
        <w:rPr>
          <w:rFonts w:ascii="Times New Roman" w:hAnsi="Times New Roman" w:cs="Times New Roman"/>
          <w:color w:val="000000"/>
        </w:rPr>
        <w:t>Piñera</w:t>
      </w:r>
      <w:proofErr w:type="spellEnd"/>
      <w:r w:rsidRPr="0076019A">
        <w:rPr>
          <w:rFonts w:ascii="Times New Roman" w:hAnsi="Times New Roman" w:cs="Times New Roman"/>
          <w:color w:val="000000"/>
        </w:rPr>
        <w:t>, in 2010, as well as pledges made to the United Nations Framework Convention on Climate Change (UNFCCC). Chile’s Council of Ministers also approved an ongoing National Climate Change Action Plan in 2008, signaling a political will to limit the country’s increase in GHG emissions in a cost-effective manner.</w:t>
      </w:r>
      <w:r w:rsidR="00B619A2">
        <w:rPr>
          <w:rFonts w:ascii="Times New Roman" w:hAnsi="Times New Roman" w:cs="Times New Roman"/>
          <w:color w:val="000000"/>
        </w:rPr>
        <w:t xml:space="preserve"> </w:t>
      </w:r>
      <w:r w:rsidR="00B619A2" w:rsidRPr="00B619A2">
        <w:rPr>
          <w:rFonts w:ascii="Times New Roman" w:hAnsi="Times New Roman" w:cs="Times New Roman"/>
          <w:color w:val="000000"/>
        </w:rPr>
        <w:t>Furthermore, in early April 2014, the new government</w:t>
      </w:r>
      <w:r w:rsidR="00B619A2" w:rsidRPr="00B619A2">
        <w:rPr>
          <w:rFonts w:ascii="Times New Roman" w:hAnsi="Times New Roman" w:cs="Times New Roman"/>
          <w:color w:val="000000"/>
          <w:vertAlign w:val="superscript"/>
        </w:rPr>
        <w:footnoteReference w:id="3"/>
      </w:r>
      <w:r w:rsidR="00B619A2" w:rsidRPr="00B619A2">
        <w:rPr>
          <w:rFonts w:ascii="Times New Roman" w:hAnsi="Times New Roman" w:cs="Times New Roman"/>
          <w:color w:val="000000"/>
        </w:rPr>
        <w:t xml:space="preserve"> as part of its broad tax reform, has submitted to congress draft legislation that includes, within the proposed green taxes, a carbon tax on large (greater than 50MW) stationary sources in the energy sector.</w:t>
      </w:r>
    </w:p>
    <w:p w:rsidR="0076019A" w:rsidRPr="0076019A" w:rsidRDefault="0076019A" w:rsidP="00B619A2">
      <w:pPr>
        <w:autoSpaceDE w:val="0"/>
        <w:autoSpaceDN w:val="0"/>
        <w:adjustRightInd w:val="0"/>
        <w:spacing w:after="0" w:line="264" w:lineRule="auto"/>
        <w:jc w:val="both"/>
        <w:rPr>
          <w:rFonts w:ascii="Times New Roman" w:hAnsi="Times New Roman" w:cs="Times New Roman"/>
          <w:color w:val="000000"/>
        </w:rPr>
      </w:pPr>
    </w:p>
    <w:p w:rsidR="0076019A" w:rsidRDefault="00B619A2" w:rsidP="0076019A">
      <w:pPr>
        <w:autoSpaceDE w:val="0"/>
        <w:autoSpaceDN w:val="0"/>
        <w:adjustRightInd w:val="0"/>
        <w:spacing w:after="0" w:line="264" w:lineRule="auto"/>
        <w:ind w:left="547"/>
        <w:jc w:val="both"/>
        <w:rPr>
          <w:rFonts w:ascii="Times New Roman" w:hAnsi="Times New Roman" w:cs="Times New Roman"/>
          <w:color w:val="000000"/>
        </w:rPr>
      </w:pPr>
      <w:r w:rsidRPr="00B619A2">
        <w:rPr>
          <w:rFonts w:ascii="Times New Roman" w:hAnsi="Times New Roman" w:cs="Times New Roman"/>
          <w:color w:val="000000"/>
        </w:rPr>
        <w:t>To meet its climate change mitigation goals, the Chilean Government is keen to explore and study a range of low carbon development instruments</w:t>
      </w:r>
      <w:r w:rsidR="0076019A" w:rsidRPr="0076019A">
        <w:rPr>
          <w:rFonts w:ascii="Times New Roman" w:hAnsi="Times New Roman" w:cs="Times New Roman"/>
          <w:color w:val="000000"/>
        </w:rPr>
        <w:t xml:space="preserve">, including a carbon footprint web tool, Nationally Appropriate Mitigation Actions (NAMAs), enhancements to the Emissions, Transference and Contaminants Registry (RETC), </w:t>
      </w:r>
      <w:r w:rsidRPr="00B619A2">
        <w:rPr>
          <w:rFonts w:ascii="Times New Roman" w:hAnsi="Times New Roman" w:cs="Times New Roman"/>
          <w:color w:val="000000"/>
        </w:rPr>
        <w:t>Emissions Trading Scheme (ETS) and other carbon pricing mechanisms (such as a carbon tax) with possible application in the energy sector</w:t>
      </w:r>
      <w:r w:rsidR="0076019A" w:rsidRPr="0076019A">
        <w:rPr>
          <w:rFonts w:ascii="Times New Roman" w:hAnsi="Times New Roman" w:cs="Times New Roman"/>
          <w:color w:val="000000"/>
        </w:rPr>
        <w:t>. In 2011, the Government embarked on an extensive exercise to prepare long-term mitigation scenarios, known as ‘Mitigation Action Plans &amp; Scenarios (MAPS) Chile’. The main objective of MAPS Chile is to project GHG emissions on a national level for the BAU Scenario and different Mitigation Scenarios, considering a time horizon between 2007 and 2050.</w:t>
      </w:r>
    </w:p>
    <w:p w:rsidR="0076019A" w:rsidRPr="0076019A" w:rsidRDefault="0076019A" w:rsidP="0076019A">
      <w:pPr>
        <w:autoSpaceDE w:val="0"/>
        <w:autoSpaceDN w:val="0"/>
        <w:adjustRightInd w:val="0"/>
        <w:spacing w:after="0" w:line="264" w:lineRule="auto"/>
        <w:ind w:left="547"/>
        <w:jc w:val="both"/>
        <w:rPr>
          <w:rFonts w:ascii="Times New Roman" w:hAnsi="Times New Roman" w:cs="Times New Roman"/>
          <w:color w:val="000000"/>
        </w:rPr>
      </w:pPr>
    </w:p>
    <w:p w:rsidR="0076019A" w:rsidRDefault="0076019A" w:rsidP="0076019A">
      <w:pPr>
        <w:pStyle w:val="Text"/>
        <w:spacing w:after="0" w:line="264" w:lineRule="auto"/>
        <w:ind w:left="547" w:right="23" w:firstLine="0"/>
        <w:jc w:val="both"/>
        <w:rPr>
          <w:rFonts w:eastAsiaTheme="minorHAnsi"/>
          <w:color w:val="000000"/>
        </w:rPr>
      </w:pPr>
      <w:r w:rsidRPr="0076019A">
        <w:rPr>
          <w:rFonts w:eastAsiaTheme="minorHAnsi"/>
          <w:color w:val="000000"/>
        </w:rPr>
        <w:t>Chile has previously used market-based instruments for the management of natural resources, namely water rights, fisheries, and air quality. For instance, the Water Code of 1981 established a decentralized management system for water allocation in all river basins in the country based on the principle of free trade of water rights. There has been some work assessing the performance of the water markets looking at whether the existing allocations have been reasonably efficient or not. Similarly the Ministry of Health and Ministry of Environment’s RETC collects a range of environmental data.</w:t>
      </w:r>
    </w:p>
    <w:p w:rsidR="0076019A" w:rsidRPr="0076019A" w:rsidRDefault="0076019A" w:rsidP="0076019A">
      <w:pPr>
        <w:pStyle w:val="Text"/>
        <w:spacing w:after="0" w:line="264" w:lineRule="auto"/>
        <w:ind w:left="547" w:right="23" w:firstLine="0"/>
        <w:jc w:val="both"/>
        <w:rPr>
          <w:rFonts w:eastAsiaTheme="minorHAnsi"/>
          <w:color w:val="000000"/>
        </w:rPr>
      </w:pPr>
    </w:p>
    <w:p w:rsidR="0076019A" w:rsidRPr="0076019A" w:rsidRDefault="0076019A" w:rsidP="0076019A">
      <w:pPr>
        <w:spacing w:after="0" w:line="264" w:lineRule="auto"/>
        <w:ind w:left="547"/>
        <w:jc w:val="both"/>
        <w:rPr>
          <w:rFonts w:ascii="Times New Roman" w:hAnsi="Times New Roman" w:cs="Times New Roman"/>
          <w:color w:val="000000"/>
        </w:rPr>
      </w:pPr>
      <w:r w:rsidRPr="0076019A">
        <w:rPr>
          <w:rFonts w:ascii="Times New Roman" w:hAnsi="Times New Roman" w:cs="Times New Roman"/>
          <w:color w:val="000000"/>
        </w:rPr>
        <w:t>As the world seeks to continue global GHG mitigation efforts post-2012, countries like Chile are exploring new innovative and cost-effective ways to scale up emission reductions and foster financial flows, including through market based instruments. To support, facilitate and build “readiness” for such instruments, the World Bank established the PMR</w:t>
      </w:r>
      <w:r w:rsidRPr="00B619A2">
        <w:rPr>
          <w:rFonts w:ascii="Times New Roman" w:hAnsi="Times New Roman" w:cs="Times New Roman"/>
          <w:color w:val="000000"/>
          <w:vertAlign w:val="superscript"/>
        </w:rPr>
        <w:footnoteReference w:id="4"/>
      </w:r>
      <w:r w:rsidRPr="00B619A2">
        <w:rPr>
          <w:rFonts w:ascii="Times New Roman" w:hAnsi="Times New Roman" w:cs="Times New Roman"/>
          <w:color w:val="000000"/>
          <w:vertAlign w:val="superscript"/>
        </w:rPr>
        <w:t xml:space="preserve"> </w:t>
      </w:r>
      <w:r w:rsidRPr="0076019A">
        <w:rPr>
          <w:rFonts w:ascii="Times New Roman" w:hAnsi="Times New Roman" w:cs="Times New Roman"/>
          <w:color w:val="000000"/>
        </w:rPr>
        <w:t>in 2011. To date, it has received do</w:t>
      </w:r>
      <w:r w:rsidR="00B619A2">
        <w:rPr>
          <w:rFonts w:ascii="Times New Roman" w:hAnsi="Times New Roman" w:cs="Times New Roman"/>
          <w:color w:val="000000"/>
        </w:rPr>
        <w:t>nor pledges totaling about US$12</w:t>
      </w:r>
      <w:r w:rsidRPr="0076019A">
        <w:rPr>
          <w:rFonts w:ascii="Times New Roman" w:hAnsi="Times New Roman" w:cs="Times New Roman"/>
          <w:color w:val="000000"/>
        </w:rPr>
        <w:t>5 million to enhance countries’ technical and institutional capacities to develop carbon pricing instruments, including domestic ETS, taxes, and/or scaled-up crediting mechanisms.</w:t>
      </w:r>
    </w:p>
    <w:p w:rsidR="0076019A" w:rsidRPr="00EB05CE" w:rsidRDefault="0076019A" w:rsidP="0076019A">
      <w:pPr>
        <w:pStyle w:val="ListParagraph"/>
        <w:spacing w:after="0" w:line="264" w:lineRule="auto"/>
        <w:ind w:left="360"/>
        <w:jc w:val="both"/>
        <w:rPr>
          <w:color w:val="000000" w:themeColor="text1"/>
        </w:rPr>
      </w:pPr>
    </w:p>
    <w:p w:rsidR="004E1C1B" w:rsidRPr="007E69FF" w:rsidRDefault="004E1C1B" w:rsidP="001D5B3F">
      <w:pPr>
        <w:pStyle w:val="ListParagraph"/>
        <w:numPr>
          <w:ilvl w:val="0"/>
          <w:numId w:val="2"/>
        </w:numPr>
        <w:spacing w:after="120" w:line="240" w:lineRule="auto"/>
        <w:ind w:left="547" w:hanging="547"/>
        <w:contextualSpacing w:val="0"/>
        <w:rPr>
          <w:rFonts w:ascii="Times New Roman" w:hAnsi="Times New Roman" w:cs="Times New Roman"/>
          <w:b/>
        </w:rPr>
      </w:pPr>
      <w:r w:rsidRPr="007E69FF">
        <w:rPr>
          <w:rFonts w:ascii="Times New Roman" w:hAnsi="Times New Roman" w:cs="Times New Roman"/>
          <w:b/>
        </w:rPr>
        <w:t>Proposed Development Objective(s)</w:t>
      </w:r>
    </w:p>
    <w:p w:rsidR="00BF0C18" w:rsidRDefault="00B619A2" w:rsidP="00B619A2">
      <w:pPr>
        <w:pStyle w:val="Text"/>
        <w:spacing w:after="0" w:line="264" w:lineRule="auto"/>
        <w:ind w:left="557"/>
        <w:jc w:val="both"/>
        <w:rPr>
          <w:rFonts w:eastAsia="Times New Roman"/>
        </w:rPr>
      </w:pPr>
      <w:r w:rsidRPr="0070257B">
        <w:rPr>
          <w:rFonts w:eastAsia="Times New Roman"/>
        </w:rPr>
        <w:t>The objective</w:t>
      </w:r>
      <w:r>
        <w:rPr>
          <w:rFonts w:eastAsia="Times New Roman"/>
        </w:rPr>
        <w:t>s</w:t>
      </w:r>
      <w:r w:rsidRPr="0070257B">
        <w:rPr>
          <w:rFonts w:eastAsia="Times New Roman"/>
        </w:rPr>
        <w:t xml:space="preserve"> of the </w:t>
      </w:r>
      <w:r>
        <w:rPr>
          <w:rFonts w:eastAsia="Times New Roman"/>
        </w:rPr>
        <w:t>Project</w:t>
      </w:r>
      <w:r w:rsidRPr="0070257B">
        <w:rPr>
          <w:rFonts w:eastAsia="Times New Roman"/>
        </w:rPr>
        <w:t xml:space="preserve"> </w:t>
      </w:r>
      <w:r>
        <w:rPr>
          <w:rFonts w:eastAsia="Times New Roman"/>
        </w:rPr>
        <w:t>are</w:t>
      </w:r>
      <w:r w:rsidRPr="0070257B">
        <w:rPr>
          <w:rFonts w:eastAsia="Times New Roman"/>
        </w:rPr>
        <w:t xml:space="preserve"> to</w:t>
      </w:r>
      <w:r>
        <w:rPr>
          <w:rFonts w:eastAsia="Times New Roman"/>
        </w:rPr>
        <w:t xml:space="preserve"> provide technical </w:t>
      </w:r>
      <w:r w:rsidRPr="0070257B">
        <w:rPr>
          <w:rFonts w:eastAsia="Times New Roman"/>
        </w:rPr>
        <w:t>assist</w:t>
      </w:r>
      <w:r>
        <w:rPr>
          <w:rFonts w:eastAsia="Times New Roman"/>
        </w:rPr>
        <w:t>ance to</w:t>
      </w:r>
      <w:r w:rsidRPr="0070257B">
        <w:rPr>
          <w:rFonts w:eastAsia="Times New Roman"/>
        </w:rPr>
        <w:t xml:space="preserve"> </w:t>
      </w:r>
      <w:r>
        <w:rPr>
          <w:rFonts w:eastAsia="Times New Roman"/>
        </w:rPr>
        <w:t xml:space="preserve">the Beneficiary in the </w:t>
      </w:r>
      <w:r w:rsidRPr="0070257B">
        <w:rPr>
          <w:rFonts w:eastAsia="Times New Roman"/>
        </w:rPr>
        <w:t>design and implement</w:t>
      </w:r>
      <w:r>
        <w:rPr>
          <w:rFonts w:eastAsia="Times New Roman"/>
        </w:rPr>
        <w:t>ation of</w:t>
      </w:r>
      <w:r w:rsidRPr="0070257B">
        <w:rPr>
          <w:rFonts w:eastAsia="Times New Roman"/>
        </w:rPr>
        <w:t xml:space="preserve"> a </w:t>
      </w:r>
      <w:r w:rsidRPr="00B577CA">
        <w:rPr>
          <w:rFonts w:eastAsia="Times New Roman"/>
        </w:rPr>
        <w:t>Monitoring, Reporting and Verification (</w:t>
      </w:r>
      <w:r w:rsidRPr="0070257B">
        <w:rPr>
          <w:rFonts w:eastAsia="Times New Roman"/>
        </w:rPr>
        <w:t>MRV</w:t>
      </w:r>
      <w:r>
        <w:rPr>
          <w:rFonts w:eastAsia="Times New Roman"/>
        </w:rPr>
        <w:t>)</w:t>
      </w:r>
      <w:r w:rsidRPr="0070257B">
        <w:rPr>
          <w:rFonts w:eastAsia="Times New Roman"/>
        </w:rPr>
        <w:t xml:space="preserve"> framework and registry</w:t>
      </w:r>
      <w:r>
        <w:rPr>
          <w:rFonts w:eastAsia="Times New Roman"/>
        </w:rPr>
        <w:t>,</w:t>
      </w:r>
      <w:r w:rsidRPr="0070257B">
        <w:rPr>
          <w:rFonts w:eastAsia="Times New Roman"/>
        </w:rPr>
        <w:t xml:space="preserve"> and </w:t>
      </w:r>
      <w:r>
        <w:rPr>
          <w:rFonts w:eastAsia="Times New Roman"/>
        </w:rPr>
        <w:lastRenderedPageBreak/>
        <w:t xml:space="preserve">in the </w:t>
      </w:r>
      <w:r w:rsidRPr="0070257B">
        <w:rPr>
          <w:rFonts w:eastAsia="Times New Roman"/>
        </w:rPr>
        <w:t>design</w:t>
      </w:r>
      <w:r>
        <w:rPr>
          <w:rFonts w:eastAsia="Times New Roman"/>
        </w:rPr>
        <w:t xml:space="preserve"> and preparation of one or more carbon pricing instruments </w:t>
      </w:r>
      <w:r w:rsidRPr="0070257B">
        <w:rPr>
          <w:rFonts w:eastAsia="Times New Roman"/>
        </w:rPr>
        <w:t>in the energy sector.</w:t>
      </w:r>
    </w:p>
    <w:p w:rsidR="00B619A2" w:rsidRPr="00EB05CE" w:rsidRDefault="00B619A2" w:rsidP="00B619A2">
      <w:pPr>
        <w:pStyle w:val="Text"/>
        <w:spacing w:after="0" w:line="264" w:lineRule="auto"/>
        <w:ind w:left="557"/>
        <w:jc w:val="both"/>
        <w:rPr>
          <w:sz w:val="24"/>
          <w:szCs w:val="24"/>
        </w:rPr>
      </w:pPr>
    </w:p>
    <w:p w:rsidR="004E1C1B" w:rsidRPr="007E69FF" w:rsidRDefault="00E74641" w:rsidP="001D5B3F">
      <w:pPr>
        <w:pStyle w:val="ListParagraph"/>
        <w:numPr>
          <w:ilvl w:val="0"/>
          <w:numId w:val="2"/>
        </w:numPr>
        <w:spacing w:after="120" w:line="240" w:lineRule="auto"/>
        <w:ind w:left="547" w:hanging="540"/>
        <w:contextualSpacing w:val="0"/>
        <w:rPr>
          <w:rFonts w:ascii="Times New Roman" w:hAnsi="Times New Roman" w:cs="Times New Roman"/>
          <w:b/>
        </w:rPr>
      </w:pPr>
      <w:r>
        <w:rPr>
          <w:rFonts w:ascii="Times New Roman" w:hAnsi="Times New Roman" w:cs="Times New Roman"/>
          <w:b/>
        </w:rPr>
        <w:t>Project</w:t>
      </w:r>
      <w:r w:rsidR="004E1C1B" w:rsidRPr="007E69FF">
        <w:rPr>
          <w:rFonts w:ascii="Times New Roman" w:hAnsi="Times New Roman" w:cs="Times New Roman"/>
          <w:b/>
        </w:rPr>
        <w:t xml:space="preserve"> Description</w:t>
      </w:r>
    </w:p>
    <w:p w:rsidR="00BF0C18" w:rsidRPr="00BF0C18" w:rsidRDefault="00BF0C18" w:rsidP="00BF0C18">
      <w:pPr>
        <w:spacing w:after="0" w:line="264" w:lineRule="auto"/>
        <w:ind w:left="547"/>
        <w:jc w:val="both"/>
        <w:rPr>
          <w:rFonts w:ascii="Times New Roman" w:hAnsi="Times New Roman"/>
        </w:rPr>
      </w:pPr>
      <w:r w:rsidRPr="00BF0C18">
        <w:rPr>
          <w:rFonts w:ascii="Times New Roman" w:hAnsi="Times New Roman"/>
        </w:rPr>
        <w:t xml:space="preserve">The PMR is a grant-based, capacity building multi-donor trust fund that provides funding and technical assistance for the collective innovation and piloting of market-based instruments for greenhouse gas emissions reduction. The PMR brings together </w:t>
      </w:r>
      <w:r w:rsidR="00B619A2">
        <w:rPr>
          <w:rFonts w:ascii="Times New Roman" w:hAnsi="Times New Roman"/>
        </w:rPr>
        <w:t>thirteen (13</w:t>
      </w:r>
      <w:r w:rsidRPr="00BF0C18">
        <w:rPr>
          <w:rFonts w:ascii="Times New Roman" w:hAnsi="Times New Roman"/>
        </w:rPr>
        <w:t xml:space="preserve">) Contributing Participants and </w:t>
      </w:r>
      <w:r w:rsidR="00B619A2">
        <w:rPr>
          <w:rFonts w:ascii="Times New Roman" w:hAnsi="Times New Roman"/>
        </w:rPr>
        <w:t>seventeen (17</w:t>
      </w:r>
      <w:r w:rsidRPr="00BF0C18">
        <w:rPr>
          <w:rFonts w:ascii="Times New Roman" w:hAnsi="Times New Roman"/>
        </w:rPr>
        <w:t>) Implementing Country Participants, as well as several other observer organizations, experts and countries. The PMR is country-led. It provides systemic support to enhance the Implementing Country participants’ technical and institutional capacities in order to implement market-based and carbon pricing instruments, such as a domestic ETS, a scaled-up crediting mechanism or a carbon tax. Implementing Country Participants follow a Preparation Phase and an Implementation Phase, for a total period of 4-6 years depending on the circumstances of the specific country and proposed activities: (a) during the Preparation Phase, with the benefit of a US$350,000 preparation grant, each PMR Implementing Country Participant formulates a MRP</w:t>
      </w:r>
      <w:r w:rsidR="001A1F71">
        <w:rPr>
          <w:rFonts w:ascii="Times New Roman" w:hAnsi="Times New Roman"/>
        </w:rPr>
        <w:t xml:space="preserve"> (Market Readiness Proposal)</w:t>
      </w:r>
      <w:r w:rsidRPr="00BF0C18">
        <w:rPr>
          <w:rFonts w:ascii="Times New Roman" w:hAnsi="Times New Roman"/>
        </w:rPr>
        <w:t xml:space="preserve"> for consideration and feedback from the Partnership Assembly (PA); (b) the Implementing Country Participant begins the PMR Implementation Phase once the PA allocates Implementation Phase funding for the activities outlined in the MRP.</w:t>
      </w:r>
    </w:p>
    <w:p w:rsidR="00BF0C18" w:rsidRPr="00BF0C18" w:rsidRDefault="00BF0C18" w:rsidP="00BF0C18">
      <w:pPr>
        <w:pStyle w:val="Text"/>
        <w:spacing w:after="0" w:line="264" w:lineRule="auto"/>
        <w:ind w:left="547" w:right="23" w:firstLine="0"/>
        <w:jc w:val="both"/>
        <w:rPr>
          <w:rFonts w:eastAsiaTheme="minorHAnsi" w:cstheme="minorBidi"/>
          <w:color w:val="auto"/>
        </w:rPr>
      </w:pPr>
    </w:p>
    <w:p w:rsidR="00BF0C18" w:rsidRDefault="00BF0C18" w:rsidP="00BF0C18">
      <w:pPr>
        <w:pStyle w:val="NoSpacing"/>
        <w:widowControl w:val="0"/>
        <w:autoSpaceDE w:val="0"/>
        <w:autoSpaceDN w:val="0"/>
        <w:adjustRightInd w:val="0"/>
        <w:spacing w:line="264" w:lineRule="auto"/>
        <w:ind w:left="547"/>
        <w:jc w:val="both"/>
        <w:rPr>
          <w:rFonts w:ascii="Times New Roman" w:eastAsiaTheme="minorHAnsi" w:hAnsi="Times New Roman" w:cstheme="minorBidi"/>
          <w:lang w:bidi="ar-SA"/>
        </w:rPr>
      </w:pPr>
      <w:r w:rsidRPr="00BF0C18">
        <w:rPr>
          <w:rFonts w:ascii="Times New Roman" w:eastAsiaTheme="minorHAnsi" w:hAnsi="Times New Roman" w:cstheme="minorBidi"/>
          <w:lang w:bidi="ar-SA"/>
        </w:rPr>
        <w:t xml:space="preserve">Chile joined the PMR in May 2011, upon the PA approving its Expression of Interest (EOI) and allocating it $350,000 to prepare its MRP. The Implementing Agency, the </w:t>
      </w:r>
      <w:proofErr w:type="spellStart"/>
      <w:r w:rsidRPr="00BF0C18">
        <w:rPr>
          <w:rFonts w:ascii="Times New Roman" w:eastAsiaTheme="minorHAnsi" w:hAnsi="Times New Roman" w:cstheme="minorBidi"/>
          <w:lang w:bidi="ar-SA"/>
        </w:rPr>
        <w:t>MoE</w:t>
      </w:r>
      <w:proofErr w:type="spellEnd"/>
      <w:r w:rsidRPr="00BF0C18">
        <w:rPr>
          <w:rFonts w:ascii="Times New Roman" w:eastAsiaTheme="minorHAnsi" w:hAnsi="Times New Roman" w:cstheme="minorBidi"/>
          <w:lang w:bidi="ar-SA"/>
        </w:rPr>
        <w:t xml:space="preserve">, used this funding to organize consultations, meetings, training events and outreach to stakeholders, as well as to establish effective project management capacity. The Ministries of Finance and Environment will assist the </w:t>
      </w:r>
      <w:proofErr w:type="spellStart"/>
      <w:r w:rsidRPr="00BF0C18">
        <w:rPr>
          <w:rFonts w:ascii="Times New Roman" w:eastAsiaTheme="minorHAnsi" w:hAnsi="Times New Roman" w:cstheme="minorBidi"/>
          <w:lang w:bidi="ar-SA"/>
        </w:rPr>
        <w:t>MoE</w:t>
      </w:r>
      <w:proofErr w:type="spellEnd"/>
      <w:r w:rsidRPr="00BF0C18">
        <w:rPr>
          <w:rFonts w:ascii="Times New Roman" w:eastAsiaTheme="minorHAnsi" w:hAnsi="Times New Roman" w:cstheme="minorBidi"/>
          <w:lang w:bidi="ar-SA"/>
        </w:rPr>
        <w:t xml:space="preserve"> in its supervision function as part of a newly created body called the Petit </w:t>
      </w:r>
      <w:proofErr w:type="spellStart"/>
      <w:r w:rsidRPr="00BF0C18">
        <w:rPr>
          <w:rFonts w:ascii="Times New Roman" w:eastAsiaTheme="minorHAnsi" w:hAnsi="Times New Roman" w:cstheme="minorBidi"/>
          <w:lang w:bidi="ar-SA"/>
        </w:rPr>
        <w:t>Comité</w:t>
      </w:r>
      <w:proofErr w:type="spellEnd"/>
      <w:r w:rsidRPr="00BF0C18">
        <w:rPr>
          <w:rFonts w:ascii="Times New Roman" w:eastAsiaTheme="minorHAnsi" w:hAnsi="Times New Roman" w:cstheme="minorBidi"/>
          <w:lang w:bidi="ar-SA"/>
        </w:rPr>
        <w:t xml:space="preserve">. Additionally, a Steering Committee was established in March 2012, comprising the ministries of Foreign Affairs, Finance, Economy, Agriculture, Mining, Transport &amp; Telecommunications, Energy and Environment. </w:t>
      </w:r>
    </w:p>
    <w:p w:rsidR="00BF0C18" w:rsidRPr="00BF0C18" w:rsidRDefault="00BF0C18" w:rsidP="00BF0C18">
      <w:pPr>
        <w:pStyle w:val="NoSpacing"/>
        <w:widowControl w:val="0"/>
        <w:autoSpaceDE w:val="0"/>
        <w:autoSpaceDN w:val="0"/>
        <w:adjustRightInd w:val="0"/>
        <w:spacing w:line="264" w:lineRule="auto"/>
        <w:ind w:left="547"/>
        <w:jc w:val="both"/>
        <w:rPr>
          <w:rFonts w:ascii="Times New Roman" w:eastAsiaTheme="minorHAnsi" w:hAnsi="Times New Roman" w:cstheme="minorBidi"/>
          <w:lang w:bidi="ar-SA"/>
        </w:rPr>
      </w:pPr>
    </w:p>
    <w:p w:rsidR="00BF0C18" w:rsidRDefault="00BF0C18" w:rsidP="00BF0C18">
      <w:pPr>
        <w:pStyle w:val="Text"/>
        <w:spacing w:after="0" w:line="264" w:lineRule="auto"/>
        <w:ind w:left="547" w:firstLine="0"/>
        <w:jc w:val="both"/>
        <w:rPr>
          <w:rFonts w:eastAsiaTheme="minorHAnsi" w:cstheme="minorBidi"/>
          <w:color w:val="auto"/>
        </w:rPr>
      </w:pPr>
      <w:r w:rsidRPr="00BF0C18">
        <w:rPr>
          <w:rFonts w:eastAsiaTheme="minorHAnsi" w:cstheme="minorBidi"/>
          <w:color w:val="auto"/>
        </w:rPr>
        <w:t xml:space="preserve">Chile presented its final MRP at the 5th PA meeting in March 2013. The PA reviewed and endorsed the MRP, awarding it US$3 million in Grant Funding to implement the activities contained within it. The World Bank LAC region provided technical support to the </w:t>
      </w:r>
      <w:proofErr w:type="spellStart"/>
      <w:r w:rsidRPr="00BF0C18">
        <w:rPr>
          <w:rFonts w:eastAsiaTheme="minorHAnsi" w:cstheme="minorBidi"/>
          <w:color w:val="auto"/>
        </w:rPr>
        <w:t>MoE</w:t>
      </w:r>
      <w:proofErr w:type="spellEnd"/>
      <w:r w:rsidRPr="00BF0C18">
        <w:rPr>
          <w:rFonts w:eastAsiaTheme="minorHAnsi" w:cstheme="minorBidi"/>
          <w:color w:val="auto"/>
        </w:rPr>
        <w:t xml:space="preserve"> to prepare and complete its MRP and the World Bank’s Carbon Finance Unit (</w:t>
      </w:r>
      <w:r w:rsidR="00B619A2">
        <w:rPr>
          <w:rFonts w:eastAsiaTheme="minorHAnsi" w:cstheme="minorBidi"/>
          <w:color w:val="auto"/>
        </w:rPr>
        <w:t>CCG</w:t>
      </w:r>
      <w:r w:rsidRPr="00BF0C18">
        <w:rPr>
          <w:rFonts w:eastAsiaTheme="minorHAnsi" w:cstheme="minorBidi"/>
          <w:color w:val="auto"/>
        </w:rPr>
        <w:t xml:space="preserve">CF) provided secretariat services, technical support and carbon markets and mechanisms expertise. This involved helping to identify areas of PMR support, supervising the execution of the PMR Preparation Phase funding and providing technical support through regular communications with the consortium of local and international MRP consultants. </w:t>
      </w:r>
    </w:p>
    <w:p w:rsidR="00BF0C18" w:rsidRPr="00BF0C18" w:rsidRDefault="00BF0C18" w:rsidP="00BF0C18">
      <w:pPr>
        <w:pStyle w:val="Text"/>
        <w:spacing w:after="0" w:line="264" w:lineRule="auto"/>
        <w:ind w:left="547" w:firstLine="0"/>
        <w:jc w:val="both"/>
        <w:rPr>
          <w:rFonts w:eastAsiaTheme="minorHAnsi" w:cstheme="minorBidi"/>
          <w:color w:val="auto"/>
        </w:rPr>
      </w:pPr>
    </w:p>
    <w:p w:rsidR="00BF0C18" w:rsidRPr="00BF0C18" w:rsidRDefault="00BF0C18" w:rsidP="00BF0C18">
      <w:pPr>
        <w:pStyle w:val="Text"/>
        <w:spacing w:after="0" w:line="264" w:lineRule="auto"/>
        <w:ind w:left="547" w:right="23" w:firstLine="0"/>
        <w:jc w:val="both"/>
        <w:rPr>
          <w:rFonts w:eastAsiaTheme="minorHAnsi" w:cstheme="minorBidi"/>
          <w:color w:val="auto"/>
        </w:rPr>
      </w:pPr>
      <w:r w:rsidRPr="00BF0C18">
        <w:rPr>
          <w:rFonts w:eastAsiaTheme="minorHAnsi" w:cstheme="minorBidi"/>
          <w:color w:val="auto"/>
        </w:rPr>
        <w:t>Chile’s PMR project includes four main components:</w:t>
      </w:r>
    </w:p>
    <w:p w:rsidR="00B619A2" w:rsidRPr="00B619A2" w:rsidRDefault="00B619A2" w:rsidP="00B619A2">
      <w:pPr>
        <w:pStyle w:val="Text"/>
        <w:spacing w:after="0" w:line="264" w:lineRule="auto"/>
        <w:ind w:left="547" w:right="23" w:firstLine="0"/>
        <w:jc w:val="both"/>
        <w:rPr>
          <w:rFonts w:eastAsiaTheme="minorHAnsi" w:cstheme="minorBidi"/>
          <w:color w:val="auto"/>
        </w:rPr>
      </w:pPr>
      <w:r w:rsidRPr="00B619A2">
        <w:rPr>
          <w:rFonts w:eastAsiaTheme="minorHAnsi" w:cstheme="minorBidi"/>
          <w:color w:val="auto"/>
          <w:u w:val="single"/>
        </w:rPr>
        <w:t>Component 1</w:t>
      </w:r>
      <w:r w:rsidRPr="00B619A2">
        <w:rPr>
          <w:rFonts w:eastAsiaTheme="minorHAnsi" w:cstheme="minorBidi"/>
          <w:color w:val="auto"/>
        </w:rPr>
        <w:t xml:space="preserve">: Regulatory, Economic and Institutional Analyses to assess the viability of one or more carbon pricing instruments for the energy sector - </w:t>
      </w:r>
    </w:p>
    <w:p w:rsidR="00B619A2" w:rsidRPr="00B619A2" w:rsidRDefault="00B619A2" w:rsidP="00B619A2">
      <w:pPr>
        <w:pStyle w:val="Default"/>
        <w:widowControl/>
        <w:numPr>
          <w:ilvl w:val="0"/>
          <w:numId w:val="11"/>
        </w:numPr>
        <w:spacing w:line="264" w:lineRule="auto"/>
        <w:jc w:val="both"/>
        <w:rPr>
          <w:rFonts w:eastAsiaTheme="minorHAnsi" w:cstheme="minorBidi"/>
          <w:color w:val="auto"/>
          <w:sz w:val="22"/>
          <w:szCs w:val="22"/>
        </w:rPr>
      </w:pPr>
      <w:r w:rsidRPr="00B619A2">
        <w:rPr>
          <w:rFonts w:eastAsiaTheme="minorHAnsi" w:cstheme="minorBidi"/>
          <w:color w:val="auto"/>
          <w:sz w:val="22"/>
          <w:szCs w:val="22"/>
        </w:rPr>
        <w:t xml:space="preserve">Regulatory Analysis for one or more carbon pricing instruments in Chile. This entails   review of the current regulatory framework needed for one or more carbon pricing instruments and MRV system, in order to determine what the current laws and regulations allow for and what changes would be necessary to build new capacities. </w:t>
      </w:r>
    </w:p>
    <w:p w:rsidR="00B619A2" w:rsidRPr="00B619A2" w:rsidRDefault="00B619A2" w:rsidP="00B619A2">
      <w:pPr>
        <w:pStyle w:val="Default"/>
        <w:widowControl/>
        <w:numPr>
          <w:ilvl w:val="0"/>
          <w:numId w:val="11"/>
        </w:numPr>
        <w:spacing w:line="264" w:lineRule="auto"/>
        <w:jc w:val="both"/>
        <w:rPr>
          <w:rFonts w:eastAsiaTheme="minorHAnsi" w:cstheme="minorBidi"/>
          <w:color w:val="auto"/>
          <w:sz w:val="22"/>
          <w:szCs w:val="22"/>
        </w:rPr>
      </w:pPr>
      <w:r w:rsidRPr="00B619A2">
        <w:rPr>
          <w:rFonts w:eastAsiaTheme="minorHAnsi" w:cstheme="minorBidi"/>
          <w:color w:val="auto"/>
          <w:sz w:val="22"/>
          <w:szCs w:val="22"/>
        </w:rPr>
        <w:t xml:space="preserve">Economic Analysis for one or more carbon pricing instruments in Chile. This involves developing both, macro and micro economic analyses of the national situation in order to determine the potential impacts and benefits of one or more carbon pricing instruments in </w:t>
      </w:r>
      <w:r w:rsidRPr="00B619A2">
        <w:rPr>
          <w:rFonts w:eastAsiaTheme="minorHAnsi" w:cstheme="minorBidi"/>
          <w:color w:val="auto"/>
          <w:sz w:val="22"/>
          <w:szCs w:val="22"/>
        </w:rPr>
        <w:lastRenderedPageBreak/>
        <w:t xml:space="preserve">Chile. This research will include modeling that replicates the functioning of the market through a quantitative instrument allowing a visual representation of the aggregate impacts of this market mechanism. </w:t>
      </w:r>
    </w:p>
    <w:p w:rsidR="00B619A2" w:rsidRPr="00B619A2" w:rsidRDefault="00B619A2" w:rsidP="00B619A2">
      <w:pPr>
        <w:pStyle w:val="Default"/>
        <w:widowControl/>
        <w:numPr>
          <w:ilvl w:val="0"/>
          <w:numId w:val="11"/>
        </w:numPr>
        <w:spacing w:line="264" w:lineRule="auto"/>
        <w:jc w:val="both"/>
        <w:rPr>
          <w:rFonts w:eastAsiaTheme="minorHAnsi" w:cstheme="minorBidi"/>
          <w:color w:val="auto"/>
          <w:sz w:val="22"/>
          <w:szCs w:val="22"/>
        </w:rPr>
      </w:pPr>
      <w:r w:rsidRPr="00B619A2">
        <w:rPr>
          <w:rFonts w:eastAsiaTheme="minorHAnsi" w:cstheme="minorBidi"/>
          <w:color w:val="auto"/>
          <w:sz w:val="22"/>
          <w:szCs w:val="22"/>
        </w:rPr>
        <w:t xml:space="preserve">Institutional Analysis for one or more carbon pricing instruments in Chile. This includes design of an institutional framework that is capable of supporting the implementation of MRV and Registry with their respective compliance systems; that can be utilized at a sectorial level with the capacity to scale up to a national level, at a later date. It also involves exploring the roles, capabilities and needs that existing financial institutions have, regarding oversight of one or more carbon pricing instruments for the energy sector. </w:t>
      </w:r>
    </w:p>
    <w:p w:rsidR="00BF0C18" w:rsidRPr="00BF0C18" w:rsidRDefault="00BF0C18" w:rsidP="00BF0C18">
      <w:pPr>
        <w:pStyle w:val="Default"/>
        <w:spacing w:line="264" w:lineRule="auto"/>
        <w:ind w:left="547"/>
        <w:jc w:val="both"/>
        <w:rPr>
          <w:rFonts w:eastAsiaTheme="minorHAnsi" w:cstheme="minorBidi"/>
          <w:color w:val="auto"/>
          <w:sz w:val="22"/>
          <w:szCs w:val="22"/>
        </w:rPr>
      </w:pPr>
    </w:p>
    <w:p w:rsidR="00BF0C18" w:rsidRPr="00BF0C18" w:rsidRDefault="00BF0C18" w:rsidP="00B619A2">
      <w:pPr>
        <w:pStyle w:val="Text"/>
        <w:spacing w:after="0" w:line="276" w:lineRule="auto"/>
        <w:ind w:left="547" w:right="23" w:firstLine="0"/>
        <w:jc w:val="both"/>
        <w:rPr>
          <w:rFonts w:eastAsiaTheme="minorHAnsi" w:cstheme="minorBidi"/>
          <w:color w:val="auto"/>
        </w:rPr>
      </w:pPr>
      <w:r w:rsidRPr="00BF0C18">
        <w:rPr>
          <w:rFonts w:eastAsiaTheme="minorHAnsi" w:cstheme="minorBidi"/>
          <w:color w:val="auto"/>
          <w:u w:val="single"/>
        </w:rPr>
        <w:t>Component 2</w:t>
      </w:r>
      <w:r w:rsidRPr="00BF0C18">
        <w:rPr>
          <w:rFonts w:eastAsiaTheme="minorHAnsi" w:cstheme="minorBidi"/>
          <w:color w:val="auto"/>
        </w:rPr>
        <w:t xml:space="preserve">: Design and implementation of MRV framework and Registry system. Given the legal attributes associated with data collection for the RETC as well as its ability to serve as a single platform for emissions reporting, the Chilean Government envisions the PMR to improve and strengthen the reporting and calculation in the specific area of greenhouse gases. </w:t>
      </w:r>
    </w:p>
    <w:p w:rsidR="00B619A2" w:rsidRPr="00B619A2" w:rsidRDefault="00B619A2" w:rsidP="00B619A2">
      <w:pPr>
        <w:pStyle w:val="ListParagraph"/>
        <w:numPr>
          <w:ilvl w:val="0"/>
          <w:numId w:val="12"/>
        </w:numPr>
        <w:tabs>
          <w:tab w:val="left" w:pos="540"/>
        </w:tabs>
        <w:autoSpaceDE w:val="0"/>
        <w:autoSpaceDN w:val="0"/>
        <w:adjustRightInd w:val="0"/>
        <w:spacing w:after="0"/>
        <w:jc w:val="both"/>
        <w:rPr>
          <w:rFonts w:ascii="Times New Roman" w:hAnsi="Times New Roman"/>
        </w:rPr>
      </w:pPr>
      <w:r w:rsidRPr="00B619A2">
        <w:rPr>
          <w:rFonts w:ascii="Times New Roman" w:hAnsi="Times New Roman"/>
        </w:rPr>
        <w:t xml:space="preserve">Design and implementation of an MRV framework. This includes review of the MRV platforms that are used in other countries and the lessons learned in this implementation. It will define the scope and breadth of the MRV framework for the energy sector and lay out the legal and technical design and implementation of a platform that takes into account existing capacities and challenges. Steps to train regulated and regulating entities in MRV and to develop accredited verification entities will also be undertaken. To establish this component, the </w:t>
      </w:r>
      <w:proofErr w:type="spellStart"/>
      <w:r w:rsidRPr="00B619A2">
        <w:rPr>
          <w:rFonts w:ascii="Times New Roman" w:hAnsi="Times New Roman"/>
        </w:rPr>
        <w:t>MoE</w:t>
      </w:r>
      <w:proofErr w:type="spellEnd"/>
      <w:r w:rsidRPr="00B619A2">
        <w:rPr>
          <w:rFonts w:ascii="Times New Roman" w:hAnsi="Times New Roman"/>
        </w:rPr>
        <w:t xml:space="preserve"> can seek support from the Chilean Voluntary GHG Reporting Program, which was recently launched and is being developed by the Ministry of Environment. </w:t>
      </w:r>
    </w:p>
    <w:p w:rsidR="00B619A2" w:rsidRPr="00B619A2" w:rsidRDefault="00B619A2" w:rsidP="00B619A2">
      <w:pPr>
        <w:pStyle w:val="Default"/>
        <w:widowControl/>
        <w:numPr>
          <w:ilvl w:val="0"/>
          <w:numId w:val="12"/>
        </w:numPr>
        <w:spacing w:line="264" w:lineRule="auto"/>
        <w:jc w:val="both"/>
        <w:rPr>
          <w:rFonts w:eastAsiaTheme="minorHAnsi" w:cstheme="minorBidi"/>
          <w:color w:val="auto"/>
          <w:sz w:val="22"/>
          <w:szCs w:val="22"/>
        </w:rPr>
      </w:pPr>
      <w:r w:rsidRPr="00B619A2">
        <w:rPr>
          <w:rFonts w:eastAsiaTheme="minorHAnsi" w:cstheme="minorBidi"/>
          <w:color w:val="auto"/>
          <w:sz w:val="22"/>
          <w:szCs w:val="22"/>
        </w:rPr>
        <w:t>Development of a Registry. The main objective of this section is to design and implement an appropriate registry system that can be utilized at a sectorial level (starting with the energy sector), keeping track of all GHG emissions and additionally have all the necessary elements for a potential implementation of national-level emission transaction system. The Government has already begun to build upon these existing RETC systems with the goal of developing a bottom-up GHG emissions registry. The registry will be designed in a two-phase approach:</w:t>
      </w:r>
    </w:p>
    <w:p w:rsidR="00B619A2" w:rsidRPr="00B619A2" w:rsidRDefault="00B619A2" w:rsidP="00B619A2">
      <w:pPr>
        <w:pStyle w:val="Default"/>
        <w:spacing w:line="264" w:lineRule="auto"/>
        <w:ind w:left="1260" w:firstLine="720"/>
        <w:jc w:val="both"/>
        <w:rPr>
          <w:rFonts w:eastAsiaTheme="minorHAnsi" w:cstheme="minorBidi"/>
          <w:color w:val="auto"/>
          <w:sz w:val="22"/>
          <w:szCs w:val="22"/>
        </w:rPr>
      </w:pPr>
      <w:r w:rsidRPr="00B619A2">
        <w:rPr>
          <w:rFonts w:eastAsiaTheme="minorHAnsi" w:cstheme="minorBidi"/>
          <w:color w:val="auto"/>
          <w:sz w:val="22"/>
          <w:szCs w:val="22"/>
        </w:rPr>
        <w:t xml:space="preserve">Phase 1: Enhanced implementation of a bottom-up GHG emissions registry </w:t>
      </w:r>
    </w:p>
    <w:p w:rsidR="00B619A2" w:rsidRPr="00B619A2" w:rsidRDefault="00B619A2" w:rsidP="00B619A2">
      <w:pPr>
        <w:spacing w:line="264" w:lineRule="auto"/>
        <w:ind w:left="1260" w:firstLine="720"/>
        <w:jc w:val="both"/>
        <w:rPr>
          <w:rFonts w:ascii="Times New Roman" w:hAnsi="Times New Roman"/>
        </w:rPr>
      </w:pPr>
      <w:r w:rsidRPr="00B619A2">
        <w:rPr>
          <w:rFonts w:ascii="Times New Roman" w:hAnsi="Times New Roman"/>
        </w:rPr>
        <w:t>Phase 2: Design of the emission transaction phase of the registry</w:t>
      </w:r>
    </w:p>
    <w:p w:rsidR="00B619A2" w:rsidRPr="00B619A2" w:rsidRDefault="00BF0C18" w:rsidP="00B619A2">
      <w:pPr>
        <w:pStyle w:val="ListParagraph"/>
        <w:spacing w:line="264" w:lineRule="auto"/>
        <w:ind w:left="540"/>
        <w:jc w:val="both"/>
        <w:rPr>
          <w:rFonts w:ascii="Times New Roman" w:hAnsi="Times New Roman"/>
        </w:rPr>
      </w:pPr>
      <w:r w:rsidRPr="00BF0C18">
        <w:rPr>
          <w:rFonts w:ascii="Times New Roman" w:hAnsi="Times New Roman"/>
          <w:u w:val="single"/>
        </w:rPr>
        <w:t>Component 3</w:t>
      </w:r>
      <w:r w:rsidRPr="00BF0C18">
        <w:rPr>
          <w:rFonts w:ascii="Times New Roman" w:hAnsi="Times New Roman"/>
        </w:rPr>
        <w:t xml:space="preserve">: </w:t>
      </w:r>
      <w:r w:rsidR="00B619A2" w:rsidRPr="00B619A2">
        <w:rPr>
          <w:rFonts w:ascii="Times New Roman" w:hAnsi="Times New Roman"/>
        </w:rPr>
        <w:t>Communication strategy and stakeholder engagement. This would primarily include development of the most appropriate stakeholder engagement strategy. Their activities will include</w:t>
      </w:r>
      <w:r w:rsidR="00B619A2">
        <w:rPr>
          <w:rFonts w:ascii="Times New Roman" w:hAnsi="Times New Roman"/>
        </w:rPr>
        <w:t xml:space="preserve"> </w:t>
      </w:r>
    </w:p>
    <w:p w:rsidR="00B619A2" w:rsidRPr="00B619A2" w:rsidRDefault="00B619A2" w:rsidP="00B619A2">
      <w:pPr>
        <w:pStyle w:val="ListParagraph"/>
        <w:numPr>
          <w:ilvl w:val="3"/>
          <w:numId w:val="13"/>
        </w:numPr>
        <w:tabs>
          <w:tab w:val="clear" w:pos="1800"/>
          <w:tab w:val="num" w:pos="1080"/>
        </w:tabs>
        <w:spacing w:after="0" w:line="264" w:lineRule="auto"/>
        <w:ind w:left="1080" w:hanging="360"/>
        <w:jc w:val="both"/>
        <w:rPr>
          <w:rFonts w:ascii="Times New Roman" w:hAnsi="Times New Roman"/>
        </w:rPr>
      </w:pPr>
      <w:r w:rsidRPr="00B619A2">
        <w:rPr>
          <w:rFonts w:ascii="Times New Roman" w:hAnsi="Times New Roman"/>
        </w:rPr>
        <w:t>Development of a strategy for stakeholder engagement. This involves identifying key stakeholders and developing an outreach strategy for the duration of the PMR activities.</w:t>
      </w:r>
    </w:p>
    <w:p w:rsidR="00B619A2" w:rsidRPr="00B619A2" w:rsidRDefault="00B619A2" w:rsidP="00B619A2">
      <w:pPr>
        <w:pStyle w:val="ListParagraph"/>
        <w:numPr>
          <w:ilvl w:val="3"/>
          <w:numId w:val="13"/>
        </w:numPr>
        <w:tabs>
          <w:tab w:val="clear" w:pos="1800"/>
          <w:tab w:val="num" w:pos="1080"/>
        </w:tabs>
        <w:spacing w:after="0" w:line="264" w:lineRule="auto"/>
        <w:ind w:left="1080" w:hanging="360"/>
        <w:jc w:val="both"/>
        <w:rPr>
          <w:rFonts w:ascii="Times New Roman" w:hAnsi="Times New Roman"/>
        </w:rPr>
      </w:pPr>
      <w:r w:rsidRPr="00B619A2">
        <w:rPr>
          <w:rFonts w:ascii="Times New Roman" w:hAnsi="Times New Roman"/>
        </w:rPr>
        <w:t>Public, private and political stakeholder consultation on one or more carbon pricing instruments and MRV registry for the energy sector.</w:t>
      </w:r>
    </w:p>
    <w:p w:rsidR="00B619A2" w:rsidRPr="00B619A2" w:rsidRDefault="00B619A2" w:rsidP="00B619A2">
      <w:pPr>
        <w:pStyle w:val="ListParagraph"/>
        <w:numPr>
          <w:ilvl w:val="3"/>
          <w:numId w:val="13"/>
        </w:numPr>
        <w:tabs>
          <w:tab w:val="clear" w:pos="1800"/>
          <w:tab w:val="num" w:pos="1080"/>
        </w:tabs>
        <w:spacing w:after="0" w:line="264" w:lineRule="auto"/>
        <w:ind w:left="540" w:firstLine="180"/>
        <w:jc w:val="both"/>
        <w:rPr>
          <w:rFonts w:ascii="Times New Roman" w:hAnsi="Times New Roman"/>
        </w:rPr>
      </w:pPr>
      <w:r w:rsidRPr="00B619A2">
        <w:rPr>
          <w:rFonts w:ascii="Times New Roman" w:hAnsi="Times New Roman"/>
        </w:rPr>
        <w:t>Development of a communication strategy, including the preparation of informational tools.</w:t>
      </w:r>
    </w:p>
    <w:p w:rsidR="00B619A2" w:rsidRDefault="00B619A2" w:rsidP="00B619A2">
      <w:pPr>
        <w:pStyle w:val="ListParagraph"/>
        <w:numPr>
          <w:ilvl w:val="3"/>
          <w:numId w:val="13"/>
        </w:numPr>
        <w:tabs>
          <w:tab w:val="clear" w:pos="1800"/>
          <w:tab w:val="num" w:pos="1080"/>
        </w:tabs>
        <w:spacing w:after="0" w:line="264" w:lineRule="auto"/>
        <w:ind w:left="1080" w:hanging="360"/>
        <w:jc w:val="both"/>
        <w:rPr>
          <w:rFonts w:ascii="Times New Roman" w:hAnsi="Times New Roman"/>
        </w:rPr>
      </w:pPr>
      <w:r w:rsidRPr="00B619A2">
        <w:rPr>
          <w:rFonts w:ascii="Times New Roman" w:hAnsi="Times New Roman"/>
        </w:rPr>
        <w:t xml:space="preserve">Participation in trainings and workshops and country - visits by Chilean officials to understand experiences and lessons on design and operation of one or more carbon pricing instruments in other countries. </w:t>
      </w:r>
    </w:p>
    <w:p w:rsidR="00B619A2" w:rsidRPr="00B619A2" w:rsidRDefault="00B619A2" w:rsidP="00B619A2">
      <w:pPr>
        <w:pStyle w:val="ListParagraph"/>
        <w:numPr>
          <w:ilvl w:val="3"/>
          <w:numId w:val="13"/>
        </w:numPr>
        <w:tabs>
          <w:tab w:val="clear" w:pos="1800"/>
          <w:tab w:val="num" w:pos="1080"/>
        </w:tabs>
        <w:spacing w:after="0" w:line="264" w:lineRule="auto"/>
        <w:ind w:left="1080" w:hanging="360"/>
        <w:jc w:val="both"/>
        <w:rPr>
          <w:rFonts w:ascii="Times New Roman" w:hAnsi="Times New Roman"/>
        </w:rPr>
      </w:pPr>
      <w:r w:rsidRPr="00B619A2">
        <w:rPr>
          <w:rFonts w:ascii="Times New Roman" w:hAnsi="Times New Roman"/>
        </w:rPr>
        <w:t>Other PMR-supported technical assistance and capacity building programs as well as activities from other funding sources will complement this project.</w:t>
      </w:r>
    </w:p>
    <w:p w:rsidR="00BF0C18" w:rsidRPr="00BF0C18" w:rsidRDefault="00BF0C18" w:rsidP="00B619A2">
      <w:pPr>
        <w:spacing w:after="0" w:line="264" w:lineRule="auto"/>
        <w:ind w:left="540" w:firstLine="180"/>
        <w:jc w:val="both"/>
        <w:rPr>
          <w:rFonts w:ascii="Times New Roman" w:hAnsi="Times New Roman"/>
        </w:rPr>
      </w:pPr>
    </w:p>
    <w:p w:rsidR="00BF0C18" w:rsidRPr="00BF0C18" w:rsidRDefault="00BF0C18" w:rsidP="00BF0C18">
      <w:pPr>
        <w:tabs>
          <w:tab w:val="left" w:pos="720"/>
        </w:tabs>
        <w:spacing w:after="0" w:line="264" w:lineRule="auto"/>
        <w:ind w:left="547"/>
        <w:jc w:val="both"/>
        <w:rPr>
          <w:rFonts w:ascii="Times New Roman" w:hAnsi="Times New Roman"/>
        </w:rPr>
      </w:pPr>
      <w:r w:rsidRPr="00BF0C18">
        <w:rPr>
          <w:rFonts w:ascii="Times New Roman" w:hAnsi="Times New Roman"/>
          <w:u w:val="single"/>
        </w:rPr>
        <w:t>Component 4</w:t>
      </w:r>
      <w:r w:rsidRPr="00BF0C18">
        <w:rPr>
          <w:rFonts w:ascii="Times New Roman" w:hAnsi="Times New Roman"/>
        </w:rPr>
        <w:t>: Administration of the PMR project. This includes support for -</w:t>
      </w:r>
    </w:p>
    <w:p w:rsidR="00BF0C18" w:rsidRPr="002249EC" w:rsidRDefault="00BF0C18" w:rsidP="00B619A2">
      <w:pPr>
        <w:pStyle w:val="ListParagraph"/>
        <w:numPr>
          <w:ilvl w:val="0"/>
          <w:numId w:val="22"/>
        </w:numPr>
        <w:spacing w:after="0" w:line="264" w:lineRule="auto"/>
        <w:ind w:left="1080" w:hanging="450"/>
        <w:jc w:val="both"/>
        <w:rPr>
          <w:rFonts w:ascii="Times New Roman" w:hAnsi="Times New Roman"/>
        </w:rPr>
      </w:pPr>
      <w:r w:rsidRPr="002249EC">
        <w:rPr>
          <w:rFonts w:ascii="Times New Roman" w:hAnsi="Times New Roman"/>
        </w:rPr>
        <w:lastRenderedPageBreak/>
        <w:t>The technical execution of Chile’s MRP activities including coordination and technical and policy advice (energy, emissions and carbon markets).</w:t>
      </w:r>
    </w:p>
    <w:p w:rsidR="00BF0C18" w:rsidRPr="002249EC" w:rsidRDefault="00BF0C18" w:rsidP="00B619A2">
      <w:pPr>
        <w:pStyle w:val="ListParagraph"/>
        <w:numPr>
          <w:ilvl w:val="0"/>
          <w:numId w:val="22"/>
        </w:numPr>
        <w:spacing w:after="0" w:line="264" w:lineRule="auto"/>
        <w:ind w:left="1080" w:hanging="450"/>
        <w:jc w:val="both"/>
        <w:rPr>
          <w:rFonts w:ascii="Times New Roman" w:hAnsi="Times New Roman"/>
        </w:rPr>
      </w:pPr>
      <w:r w:rsidRPr="002249EC">
        <w:rPr>
          <w:rFonts w:ascii="Times New Roman" w:hAnsi="Times New Roman"/>
        </w:rPr>
        <w:t xml:space="preserve">Administrative support at the </w:t>
      </w:r>
      <w:proofErr w:type="spellStart"/>
      <w:r w:rsidRPr="002249EC">
        <w:rPr>
          <w:rFonts w:ascii="Times New Roman" w:hAnsi="Times New Roman"/>
        </w:rPr>
        <w:t>Agencia</w:t>
      </w:r>
      <w:proofErr w:type="spellEnd"/>
      <w:r w:rsidRPr="002249EC">
        <w:rPr>
          <w:rFonts w:ascii="Times New Roman" w:hAnsi="Times New Roman"/>
        </w:rPr>
        <w:t xml:space="preserve"> de </w:t>
      </w:r>
      <w:proofErr w:type="spellStart"/>
      <w:r w:rsidRPr="002249EC">
        <w:rPr>
          <w:rFonts w:ascii="Times New Roman" w:hAnsi="Times New Roman"/>
        </w:rPr>
        <w:t>Cooperacion</w:t>
      </w:r>
      <w:proofErr w:type="spellEnd"/>
      <w:r w:rsidRPr="002249EC">
        <w:rPr>
          <w:rFonts w:ascii="Times New Roman" w:hAnsi="Times New Roman"/>
        </w:rPr>
        <w:t xml:space="preserve"> </w:t>
      </w:r>
      <w:proofErr w:type="spellStart"/>
      <w:r w:rsidRPr="002249EC">
        <w:rPr>
          <w:rFonts w:ascii="Times New Roman" w:hAnsi="Times New Roman"/>
        </w:rPr>
        <w:t>Internacional</w:t>
      </w:r>
      <w:proofErr w:type="spellEnd"/>
      <w:r w:rsidRPr="002249EC">
        <w:rPr>
          <w:rFonts w:ascii="Times New Roman" w:hAnsi="Times New Roman"/>
        </w:rPr>
        <w:t xml:space="preserve"> de Chile (AGCI) to support disbursement of Chile’s MRP Implementation Funding Grant.</w:t>
      </w:r>
    </w:p>
    <w:p w:rsidR="00BF0C18" w:rsidRPr="00EB05CE" w:rsidRDefault="00BF0C18" w:rsidP="00BF0C18">
      <w:pPr>
        <w:pStyle w:val="ListParagraph"/>
        <w:tabs>
          <w:tab w:val="num" w:pos="1080"/>
        </w:tabs>
        <w:spacing w:after="0" w:line="264" w:lineRule="auto"/>
        <w:ind w:left="1080"/>
        <w:jc w:val="both"/>
        <w:rPr>
          <w:bCs/>
          <w:iCs/>
          <w:color w:val="000000" w:themeColor="text1"/>
        </w:rPr>
      </w:pPr>
    </w:p>
    <w:p w:rsidR="00C33D8D" w:rsidRPr="006D6F9C" w:rsidRDefault="004E1C1B" w:rsidP="001D5B3F">
      <w:pPr>
        <w:pStyle w:val="ListParagraph"/>
        <w:numPr>
          <w:ilvl w:val="0"/>
          <w:numId w:val="2"/>
        </w:numPr>
        <w:spacing w:after="120" w:line="240" w:lineRule="auto"/>
        <w:ind w:left="547" w:hanging="547"/>
        <w:contextualSpacing w:val="0"/>
        <w:rPr>
          <w:rFonts w:ascii="Times New Roman" w:hAnsi="Times New Roman" w:cs="Times New Roman"/>
          <w:b/>
          <w:i/>
        </w:rPr>
      </w:pPr>
      <w:r w:rsidRPr="007E69FF">
        <w:rPr>
          <w:rFonts w:ascii="Times New Roman" w:hAnsi="Times New Roman" w:cs="Times New Roman"/>
          <w:b/>
        </w:rPr>
        <w:t>Financing</w:t>
      </w:r>
      <w:r w:rsidR="006D1C31">
        <w:rPr>
          <w:rFonts w:ascii="Times New Roman" w:hAnsi="Times New Roman" w:cs="Times New Roman"/>
          <w:b/>
        </w:rPr>
        <w:t xml:space="preserve"> </w:t>
      </w:r>
      <w:r w:rsidR="006D1C31" w:rsidRPr="006D6F9C">
        <w:rPr>
          <w:rFonts w:ascii="Times New Roman" w:hAnsi="Times New Roman" w:cs="Times New Roman"/>
          <w:b/>
          <w:i/>
        </w:rPr>
        <w:t>(in USD Million)</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0"/>
      </w:tblGrid>
      <w:tr w:rsidR="009D3DF5" w:rsidRPr="007E69FF">
        <w:tc>
          <w:tcPr>
            <w:tcW w:w="3690" w:type="dxa"/>
          </w:tcPr>
          <w:p w:rsidR="009D3DF5" w:rsidRPr="007E69FF" w:rsidRDefault="009B6E6E" w:rsidP="001D5B3F">
            <w:pPr>
              <w:pStyle w:val="ListParagraph"/>
              <w:ind w:left="0"/>
              <w:rPr>
                <w:rFonts w:ascii="Times New Roman" w:hAnsi="Times New Roman" w:cs="Times New Roman"/>
                <w:b/>
              </w:rPr>
            </w:pPr>
            <w:r>
              <w:rPr>
                <w:rFonts w:ascii="Times New Roman" w:hAnsi="Times New Roman" w:cs="Times New Roman"/>
                <w:b/>
              </w:rPr>
              <w:t>For Loans/Credits/Others</w:t>
            </w:r>
          </w:p>
        </w:tc>
        <w:tc>
          <w:tcPr>
            <w:tcW w:w="2700" w:type="dxa"/>
          </w:tcPr>
          <w:p w:rsidR="009D3DF5" w:rsidRPr="007E69FF" w:rsidRDefault="009D3DF5" w:rsidP="001D5B3F">
            <w:pPr>
              <w:pStyle w:val="ListParagraph"/>
              <w:ind w:left="0"/>
              <w:jc w:val="right"/>
              <w:rPr>
                <w:rFonts w:ascii="Times New Roman" w:hAnsi="Times New Roman" w:cs="Times New Roman"/>
                <w:b/>
              </w:rPr>
            </w:pPr>
            <w:r w:rsidRPr="007E69FF">
              <w:rPr>
                <w:rFonts w:ascii="Times New Roman" w:hAnsi="Times New Roman" w:cs="Times New Roman"/>
                <w:b/>
              </w:rPr>
              <w:t xml:space="preserve">Amount </w:t>
            </w:r>
          </w:p>
        </w:tc>
      </w:tr>
      <w:tr w:rsidR="009D3DF5" w:rsidRPr="007E69FF">
        <w:tc>
          <w:tcPr>
            <w:tcW w:w="3690" w:type="dxa"/>
          </w:tcPr>
          <w:p w:rsidR="009D3DF5" w:rsidRPr="007E69FF" w:rsidRDefault="009D3DF5" w:rsidP="001D5B3F">
            <w:pPr>
              <w:pStyle w:val="ListParagraph"/>
              <w:ind w:left="0"/>
              <w:rPr>
                <w:rFonts w:ascii="Times New Roman" w:hAnsi="Times New Roman" w:cs="Times New Roman"/>
              </w:rPr>
            </w:pPr>
            <w:r w:rsidRPr="007E69FF">
              <w:rPr>
                <w:rFonts w:ascii="Times New Roman" w:hAnsi="Times New Roman" w:cs="Times New Roman"/>
              </w:rPr>
              <w:t>Borrower</w:t>
            </w:r>
            <w:r w:rsidR="008B588F">
              <w:rPr>
                <w:rFonts w:ascii="Times New Roman" w:hAnsi="Times New Roman" w:cs="Times New Roman"/>
              </w:rPr>
              <w:t>/Recipient</w:t>
            </w:r>
          </w:p>
        </w:tc>
        <w:tc>
          <w:tcPr>
            <w:tcW w:w="2700" w:type="dxa"/>
          </w:tcPr>
          <w:p w:rsidR="009D3DF5" w:rsidRPr="007E69FF" w:rsidRDefault="002249EC" w:rsidP="001D5B3F">
            <w:pPr>
              <w:pStyle w:val="ListParagraph"/>
              <w:ind w:left="0"/>
              <w:jc w:val="right"/>
              <w:rPr>
                <w:rFonts w:ascii="Times New Roman" w:hAnsi="Times New Roman" w:cs="Times New Roman"/>
              </w:rPr>
            </w:pPr>
            <w:r>
              <w:rPr>
                <w:rFonts w:ascii="Times New Roman" w:hAnsi="Times New Roman" w:cs="Times New Roman"/>
              </w:rPr>
              <w:t>3</w:t>
            </w:r>
            <w:r w:rsidR="009D3DF5" w:rsidRPr="007E69FF">
              <w:rPr>
                <w:rFonts w:ascii="Times New Roman" w:hAnsi="Times New Roman" w:cs="Times New Roman"/>
              </w:rPr>
              <w:t>.</w:t>
            </w:r>
            <w:r>
              <w:rPr>
                <w:rFonts w:ascii="Times New Roman" w:hAnsi="Times New Roman" w:cs="Times New Roman"/>
              </w:rPr>
              <w:t>00</w:t>
            </w:r>
          </w:p>
        </w:tc>
      </w:tr>
      <w:tr w:rsidR="009D3DF5" w:rsidRPr="007E69FF">
        <w:tc>
          <w:tcPr>
            <w:tcW w:w="3690" w:type="dxa"/>
          </w:tcPr>
          <w:p w:rsidR="009D3DF5" w:rsidRPr="007E69FF" w:rsidRDefault="00863B00" w:rsidP="001D5B3F">
            <w:pPr>
              <w:pStyle w:val="ListParagraph"/>
              <w:ind w:left="0"/>
              <w:rPr>
                <w:rFonts w:ascii="Times New Roman" w:hAnsi="Times New Roman" w:cs="Times New Roman"/>
              </w:rPr>
            </w:pPr>
            <w:r>
              <w:rPr>
                <w:rFonts w:ascii="Times New Roman" w:hAnsi="Times New Roman" w:cs="Times New Roman"/>
              </w:rPr>
              <w:t>Financing Gap</w:t>
            </w:r>
          </w:p>
        </w:tc>
        <w:tc>
          <w:tcPr>
            <w:tcW w:w="2700" w:type="dxa"/>
          </w:tcPr>
          <w:p w:rsidR="009D3DF5" w:rsidRPr="007E69FF" w:rsidRDefault="008A6FA1" w:rsidP="001D5B3F">
            <w:pPr>
              <w:pStyle w:val="ListParagraph"/>
              <w:ind w:left="0"/>
              <w:jc w:val="right"/>
              <w:rPr>
                <w:rFonts w:ascii="Times New Roman" w:hAnsi="Times New Roman" w:cs="Times New Roman"/>
              </w:rPr>
            </w:pPr>
            <w:r>
              <w:rPr>
                <w:rFonts w:ascii="Times New Roman" w:hAnsi="Times New Roman" w:cs="Times New Roman"/>
              </w:rPr>
              <w:t>1</w:t>
            </w:r>
            <w:r w:rsidR="009D3DF5" w:rsidRPr="007E69FF">
              <w:rPr>
                <w:rFonts w:ascii="Times New Roman" w:hAnsi="Times New Roman" w:cs="Times New Roman"/>
              </w:rPr>
              <w:t>.3</w:t>
            </w:r>
            <w:r>
              <w:rPr>
                <w:rFonts w:ascii="Times New Roman" w:hAnsi="Times New Roman" w:cs="Times New Roman"/>
              </w:rPr>
              <w:t>8</w:t>
            </w:r>
          </w:p>
        </w:tc>
      </w:tr>
      <w:tr w:rsidR="009D3DF5" w:rsidRPr="007E69FF">
        <w:tc>
          <w:tcPr>
            <w:tcW w:w="3690" w:type="dxa"/>
          </w:tcPr>
          <w:p w:rsidR="009D3DF5" w:rsidRPr="007E69FF" w:rsidRDefault="009D3DF5" w:rsidP="001D5B3F">
            <w:pPr>
              <w:pStyle w:val="ListParagraph"/>
              <w:ind w:left="0"/>
              <w:rPr>
                <w:rFonts w:ascii="Times New Roman" w:hAnsi="Times New Roman" w:cs="Times New Roman"/>
              </w:rPr>
            </w:pPr>
            <w:r w:rsidRPr="007E69FF">
              <w:rPr>
                <w:rFonts w:ascii="Times New Roman" w:hAnsi="Times New Roman" w:cs="Times New Roman"/>
              </w:rPr>
              <w:t>Total</w:t>
            </w:r>
          </w:p>
        </w:tc>
        <w:tc>
          <w:tcPr>
            <w:tcW w:w="2700" w:type="dxa"/>
          </w:tcPr>
          <w:p w:rsidR="009D3DF5" w:rsidRPr="007E69FF" w:rsidRDefault="008A6FA1" w:rsidP="001D5B3F">
            <w:pPr>
              <w:pStyle w:val="ListParagraph"/>
              <w:ind w:left="0"/>
              <w:jc w:val="right"/>
              <w:rPr>
                <w:rFonts w:ascii="Times New Roman" w:hAnsi="Times New Roman" w:cs="Times New Roman"/>
              </w:rPr>
            </w:pPr>
            <w:r>
              <w:rPr>
                <w:rFonts w:ascii="Times New Roman" w:hAnsi="Times New Roman" w:cs="Times New Roman"/>
              </w:rPr>
              <w:t>4</w:t>
            </w:r>
            <w:r w:rsidR="009D3DF5" w:rsidRPr="007E69FF">
              <w:rPr>
                <w:rFonts w:ascii="Times New Roman" w:hAnsi="Times New Roman" w:cs="Times New Roman"/>
              </w:rPr>
              <w:t>.</w:t>
            </w:r>
            <w:r>
              <w:rPr>
                <w:rFonts w:ascii="Times New Roman" w:hAnsi="Times New Roman" w:cs="Times New Roman"/>
              </w:rPr>
              <w:t>38</w:t>
            </w:r>
          </w:p>
        </w:tc>
      </w:tr>
    </w:tbl>
    <w:p w:rsidR="00C33D8D" w:rsidRPr="007E69FF" w:rsidRDefault="00C33D8D" w:rsidP="001D5B3F">
      <w:pPr>
        <w:pStyle w:val="ListParagraph"/>
        <w:spacing w:line="240" w:lineRule="auto"/>
        <w:rPr>
          <w:rFonts w:ascii="Times New Roman" w:hAnsi="Times New Roman" w:cs="Times New Roman"/>
          <w:b/>
        </w:rPr>
      </w:pPr>
    </w:p>
    <w:p w:rsidR="00036770" w:rsidRDefault="006A7B10" w:rsidP="001D5B3F">
      <w:pPr>
        <w:pStyle w:val="ListParagraph"/>
        <w:numPr>
          <w:ilvl w:val="0"/>
          <w:numId w:val="2"/>
        </w:numPr>
        <w:spacing w:after="120" w:line="240" w:lineRule="auto"/>
        <w:ind w:left="547" w:hanging="547"/>
        <w:contextualSpacing w:val="0"/>
        <w:rPr>
          <w:rFonts w:ascii="Times New Roman" w:hAnsi="Times New Roman" w:cs="Times New Roman"/>
          <w:b/>
        </w:rPr>
      </w:pPr>
      <w:r>
        <w:rPr>
          <w:rFonts w:ascii="Times New Roman" w:hAnsi="Times New Roman" w:cs="Times New Roman"/>
          <w:b/>
        </w:rPr>
        <w:t>Implementation</w:t>
      </w:r>
    </w:p>
    <w:p w:rsidR="008A6FA1" w:rsidRDefault="008A6FA1" w:rsidP="008A6FA1">
      <w:pPr>
        <w:pStyle w:val="Text"/>
        <w:spacing w:after="0" w:line="264" w:lineRule="auto"/>
        <w:ind w:left="547" w:right="23" w:firstLine="0"/>
        <w:jc w:val="both"/>
        <w:rPr>
          <w:rFonts w:eastAsia="Times New Roman"/>
          <w:color w:val="auto"/>
          <w:sz w:val="24"/>
          <w:szCs w:val="24"/>
        </w:rPr>
      </w:pPr>
      <w:r w:rsidRPr="0017082C">
        <w:rPr>
          <w:rFonts w:eastAsia="Times New Roman"/>
          <w:color w:val="auto"/>
          <w:sz w:val="24"/>
          <w:szCs w:val="24"/>
        </w:rPr>
        <w:t xml:space="preserve">The </w:t>
      </w:r>
      <w:proofErr w:type="spellStart"/>
      <w:r w:rsidRPr="0017082C">
        <w:rPr>
          <w:rFonts w:eastAsia="Times New Roman"/>
          <w:color w:val="auto"/>
          <w:sz w:val="24"/>
          <w:szCs w:val="24"/>
        </w:rPr>
        <w:t>MoE</w:t>
      </w:r>
      <w:proofErr w:type="spellEnd"/>
      <w:r w:rsidRPr="0017082C">
        <w:rPr>
          <w:rFonts w:eastAsia="Times New Roman"/>
          <w:color w:val="auto"/>
          <w:sz w:val="24"/>
          <w:szCs w:val="24"/>
        </w:rPr>
        <w:t xml:space="preserve"> is the lead implementing agency for the technical execution of the PMR activities</w:t>
      </w:r>
      <w:r>
        <w:rPr>
          <w:rFonts w:eastAsia="Times New Roman"/>
          <w:color w:val="auto"/>
          <w:sz w:val="24"/>
          <w:szCs w:val="24"/>
        </w:rPr>
        <w:t xml:space="preserve"> and day-to-day supervision of the project</w:t>
      </w:r>
      <w:r w:rsidRPr="0017082C">
        <w:rPr>
          <w:rFonts w:eastAsia="Times New Roman"/>
          <w:color w:val="auto"/>
          <w:sz w:val="24"/>
          <w:szCs w:val="24"/>
        </w:rPr>
        <w:t xml:space="preserve">. </w:t>
      </w:r>
      <w:r w:rsidRPr="00EB05CE">
        <w:rPr>
          <w:rFonts w:eastAsia="Times New Roman"/>
          <w:color w:val="auto"/>
          <w:sz w:val="24"/>
          <w:szCs w:val="24"/>
        </w:rPr>
        <w:t xml:space="preserve">Given its mandate and organizational structure, the </w:t>
      </w:r>
      <w:proofErr w:type="spellStart"/>
      <w:r w:rsidRPr="00EB05CE">
        <w:rPr>
          <w:rFonts w:eastAsia="Times New Roman"/>
          <w:color w:val="auto"/>
          <w:sz w:val="24"/>
          <w:szCs w:val="24"/>
        </w:rPr>
        <w:t>MoE</w:t>
      </w:r>
      <w:proofErr w:type="spellEnd"/>
      <w:r w:rsidRPr="00EB05CE">
        <w:rPr>
          <w:rFonts w:eastAsia="Times New Roman"/>
          <w:color w:val="auto"/>
          <w:sz w:val="24"/>
          <w:szCs w:val="24"/>
        </w:rPr>
        <w:t xml:space="preserve"> is well positioned to implement the </w:t>
      </w:r>
      <w:r>
        <w:rPr>
          <w:rFonts w:eastAsia="Times New Roman"/>
          <w:color w:val="auto"/>
          <w:sz w:val="24"/>
          <w:szCs w:val="24"/>
        </w:rPr>
        <w:t xml:space="preserve">technical </w:t>
      </w:r>
      <w:r w:rsidRPr="00EB05CE">
        <w:rPr>
          <w:rFonts w:eastAsia="Times New Roman"/>
          <w:color w:val="auto"/>
          <w:sz w:val="24"/>
          <w:szCs w:val="24"/>
        </w:rPr>
        <w:t xml:space="preserve">activities </w:t>
      </w:r>
      <w:r>
        <w:rPr>
          <w:rFonts w:eastAsia="Times New Roman"/>
          <w:color w:val="auto"/>
          <w:sz w:val="24"/>
          <w:szCs w:val="24"/>
        </w:rPr>
        <w:t xml:space="preserve">contained </w:t>
      </w:r>
      <w:r w:rsidRPr="00EB05CE">
        <w:rPr>
          <w:rFonts w:eastAsia="Times New Roman"/>
          <w:color w:val="auto"/>
          <w:sz w:val="24"/>
          <w:szCs w:val="24"/>
        </w:rPr>
        <w:t>in</w:t>
      </w:r>
      <w:r>
        <w:rPr>
          <w:rFonts w:eastAsia="Times New Roman"/>
          <w:color w:val="auto"/>
          <w:sz w:val="24"/>
          <w:szCs w:val="24"/>
        </w:rPr>
        <w:t xml:space="preserve"> the project</w:t>
      </w:r>
      <w:r w:rsidRPr="00EB05CE">
        <w:rPr>
          <w:rFonts w:eastAsia="Times New Roman"/>
          <w:color w:val="auto"/>
          <w:sz w:val="24"/>
          <w:szCs w:val="24"/>
        </w:rPr>
        <w:t xml:space="preserve"> and engage various stakeholders in consultations and implementation. </w:t>
      </w:r>
      <w:r w:rsidRPr="0017082C">
        <w:rPr>
          <w:rFonts w:eastAsia="Times New Roman"/>
          <w:color w:val="auto"/>
          <w:sz w:val="24"/>
          <w:szCs w:val="24"/>
        </w:rPr>
        <w:t xml:space="preserve">AGCI is the lead implementing agency to manage the procurement and financial disbursement of the PMR Activities. A Subsidiary Agreement shall be signed between AGCI and the </w:t>
      </w:r>
      <w:proofErr w:type="spellStart"/>
      <w:r w:rsidRPr="0017082C">
        <w:rPr>
          <w:rFonts w:eastAsia="Times New Roman"/>
          <w:color w:val="auto"/>
          <w:sz w:val="24"/>
          <w:szCs w:val="24"/>
        </w:rPr>
        <w:t>MoE</w:t>
      </w:r>
      <w:proofErr w:type="spellEnd"/>
      <w:r w:rsidRPr="0017082C">
        <w:rPr>
          <w:rFonts w:eastAsia="Times New Roman"/>
          <w:color w:val="auto"/>
          <w:sz w:val="24"/>
          <w:szCs w:val="24"/>
        </w:rPr>
        <w:t xml:space="preserve"> outlining their respective obligations and arrangements for the project.</w:t>
      </w:r>
      <w:r>
        <w:rPr>
          <w:rFonts w:eastAsia="Times New Roman"/>
          <w:color w:val="auto"/>
          <w:sz w:val="24"/>
          <w:szCs w:val="24"/>
        </w:rPr>
        <w:t xml:space="preserve"> </w:t>
      </w:r>
    </w:p>
    <w:p w:rsidR="008A6FA1" w:rsidRDefault="008A6FA1" w:rsidP="008A6FA1">
      <w:pPr>
        <w:pStyle w:val="Text"/>
        <w:spacing w:after="0" w:line="264" w:lineRule="auto"/>
        <w:ind w:left="547" w:right="23" w:firstLine="0"/>
        <w:jc w:val="both"/>
        <w:rPr>
          <w:rFonts w:eastAsia="Times New Roman"/>
          <w:color w:val="auto"/>
          <w:sz w:val="24"/>
          <w:szCs w:val="24"/>
        </w:rPr>
      </w:pPr>
    </w:p>
    <w:p w:rsidR="006F0D3B" w:rsidRPr="006F0D3B" w:rsidRDefault="006F0D3B" w:rsidP="006F0D3B">
      <w:pPr>
        <w:pStyle w:val="Text"/>
        <w:spacing w:after="0" w:line="264" w:lineRule="auto"/>
        <w:ind w:left="1987" w:right="23" w:firstLine="173"/>
        <w:rPr>
          <w:rFonts w:eastAsia="Times New Roman"/>
          <w:b/>
          <w:color w:val="auto"/>
          <w:sz w:val="24"/>
          <w:szCs w:val="24"/>
        </w:rPr>
      </w:pPr>
      <w:r w:rsidRPr="006F0D3B">
        <w:rPr>
          <w:rFonts w:eastAsia="Times New Roman"/>
          <w:b/>
          <w:color w:val="auto"/>
          <w:sz w:val="24"/>
          <w:szCs w:val="24"/>
        </w:rPr>
        <w:t>Institutional Arrangements</w:t>
      </w:r>
    </w:p>
    <w:p w:rsidR="006F0D3B" w:rsidRPr="008A6FA1" w:rsidRDefault="006F0D3B" w:rsidP="008A6FA1">
      <w:pPr>
        <w:pStyle w:val="Text"/>
        <w:spacing w:after="0" w:line="264" w:lineRule="auto"/>
        <w:ind w:left="547" w:right="23" w:firstLine="0"/>
        <w:jc w:val="both"/>
        <w:rPr>
          <w:rFonts w:eastAsia="Times New Roman"/>
          <w:color w:val="auto"/>
          <w:sz w:val="24"/>
          <w:szCs w:val="24"/>
        </w:rPr>
      </w:pPr>
    </w:p>
    <w:p w:rsidR="006F0D3B" w:rsidRDefault="00B619A2" w:rsidP="008A6FA1">
      <w:pPr>
        <w:pStyle w:val="Text"/>
        <w:spacing w:after="0" w:line="264" w:lineRule="auto"/>
        <w:ind w:left="547" w:right="23" w:firstLine="0"/>
        <w:jc w:val="both"/>
        <w:rPr>
          <w:rFonts w:eastAsia="Times New Roman"/>
          <w:color w:val="auto"/>
          <w:sz w:val="24"/>
          <w:szCs w:val="24"/>
        </w:rPr>
      </w:pPr>
      <w:r w:rsidRPr="002D48D0">
        <w:rPr>
          <w:rFonts w:eastAsia="Times New Roman"/>
          <w:noProof/>
          <w:color w:val="auto"/>
          <w:sz w:val="24"/>
          <w:szCs w:val="24"/>
        </w:rPr>
        <w:drawing>
          <wp:inline distT="0" distB="0" distL="0" distR="0" wp14:anchorId="00700978" wp14:editId="6527E648">
            <wp:extent cx="4008120" cy="3859671"/>
            <wp:effectExtent l="0" t="0" r="0" b="7620"/>
            <wp:docPr id="2" name="Picture 2" descr="C:\Users\wb448790\Documents\PMR_Chile\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48790\Documents\PMR_Chile\Pictur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0639" cy="3862097"/>
                    </a:xfrm>
                    <a:prstGeom prst="rect">
                      <a:avLst/>
                    </a:prstGeom>
                    <a:noFill/>
                    <a:ln>
                      <a:noFill/>
                    </a:ln>
                  </pic:spPr>
                </pic:pic>
              </a:graphicData>
            </a:graphic>
          </wp:inline>
        </w:drawing>
      </w:r>
    </w:p>
    <w:p w:rsidR="006F0D3B" w:rsidRDefault="006F0D3B" w:rsidP="006F0D3B">
      <w:pPr>
        <w:pStyle w:val="Text"/>
        <w:spacing w:after="0" w:line="264" w:lineRule="auto"/>
        <w:ind w:left="0" w:right="23" w:firstLine="0"/>
        <w:jc w:val="both"/>
        <w:rPr>
          <w:rFonts w:eastAsia="Times New Roman"/>
          <w:color w:val="auto"/>
          <w:sz w:val="24"/>
          <w:szCs w:val="24"/>
        </w:rPr>
      </w:pPr>
    </w:p>
    <w:p w:rsidR="008A6FA1" w:rsidRPr="00EB05CE" w:rsidRDefault="008A6FA1" w:rsidP="006F0D3B">
      <w:pPr>
        <w:pStyle w:val="Text"/>
        <w:spacing w:after="0" w:line="264" w:lineRule="auto"/>
        <w:ind w:left="0" w:right="23" w:firstLine="0"/>
        <w:jc w:val="both"/>
        <w:rPr>
          <w:rFonts w:eastAsia="Times New Roman"/>
          <w:color w:val="auto"/>
          <w:sz w:val="24"/>
          <w:szCs w:val="24"/>
        </w:rPr>
      </w:pPr>
      <w:r w:rsidRPr="00EB05CE">
        <w:rPr>
          <w:rFonts w:eastAsia="Times New Roman"/>
          <w:color w:val="auto"/>
          <w:sz w:val="24"/>
          <w:szCs w:val="24"/>
        </w:rPr>
        <w:lastRenderedPageBreak/>
        <w:t>Detailed institutional arrangements envisioned for Chile´s PMR Implementation Phase</w:t>
      </w:r>
      <w:r>
        <w:rPr>
          <w:rFonts w:eastAsia="Times New Roman"/>
          <w:color w:val="auto"/>
          <w:sz w:val="24"/>
          <w:szCs w:val="24"/>
        </w:rPr>
        <w:t>, as seen from the diagram</w:t>
      </w:r>
      <w:r w:rsidRPr="00EB05CE">
        <w:rPr>
          <w:rFonts w:eastAsia="Times New Roman"/>
          <w:color w:val="auto"/>
          <w:sz w:val="24"/>
          <w:szCs w:val="24"/>
        </w:rPr>
        <w:t xml:space="preserve"> are:</w:t>
      </w:r>
    </w:p>
    <w:p w:rsidR="008A6FA1" w:rsidRDefault="008A6FA1" w:rsidP="008A6FA1">
      <w:pPr>
        <w:pStyle w:val="Text"/>
        <w:spacing w:after="0" w:line="264" w:lineRule="auto"/>
        <w:ind w:left="-173" w:right="23" w:firstLine="0"/>
        <w:jc w:val="both"/>
        <w:rPr>
          <w:rFonts w:eastAsia="Times New Roman"/>
          <w:i/>
          <w:color w:val="auto"/>
          <w:sz w:val="24"/>
          <w:szCs w:val="24"/>
        </w:rPr>
      </w:pPr>
    </w:p>
    <w:p w:rsidR="008A6FA1" w:rsidRDefault="008A6FA1" w:rsidP="00B619A2">
      <w:pPr>
        <w:pStyle w:val="Text"/>
        <w:spacing w:after="0" w:line="264" w:lineRule="auto"/>
        <w:ind w:left="540" w:right="23" w:firstLine="0"/>
        <w:jc w:val="both"/>
        <w:rPr>
          <w:rFonts w:eastAsia="Times New Roman"/>
          <w:color w:val="auto"/>
          <w:sz w:val="24"/>
          <w:szCs w:val="24"/>
        </w:rPr>
      </w:pPr>
      <w:r w:rsidRPr="00EB05CE">
        <w:rPr>
          <w:rFonts w:eastAsia="Times New Roman"/>
          <w:i/>
          <w:color w:val="auto"/>
          <w:sz w:val="24"/>
          <w:szCs w:val="24"/>
        </w:rPr>
        <w:t>Focal Point:</w:t>
      </w:r>
      <w:r w:rsidRPr="00EB05CE">
        <w:rPr>
          <w:rFonts w:eastAsia="Times New Roman"/>
          <w:color w:val="auto"/>
          <w:sz w:val="24"/>
          <w:szCs w:val="24"/>
        </w:rPr>
        <w:t xml:space="preserve"> In this role, the </w:t>
      </w:r>
      <w:r w:rsidRPr="00EB05CE">
        <w:rPr>
          <w:color w:val="auto"/>
          <w:sz w:val="24"/>
          <w:szCs w:val="24"/>
        </w:rPr>
        <w:t xml:space="preserve">Division of Sustainable Development (DSD) of the </w:t>
      </w:r>
      <w:proofErr w:type="spellStart"/>
      <w:r w:rsidRPr="00EB05CE">
        <w:rPr>
          <w:color w:val="auto"/>
          <w:sz w:val="24"/>
          <w:szCs w:val="24"/>
        </w:rPr>
        <w:t>MoE</w:t>
      </w:r>
      <w:proofErr w:type="spellEnd"/>
      <w:r w:rsidRPr="00EB05CE">
        <w:rPr>
          <w:color w:val="auto"/>
          <w:sz w:val="24"/>
          <w:szCs w:val="24"/>
        </w:rPr>
        <w:t xml:space="preserve"> is the focal point for the PMR. It</w:t>
      </w:r>
      <w:r w:rsidRPr="00EB05CE">
        <w:rPr>
          <w:sz w:val="24"/>
          <w:szCs w:val="24"/>
        </w:rPr>
        <w:t xml:space="preserve"> </w:t>
      </w:r>
      <w:r w:rsidRPr="00EB05CE">
        <w:rPr>
          <w:rFonts w:eastAsia="Times New Roman"/>
          <w:color w:val="auto"/>
          <w:sz w:val="24"/>
          <w:szCs w:val="24"/>
        </w:rPr>
        <w:t xml:space="preserve">will be responsible for the overall day-to-day supervision of the implementation of the PMR tasks. The Focal Point will also coordinate with other participants such as </w:t>
      </w:r>
      <w:r>
        <w:rPr>
          <w:rFonts w:eastAsia="Times New Roman"/>
          <w:color w:val="auto"/>
          <w:sz w:val="24"/>
          <w:szCs w:val="24"/>
        </w:rPr>
        <w:t xml:space="preserve">AGCI, Petit </w:t>
      </w:r>
      <w:proofErr w:type="spellStart"/>
      <w:r>
        <w:rPr>
          <w:rFonts w:eastAsia="Times New Roman"/>
          <w:color w:val="auto"/>
          <w:sz w:val="24"/>
          <w:szCs w:val="24"/>
        </w:rPr>
        <w:t>Comite</w:t>
      </w:r>
      <w:proofErr w:type="spellEnd"/>
      <w:r>
        <w:rPr>
          <w:rFonts w:eastAsia="Times New Roman"/>
          <w:color w:val="auto"/>
          <w:sz w:val="24"/>
          <w:szCs w:val="24"/>
        </w:rPr>
        <w:t xml:space="preserve">, </w:t>
      </w:r>
      <w:r w:rsidRPr="00EB05CE">
        <w:rPr>
          <w:rFonts w:eastAsia="Times New Roman"/>
          <w:color w:val="auto"/>
          <w:sz w:val="24"/>
          <w:szCs w:val="24"/>
        </w:rPr>
        <w:t>the Steering Committee</w:t>
      </w:r>
      <w:r>
        <w:rPr>
          <w:rFonts w:eastAsia="Times New Roman"/>
          <w:color w:val="auto"/>
          <w:sz w:val="24"/>
          <w:szCs w:val="24"/>
        </w:rPr>
        <w:t xml:space="preserve"> (SC)</w:t>
      </w:r>
      <w:r w:rsidRPr="00EB05CE">
        <w:rPr>
          <w:rFonts w:eastAsia="Times New Roman"/>
          <w:color w:val="auto"/>
          <w:sz w:val="24"/>
          <w:szCs w:val="24"/>
        </w:rPr>
        <w:t>, the project coord</w:t>
      </w:r>
      <w:r>
        <w:rPr>
          <w:rFonts w:eastAsia="Times New Roman"/>
          <w:color w:val="auto"/>
          <w:sz w:val="24"/>
          <w:szCs w:val="24"/>
        </w:rPr>
        <w:t xml:space="preserve">inator, the project consultants, </w:t>
      </w:r>
      <w:r w:rsidRPr="00EB05CE">
        <w:rPr>
          <w:rFonts w:eastAsia="Times New Roman"/>
          <w:color w:val="auto"/>
          <w:sz w:val="24"/>
          <w:szCs w:val="24"/>
        </w:rPr>
        <w:t>the PMR Secretariat</w:t>
      </w:r>
      <w:r>
        <w:rPr>
          <w:rFonts w:eastAsia="Times New Roman"/>
          <w:color w:val="auto"/>
          <w:sz w:val="24"/>
          <w:szCs w:val="24"/>
        </w:rPr>
        <w:t xml:space="preserve"> and the World Bank’s </w:t>
      </w:r>
      <w:r w:rsidR="00B619A2">
        <w:rPr>
          <w:rFonts w:eastAsia="Times New Roman"/>
          <w:color w:val="auto"/>
          <w:sz w:val="24"/>
          <w:szCs w:val="24"/>
        </w:rPr>
        <w:t>Energy Global Practice</w:t>
      </w:r>
      <w:r w:rsidRPr="00EB05CE">
        <w:rPr>
          <w:rFonts w:eastAsia="Times New Roman"/>
          <w:color w:val="auto"/>
          <w:sz w:val="24"/>
          <w:szCs w:val="24"/>
        </w:rPr>
        <w:t xml:space="preserve">. </w:t>
      </w:r>
    </w:p>
    <w:p w:rsidR="008A6FA1" w:rsidRDefault="008A6FA1" w:rsidP="008A6FA1">
      <w:pPr>
        <w:pStyle w:val="Text"/>
        <w:spacing w:after="0" w:line="264" w:lineRule="auto"/>
        <w:ind w:left="-173" w:right="23" w:firstLine="0"/>
        <w:jc w:val="both"/>
        <w:rPr>
          <w:rFonts w:eastAsia="Times New Roman"/>
          <w:i/>
          <w:color w:val="auto"/>
          <w:sz w:val="24"/>
          <w:szCs w:val="24"/>
        </w:rPr>
      </w:pPr>
    </w:p>
    <w:p w:rsidR="008A6FA1" w:rsidRPr="0094270F" w:rsidRDefault="008A6FA1" w:rsidP="00473BC0">
      <w:pPr>
        <w:pStyle w:val="Text"/>
        <w:spacing w:after="0" w:line="264" w:lineRule="auto"/>
        <w:ind w:left="540" w:right="23" w:firstLine="0"/>
        <w:jc w:val="both"/>
        <w:rPr>
          <w:rFonts w:eastAsia="Times New Roman"/>
          <w:color w:val="auto"/>
          <w:sz w:val="24"/>
        </w:rPr>
      </w:pPr>
      <w:r>
        <w:rPr>
          <w:rFonts w:eastAsia="Times New Roman"/>
          <w:i/>
          <w:color w:val="auto"/>
          <w:sz w:val="24"/>
          <w:szCs w:val="24"/>
        </w:rPr>
        <w:t xml:space="preserve">AGCI: </w:t>
      </w:r>
      <w:r w:rsidRPr="0094270F">
        <w:rPr>
          <w:rFonts w:eastAsia="Times New Roman"/>
          <w:color w:val="auto"/>
          <w:sz w:val="24"/>
          <w:szCs w:val="24"/>
        </w:rPr>
        <w:t>AGCI is a de</w:t>
      </w:r>
      <w:r>
        <w:rPr>
          <w:rFonts w:eastAsia="Times New Roman"/>
          <w:color w:val="auto"/>
          <w:sz w:val="24"/>
          <w:szCs w:val="24"/>
        </w:rPr>
        <w:t>centralized public institution that channels</w:t>
      </w:r>
      <w:r w:rsidRPr="0094270F">
        <w:rPr>
          <w:rFonts w:eastAsia="Times New Roman"/>
          <w:color w:val="auto"/>
          <w:sz w:val="24"/>
          <w:szCs w:val="24"/>
        </w:rPr>
        <w:t xml:space="preserve"> resources for international cooperation to suppo</w:t>
      </w:r>
      <w:r>
        <w:rPr>
          <w:rFonts w:eastAsia="Times New Roman"/>
          <w:color w:val="auto"/>
          <w:sz w:val="24"/>
          <w:szCs w:val="24"/>
        </w:rPr>
        <w:t>rt Chile’s development and</w:t>
      </w:r>
      <w:r w:rsidRPr="0094270F">
        <w:rPr>
          <w:rFonts w:eastAsia="Times New Roman"/>
          <w:color w:val="auto"/>
          <w:sz w:val="24"/>
          <w:szCs w:val="24"/>
        </w:rPr>
        <w:t xml:space="preserve"> carry out cooperation activities with </w:t>
      </w:r>
      <w:r>
        <w:rPr>
          <w:rFonts w:eastAsia="Times New Roman"/>
          <w:color w:val="auto"/>
          <w:sz w:val="24"/>
          <w:szCs w:val="24"/>
        </w:rPr>
        <w:t xml:space="preserve">other </w:t>
      </w:r>
      <w:r w:rsidRPr="0094270F">
        <w:rPr>
          <w:rFonts w:eastAsia="Times New Roman"/>
          <w:color w:val="auto"/>
          <w:sz w:val="24"/>
          <w:szCs w:val="24"/>
        </w:rPr>
        <w:t>developing countries.</w:t>
      </w:r>
      <w:r>
        <w:rPr>
          <w:rFonts w:eastAsia="Times New Roman"/>
          <w:color w:val="auto"/>
          <w:sz w:val="24"/>
          <w:szCs w:val="24"/>
        </w:rPr>
        <w:t xml:space="preserve"> </w:t>
      </w:r>
      <w:r w:rsidRPr="0094270F">
        <w:rPr>
          <w:rFonts w:eastAsia="Times New Roman"/>
          <w:color w:val="auto"/>
          <w:sz w:val="24"/>
          <w:szCs w:val="24"/>
        </w:rPr>
        <w:t>Being familiar with the protocols and procedures of the World Bank, AGCI will undertake the financial</w:t>
      </w:r>
      <w:r>
        <w:rPr>
          <w:rFonts w:eastAsia="Times New Roman"/>
          <w:color w:val="auto"/>
          <w:sz w:val="24"/>
          <w:szCs w:val="24"/>
        </w:rPr>
        <w:t xml:space="preserve"> and procurement</w:t>
      </w:r>
      <w:r w:rsidRPr="0094270F">
        <w:rPr>
          <w:rFonts w:eastAsia="Times New Roman"/>
          <w:color w:val="auto"/>
          <w:sz w:val="24"/>
          <w:szCs w:val="24"/>
        </w:rPr>
        <w:t xml:space="preserve"> outlays of the project. It will prepare and submit timely disbursement requests to the World </w:t>
      </w:r>
      <w:proofErr w:type="gramStart"/>
      <w:r w:rsidRPr="0094270F">
        <w:rPr>
          <w:rFonts w:eastAsia="Times New Roman"/>
          <w:color w:val="auto"/>
          <w:sz w:val="24"/>
          <w:szCs w:val="24"/>
        </w:rPr>
        <w:t>Bank,</w:t>
      </w:r>
      <w:proofErr w:type="gramEnd"/>
      <w:r w:rsidRPr="0094270F">
        <w:rPr>
          <w:rFonts w:eastAsia="Times New Roman"/>
          <w:color w:val="auto"/>
          <w:sz w:val="24"/>
          <w:szCs w:val="24"/>
        </w:rPr>
        <w:t xml:space="preserve"> </w:t>
      </w:r>
      <w:r>
        <w:rPr>
          <w:rFonts w:eastAsia="Times New Roman"/>
          <w:color w:val="auto"/>
          <w:sz w:val="24"/>
          <w:szCs w:val="24"/>
        </w:rPr>
        <w:t>prepare</w:t>
      </w:r>
      <w:r w:rsidRPr="0094270F">
        <w:rPr>
          <w:rFonts w:eastAsia="Times New Roman"/>
          <w:color w:val="auto"/>
          <w:sz w:val="24"/>
          <w:szCs w:val="24"/>
        </w:rPr>
        <w:t xml:space="preserve"> financial reports and coordinate audit reviews by the World Bank.</w:t>
      </w:r>
    </w:p>
    <w:p w:rsidR="008A6FA1" w:rsidRDefault="008A6FA1" w:rsidP="00473BC0">
      <w:pPr>
        <w:pStyle w:val="Text"/>
        <w:spacing w:after="0" w:line="264" w:lineRule="auto"/>
        <w:ind w:left="540" w:right="23" w:firstLine="0"/>
        <w:jc w:val="both"/>
        <w:rPr>
          <w:rFonts w:eastAsia="Times New Roman"/>
          <w:i/>
          <w:sz w:val="24"/>
          <w:szCs w:val="24"/>
        </w:rPr>
      </w:pPr>
    </w:p>
    <w:p w:rsidR="008A6FA1" w:rsidRPr="00EB05CE" w:rsidRDefault="008A6FA1" w:rsidP="00473BC0">
      <w:pPr>
        <w:pStyle w:val="Text"/>
        <w:spacing w:after="0" w:line="264" w:lineRule="auto"/>
        <w:ind w:left="540" w:right="23" w:firstLine="0"/>
        <w:jc w:val="both"/>
        <w:rPr>
          <w:rFonts w:eastAsia="Times New Roman"/>
          <w:color w:val="auto"/>
          <w:sz w:val="24"/>
          <w:szCs w:val="24"/>
        </w:rPr>
      </w:pPr>
      <w:r w:rsidRPr="00EB05CE">
        <w:rPr>
          <w:rFonts w:eastAsia="Times New Roman"/>
          <w:i/>
          <w:sz w:val="24"/>
          <w:szCs w:val="24"/>
        </w:rPr>
        <w:t xml:space="preserve">Petit </w:t>
      </w:r>
      <w:proofErr w:type="spellStart"/>
      <w:r w:rsidRPr="00EB05CE">
        <w:rPr>
          <w:rFonts w:eastAsia="Times New Roman"/>
          <w:i/>
          <w:sz w:val="24"/>
          <w:szCs w:val="24"/>
        </w:rPr>
        <w:t>Comité</w:t>
      </w:r>
      <w:proofErr w:type="spellEnd"/>
      <w:r w:rsidRPr="00EB05CE">
        <w:rPr>
          <w:rFonts w:eastAsia="Times New Roman"/>
          <w:sz w:val="24"/>
          <w:szCs w:val="24"/>
        </w:rPr>
        <w:t xml:space="preserve"> is a newly created body to assist the </w:t>
      </w:r>
      <w:proofErr w:type="spellStart"/>
      <w:r w:rsidRPr="00EB05CE">
        <w:rPr>
          <w:rFonts w:eastAsia="Times New Roman"/>
          <w:sz w:val="24"/>
          <w:szCs w:val="24"/>
        </w:rPr>
        <w:t>MoE</w:t>
      </w:r>
      <w:proofErr w:type="spellEnd"/>
      <w:r w:rsidRPr="00EB05CE">
        <w:rPr>
          <w:rFonts w:eastAsia="Times New Roman"/>
          <w:sz w:val="24"/>
          <w:szCs w:val="24"/>
        </w:rPr>
        <w:t xml:space="preserve"> in its </w:t>
      </w:r>
      <w:r>
        <w:rPr>
          <w:rFonts w:eastAsia="Times New Roman"/>
          <w:color w:val="auto"/>
          <w:sz w:val="24"/>
          <w:szCs w:val="24"/>
        </w:rPr>
        <w:t xml:space="preserve">overall day-to-day </w:t>
      </w:r>
      <w:r w:rsidRPr="00EB05CE">
        <w:rPr>
          <w:rFonts w:eastAsia="Times New Roman"/>
          <w:color w:val="auto"/>
          <w:sz w:val="24"/>
          <w:szCs w:val="24"/>
        </w:rPr>
        <w:t>supervision function</w:t>
      </w:r>
      <w:r w:rsidRPr="00EB05CE">
        <w:rPr>
          <w:rFonts w:eastAsia="Times New Roman"/>
          <w:sz w:val="24"/>
          <w:szCs w:val="24"/>
        </w:rPr>
        <w:t>. It comprise</w:t>
      </w:r>
      <w:r>
        <w:rPr>
          <w:rFonts w:eastAsia="Times New Roman"/>
          <w:sz w:val="24"/>
          <w:szCs w:val="24"/>
        </w:rPr>
        <w:t>s of</w:t>
      </w:r>
      <w:r w:rsidRPr="00EB05CE">
        <w:rPr>
          <w:rFonts w:eastAsia="Times New Roman"/>
          <w:sz w:val="24"/>
          <w:szCs w:val="24"/>
        </w:rPr>
        <w:t xml:space="preserve"> the Ministries of Finance and Environment.</w:t>
      </w:r>
    </w:p>
    <w:p w:rsidR="008A6FA1" w:rsidRDefault="008A6FA1" w:rsidP="00473BC0">
      <w:pPr>
        <w:pStyle w:val="Text"/>
        <w:spacing w:after="0" w:line="264" w:lineRule="auto"/>
        <w:ind w:left="540" w:right="23" w:firstLine="0"/>
        <w:jc w:val="both"/>
        <w:rPr>
          <w:rFonts w:eastAsia="Times New Roman"/>
          <w:i/>
          <w:color w:val="auto"/>
          <w:sz w:val="24"/>
          <w:szCs w:val="24"/>
        </w:rPr>
      </w:pPr>
    </w:p>
    <w:p w:rsidR="008A6FA1" w:rsidRPr="00EB05CE" w:rsidRDefault="008A6FA1" w:rsidP="00473BC0">
      <w:pPr>
        <w:pStyle w:val="Text"/>
        <w:spacing w:after="0" w:line="264" w:lineRule="auto"/>
        <w:ind w:left="540" w:right="23" w:firstLine="0"/>
        <w:jc w:val="both"/>
        <w:rPr>
          <w:rFonts w:eastAsia="Times New Roman"/>
          <w:color w:val="auto"/>
          <w:sz w:val="24"/>
          <w:szCs w:val="24"/>
        </w:rPr>
      </w:pPr>
      <w:proofErr w:type="gramStart"/>
      <w:r w:rsidRPr="00EB05CE">
        <w:rPr>
          <w:rFonts w:eastAsia="Times New Roman"/>
          <w:i/>
          <w:color w:val="auto"/>
          <w:sz w:val="24"/>
          <w:szCs w:val="24"/>
        </w:rPr>
        <w:t>Steering Committee</w:t>
      </w:r>
      <w:r>
        <w:rPr>
          <w:rFonts w:eastAsia="Times New Roman"/>
          <w:color w:val="auto"/>
          <w:sz w:val="24"/>
          <w:szCs w:val="24"/>
        </w:rPr>
        <w:t>.</w:t>
      </w:r>
      <w:proofErr w:type="gramEnd"/>
      <w:r>
        <w:rPr>
          <w:rFonts w:eastAsia="Times New Roman"/>
          <w:color w:val="auto"/>
          <w:sz w:val="24"/>
          <w:szCs w:val="24"/>
        </w:rPr>
        <w:t xml:space="preserve"> The SC was established in March 2012 and </w:t>
      </w:r>
      <w:r w:rsidRPr="00EB05CE">
        <w:rPr>
          <w:rFonts w:eastAsia="Times New Roman"/>
          <w:color w:val="auto"/>
          <w:sz w:val="24"/>
          <w:szCs w:val="24"/>
        </w:rPr>
        <w:t xml:space="preserve">is headed by the </w:t>
      </w:r>
      <w:proofErr w:type="spellStart"/>
      <w:r w:rsidRPr="00EB05CE">
        <w:rPr>
          <w:rFonts w:eastAsia="Times New Roman"/>
          <w:color w:val="auto"/>
          <w:sz w:val="24"/>
          <w:szCs w:val="24"/>
        </w:rPr>
        <w:t>MoE</w:t>
      </w:r>
      <w:proofErr w:type="spellEnd"/>
      <w:r w:rsidRPr="00EB05CE">
        <w:rPr>
          <w:rFonts w:eastAsia="Times New Roman"/>
          <w:color w:val="auto"/>
          <w:sz w:val="24"/>
          <w:szCs w:val="24"/>
        </w:rPr>
        <w:t xml:space="preserve"> with the participation of the ministries of Agriculture; Economy; Environment; Finance; Foreign Affairs; Mining; and Transportation and Telecommunications. The SC constitutes the primary engagement, collaboration and consultation body in which key Ministries will continue to provide the necessary policy and technical guidance during the implementation of Chile’s PMR and reviewing draft and final reports of the implementation phase studies. If any relevant decision arises during the PMR implementation phase that needs to be addressed at a higher political level, the SC will submit this decision to the Council of Ministers for Sustainability in its role of liaison to the Council.</w:t>
      </w:r>
    </w:p>
    <w:p w:rsidR="008A6FA1" w:rsidRDefault="008A6FA1" w:rsidP="00473BC0">
      <w:pPr>
        <w:pStyle w:val="Text"/>
        <w:spacing w:after="0" w:line="264" w:lineRule="auto"/>
        <w:ind w:left="540" w:right="23" w:firstLine="0"/>
        <w:jc w:val="both"/>
        <w:rPr>
          <w:i/>
          <w:color w:val="auto"/>
          <w:sz w:val="24"/>
          <w:szCs w:val="24"/>
        </w:rPr>
      </w:pPr>
    </w:p>
    <w:p w:rsidR="008A6FA1" w:rsidRPr="00EB05CE" w:rsidRDefault="008A6FA1" w:rsidP="00473BC0">
      <w:pPr>
        <w:pStyle w:val="Text"/>
        <w:spacing w:after="0" w:line="264" w:lineRule="auto"/>
        <w:ind w:left="540" w:right="23" w:firstLine="0"/>
        <w:jc w:val="both"/>
        <w:rPr>
          <w:rFonts w:eastAsia="Times New Roman"/>
          <w:color w:val="auto"/>
          <w:sz w:val="24"/>
          <w:szCs w:val="24"/>
        </w:rPr>
      </w:pPr>
      <w:r w:rsidRPr="00EB05CE">
        <w:rPr>
          <w:i/>
          <w:color w:val="auto"/>
          <w:sz w:val="24"/>
          <w:szCs w:val="24"/>
        </w:rPr>
        <w:t>Council of Ministers for Sustainability</w:t>
      </w:r>
      <w:r w:rsidRPr="00EB05CE">
        <w:rPr>
          <w:color w:val="auto"/>
          <w:sz w:val="24"/>
          <w:szCs w:val="24"/>
        </w:rPr>
        <w:t>, created in 2010 is a multi-</w:t>
      </w:r>
      <w:proofErr w:type="spellStart"/>
      <w:r w:rsidRPr="00EB05CE">
        <w:rPr>
          <w:color w:val="auto"/>
          <w:sz w:val="24"/>
          <w:szCs w:val="24"/>
        </w:rPr>
        <w:t>sectoral</w:t>
      </w:r>
      <w:proofErr w:type="spellEnd"/>
      <w:r w:rsidRPr="00EB05CE">
        <w:rPr>
          <w:color w:val="auto"/>
          <w:sz w:val="24"/>
          <w:szCs w:val="24"/>
        </w:rPr>
        <w:t xml:space="preserve"> body headed by the Ministry of the Environment and includes the ministries of Agriculture; Finance; Health; Economics; Energy; Public Works; Housing and Urbanism; Transportation and Telecommunications; Mining; and Planning. The Council is in charge of proposing to the President of the Republic policies for the sustainable management and use of natural resources. This body will therefore provide high-level policy guidance to the steps planned under this MRP, especially during</w:t>
      </w:r>
      <w:r>
        <w:rPr>
          <w:color w:val="auto"/>
          <w:sz w:val="24"/>
          <w:szCs w:val="24"/>
        </w:rPr>
        <w:t xml:space="preserve"> development of</w:t>
      </w:r>
      <w:r w:rsidRPr="00EB05CE">
        <w:rPr>
          <w:color w:val="auto"/>
          <w:sz w:val="24"/>
          <w:szCs w:val="24"/>
        </w:rPr>
        <w:t xml:space="preserve"> the roadmap towards a political decision on the implementation of </w:t>
      </w:r>
      <w:r w:rsidR="00B619A2">
        <w:rPr>
          <w:color w:val="auto"/>
          <w:sz w:val="24"/>
          <w:szCs w:val="24"/>
        </w:rPr>
        <w:t>one or more carbon pricing mechanisms</w:t>
      </w:r>
      <w:r w:rsidR="00B619A2" w:rsidRPr="00EB05CE">
        <w:rPr>
          <w:color w:val="auto"/>
          <w:sz w:val="24"/>
          <w:szCs w:val="24"/>
        </w:rPr>
        <w:t xml:space="preserve"> </w:t>
      </w:r>
      <w:r w:rsidRPr="00EB05CE">
        <w:rPr>
          <w:color w:val="auto"/>
          <w:sz w:val="24"/>
          <w:szCs w:val="24"/>
        </w:rPr>
        <w:t>and its overall role in Chile’s climate policy.</w:t>
      </w:r>
      <w:r w:rsidRPr="00EB05CE">
        <w:rPr>
          <w:sz w:val="24"/>
          <w:szCs w:val="24"/>
        </w:rPr>
        <w:t xml:space="preserve"> </w:t>
      </w:r>
    </w:p>
    <w:p w:rsidR="008A6FA1" w:rsidRDefault="008A6FA1" w:rsidP="00473BC0">
      <w:pPr>
        <w:pStyle w:val="Text"/>
        <w:spacing w:after="0" w:line="264" w:lineRule="auto"/>
        <w:ind w:left="540" w:right="23" w:firstLine="0"/>
        <w:jc w:val="both"/>
        <w:rPr>
          <w:i/>
          <w:color w:val="auto"/>
          <w:sz w:val="24"/>
          <w:szCs w:val="24"/>
        </w:rPr>
      </w:pPr>
    </w:p>
    <w:p w:rsidR="008A6FA1" w:rsidRPr="00EB05CE" w:rsidRDefault="008A6FA1" w:rsidP="00473BC0">
      <w:pPr>
        <w:pStyle w:val="Text"/>
        <w:spacing w:after="0" w:line="264" w:lineRule="auto"/>
        <w:ind w:left="540" w:right="23" w:firstLine="0"/>
        <w:jc w:val="both"/>
        <w:rPr>
          <w:color w:val="auto"/>
          <w:sz w:val="24"/>
          <w:szCs w:val="24"/>
        </w:rPr>
      </w:pPr>
      <w:r w:rsidRPr="00EB05CE">
        <w:rPr>
          <w:i/>
          <w:color w:val="auto"/>
          <w:sz w:val="24"/>
          <w:szCs w:val="24"/>
        </w:rPr>
        <w:t>Consultative Group of Experts (CGE)</w:t>
      </w:r>
      <w:r w:rsidRPr="00EB05CE">
        <w:rPr>
          <w:color w:val="auto"/>
          <w:sz w:val="24"/>
          <w:szCs w:val="24"/>
        </w:rPr>
        <w:t xml:space="preserve"> will be established with the goal of bringing other stakeholders </w:t>
      </w:r>
      <w:r>
        <w:rPr>
          <w:color w:val="auto"/>
          <w:sz w:val="24"/>
          <w:szCs w:val="24"/>
        </w:rPr>
        <w:t xml:space="preserve">to discuss low carbon development </w:t>
      </w:r>
      <w:r w:rsidRPr="00EB05CE">
        <w:rPr>
          <w:color w:val="auto"/>
          <w:sz w:val="24"/>
          <w:szCs w:val="24"/>
        </w:rPr>
        <w:t xml:space="preserve">market-based instruments and their </w:t>
      </w:r>
      <w:r w:rsidRPr="00EB05CE">
        <w:rPr>
          <w:color w:val="auto"/>
          <w:sz w:val="24"/>
          <w:szCs w:val="24"/>
        </w:rPr>
        <w:lastRenderedPageBreak/>
        <w:t>suitability and applicability to the Chilean situation. CGE will comprise representatives of industrial associations, research organizations and non-governmental organizations or NGOs. The creation and overall coordination of this group will be done through the Steering Committee.</w:t>
      </w:r>
    </w:p>
    <w:p w:rsidR="008A6FA1" w:rsidRDefault="008A6FA1" w:rsidP="00473BC0">
      <w:pPr>
        <w:pStyle w:val="Text"/>
        <w:spacing w:after="0" w:line="264" w:lineRule="auto"/>
        <w:ind w:left="540" w:right="23" w:firstLine="0"/>
        <w:jc w:val="both"/>
        <w:rPr>
          <w:i/>
          <w:color w:val="auto"/>
          <w:sz w:val="24"/>
          <w:szCs w:val="24"/>
        </w:rPr>
      </w:pPr>
    </w:p>
    <w:p w:rsidR="008A6FA1" w:rsidRPr="00EB05CE" w:rsidRDefault="008A6FA1" w:rsidP="00473BC0">
      <w:pPr>
        <w:pStyle w:val="Text"/>
        <w:spacing w:after="0" w:line="264" w:lineRule="auto"/>
        <w:ind w:left="540" w:right="23" w:firstLine="0"/>
        <w:jc w:val="both"/>
        <w:rPr>
          <w:color w:val="auto"/>
          <w:sz w:val="24"/>
          <w:szCs w:val="24"/>
        </w:rPr>
      </w:pPr>
      <w:r w:rsidRPr="00EB05CE">
        <w:rPr>
          <w:i/>
          <w:color w:val="auto"/>
          <w:sz w:val="24"/>
          <w:szCs w:val="24"/>
        </w:rPr>
        <w:t>Project Coordinator</w:t>
      </w:r>
      <w:r>
        <w:rPr>
          <w:i/>
          <w:color w:val="auto"/>
          <w:sz w:val="24"/>
          <w:szCs w:val="24"/>
        </w:rPr>
        <w:t xml:space="preserve"> (PC)</w:t>
      </w:r>
      <w:r w:rsidRPr="00EB05CE">
        <w:rPr>
          <w:color w:val="auto"/>
          <w:sz w:val="24"/>
          <w:szCs w:val="24"/>
        </w:rPr>
        <w:t xml:space="preserve">: </w:t>
      </w:r>
      <w:r w:rsidRPr="00EB05CE">
        <w:rPr>
          <w:sz w:val="24"/>
          <w:szCs w:val="24"/>
        </w:rPr>
        <w:t>In addition to the supervision role of the PMR Foca</w:t>
      </w:r>
      <w:r>
        <w:rPr>
          <w:sz w:val="24"/>
          <w:szCs w:val="24"/>
        </w:rPr>
        <w:t>l Point, a PC</w:t>
      </w:r>
      <w:r w:rsidRPr="00EB05CE">
        <w:rPr>
          <w:sz w:val="24"/>
          <w:szCs w:val="24"/>
        </w:rPr>
        <w:t xml:space="preserve"> will be hired to help with the activities during the PMR implementation phase. The PC will report directly to the PMR Focal Point and its first task will be the development of a work plan for the implementation of the PMR. A thorough and competitive selection process will be established for the choosing of the PC.</w:t>
      </w:r>
    </w:p>
    <w:p w:rsidR="008A6FA1" w:rsidRDefault="008A6FA1" w:rsidP="00473BC0">
      <w:pPr>
        <w:pStyle w:val="Text"/>
        <w:spacing w:after="0" w:line="264" w:lineRule="auto"/>
        <w:ind w:left="540" w:right="23" w:firstLine="0"/>
        <w:jc w:val="both"/>
        <w:rPr>
          <w:i/>
          <w:sz w:val="24"/>
          <w:szCs w:val="24"/>
        </w:rPr>
      </w:pPr>
    </w:p>
    <w:p w:rsidR="008A6FA1" w:rsidRPr="00EB05CE" w:rsidRDefault="008A6FA1" w:rsidP="00473BC0">
      <w:pPr>
        <w:pStyle w:val="Text"/>
        <w:spacing w:after="0" w:line="264" w:lineRule="auto"/>
        <w:ind w:left="540" w:right="23" w:firstLine="0"/>
        <w:jc w:val="both"/>
        <w:rPr>
          <w:sz w:val="24"/>
          <w:szCs w:val="24"/>
        </w:rPr>
      </w:pPr>
      <w:r w:rsidRPr="00EB05CE">
        <w:rPr>
          <w:i/>
          <w:sz w:val="24"/>
          <w:szCs w:val="24"/>
        </w:rPr>
        <w:t>Project consultants</w:t>
      </w:r>
      <w:r w:rsidRPr="00EB05CE">
        <w:rPr>
          <w:sz w:val="24"/>
          <w:szCs w:val="24"/>
        </w:rPr>
        <w:t xml:space="preserve">: The more specific and technical activities will need to be assigned by a public bidding system. The procurement procedures for these assignments will have to comply with the requirements that rule the entity that will administer the PMR Project’s funding. Project consultants will report directly to the PC. A selection process will be established for the appointment of these consultants. </w:t>
      </w:r>
    </w:p>
    <w:p w:rsidR="008A6FA1" w:rsidRDefault="008A6FA1" w:rsidP="00473BC0">
      <w:pPr>
        <w:pStyle w:val="Text"/>
        <w:spacing w:after="0" w:line="264" w:lineRule="auto"/>
        <w:ind w:left="540" w:right="23" w:firstLine="0"/>
        <w:jc w:val="both"/>
        <w:rPr>
          <w:i/>
          <w:sz w:val="24"/>
          <w:szCs w:val="24"/>
        </w:rPr>
      </w:pPr>
    </w:p>
    <w:p w:rsidR="008A6FA1" w:rsidRPr="00EB05CE" w:rsidRDefault="008A6FA1" w:rsidP="00473BC0">
      <w:pPr>
        <w:pStyle w:val="Text"/>
        <w:spacing w:after="0" w:line="264" w:lineRule="auto"/>
        <w:ind w:left="540" w:right="23" w:firstLine="0"/>
        <w:jc w:val="both"/>
        <w:rPr>
          <w:sz w:val="24"/>
          <w:szCs w:val="24"/>
        </w:rPr>
      </w:pPr>
      <w:r w:rsidRPr="00EB05CE">
        <w:rPr>
          <w:i/>
          <w:sz w:val="24"/>
          <w:szCs w:val="24"/>
        </w:rPr>
        <w:t xml:space="preserve">PMR Secretariat </w:t>
      </w:r>
      <w:r>
        <w:rPr>
          <w:i/>
          <w:sz w:val="24"/>
          <w:szCs w:val="24"/>
        </w:rPr>
        <w:t xml:space="preserve">and </w:t>
      </w:r>
      <w:r w:rsidR="00B619A2">
        <w:rPr>
          <w:i/>
          <w:sz w:val="24"/>
          <w:szCs w:val="24"/>
        </w:rPr>
        <w:t>World Bank Energy Global Service</w:t>
      </w:r>
      <w:r w:rsidRPr="00EB05CE">
        <w:rPr>
          <w:sz w:val="24"/>
          <w:szCs w:val="24"/>
        </w:rPr>
        <w:t xml:space="preserve">: Continuing with its role during the preparation phase, the PMR Secretariat </w:t>
      </w:r>
      <w:r>
        <w:rPr>
          <w:sz w:val="24"/>
          <w:szCs w:val="24"/>
        </w:rPr>
        <w:t xml:space="preserve">and </w:t>
      </w:r>
      <w:r w:rsidR="00B619A2">
        <w:rPr>
          <w:sz w:val="24"/>
          <w:szCs w:val="24"/>
        </w:rPr>
        <w:t xml:space="preserve">the World Bank </w:t>
      </w:r>
      <w:r w:rsidR="00B619A2">
        <w:rPr>
          <w:rFonts w:eastAsia="Times New Roman"/>
          <w:color w:val="auto"/>
          <w:sz w:val="24"/>
          <w:szCs w:val="24"/>
        </w:rPr>
        <w:t>Energy Global Practice</w:t>
      </w:r>
      <w:r>
        <w:rPr>
          <w:sz w:val="24"/>
          <w:szCs w:val="24"/>
        </w:rPr>
        <w:t xml:space="preserve"> </w:t>
      </w:r>
      <w:r w:rsidRPr="00EB05CE">
        <w:rPr>
          <w:sz w:val="24"/>
          <w:szCs w:val="24"/>
        </w:rPr>
        <w:t xml:space="preserve">will provide technical advice for all the stages of Chile’s PMR project. This assistance will include coordination with the </w:t>
      </w:r>
      <w:r>
        <w:rPr>
          <w:sz w:val="24"/>
          <w:szCs w:val="24"/>
        </w:rPr>
        <w:t>PA</w:t>
      </w:r>
      <w:r w:rsidRPr="00EB05CE">
        <w:rPr>
          <w:sz w:val="24"/>
          <w:szCs w:val="24"/>
        </w:rPr>
        <w:t xml:space="preserve">, in-country visits, and participation in workshops or training activities and in any other activity related to </w:t>
      </w:r>
      <w:r>
        <w:rPr>
          <w:sz w:val="24"/>
          <w:szCs w:val="24"/>
        </w:rPr>
        <w:t>the PMR in Chile</w:t>
      </w:r>
      <w:r w:rsidRPr="00EB05CE">
        <w:rPr>
          <w:sz w:val="24"/>
          <w:szCs w:val="24"/>
        </w:rPr>
        <w:t xml:space="preserve">. </w:t>
      </w:r>
    </w:p>
    <w:p w:rsidR="008A6FA1" w:rsidRDefault="008A6FA1" w:rsidP="008A6FA1">
      <w:pPr>
        <w:pStyle w:val="ListParagraph"/>
        <w:spacing w:after="120" w:line="240" w:lineRule="auto"/>
        <w:ind w:left="547"/>
        <w:contextualSpacing w:val="0"/>
        <w:rPr>
          <w:rFonts w:ascii="Times New Roman" w:hAnsi="Times New Roman" w:cs="Times New Roman"/>
          <w:b/>
        </w:rPr>
      </w:pPr>
    </w:p>
    <w:p w:rsidR="00663C44" w:rsidRPr="007E69FF" w:rsidRDefault="00663C44" w:rsidP="001D5B3F">
      <w:pPr>
        <w:pStyle w:val="ListParagraph"/>
        <w:numPr>
          <w:ilvl w:val="0"/>
          <w:numId w:val="2"/>
        </w:numPr>
        <w:spacing w:after="120" w:line="240" w:lineRule="auto"/>
        <w:ind w:left="547" w:hanging="547"/>
        <w:contextualSpacing w:val="0"/>
        <w:rPr>
          <w:rFonts w:ascii="Times New Roman" w:hAnsi="Times New Roman" w:cs="Times New Roman"/>
          <w:b/>
        </w:rPr>
      </w:pPr>
      <w:r w:rsidRPr="007E69FF">
        <w:rPr>
          <w:rFonts w:ascii="Times New Roman" w:hAnsi="Times New Roman" w:cs="Times New Roman"/>
          <w:b/>
        </w:rPr>
        <w:t>Safeguards Policies that might apply</w:t>
      </w:r>
    </w:p>
    <w:tbl>
      <w:tblPr>
        <w:tblW w:w="0" w:type="auto"/>
        <w:tblInd w:w="648" w:type="dxa"/>
        <w:tblBorders>
          <w:top w:val="nil"/>
          <w:left w:val="nil"/>
          <w:bottom w:val="nil"/>
          <w:right w:val="nil"/>
        </w:tblBorders>
        <w:tblLayout w:type="fixed"/>
        <w:tblLook w:val="0000" w:firstRow="0" w:lastRow="0" w:firstColumn="0" w:lastColumn="0" w:noHBand="0" w:noVBand="0"/>
      </w:tblPr>
      <w:tblGrid>
        <w:gridCol w:w="6057"/>
        <w:gridCol w:w="720"/>
        <w:gridCol w:w="720"/>
        <w:gridCol w:w="720"/>
      </w:tblGrid>
      <w:tr w:rsidR="00663C44" w:rsidRPr="007E69FF">
        <w:trPr>
          <w:trHeight w:val="148"/>
        </w:trPr>
        <w:tc>
          <w:tcPr>
            <w:tcW w:w="6057"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rPr>
                <w:sz w:val="22"/>
                <w:szCs w:val="22"/>
              </w:rPr>
            </w:pPr>
            <w:r w:rsidRPr="007E69FF">
              <w:rPr>
                <w:sz w:val="22"/>
                <w:szCs w:val="22"/>
              </w:rPr>
              <w:t xml:space="preserve">Safeguard Policies Triggered by the Project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sz w:val="22"/>
                <w:szCs w:val="22"/>
              </w:rPr>
            </w:pPr>
            <w:r w:rsidRPr="007E69FF">
              <w:rPr>
                <w:b/>
                <w:bCs/>
                <w:sz w:val="22"/>
                <w:szCs w:val="22"/>
              </w:rPr>
              <w:t xml:space="preserve">Yes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sz w:val="22"/>
                <w:szCs w:val="22"/>
              </w:rPr>
            </w:pPr>
            <w:r w:rsidRPr="007E69FF">
              <w:rPr>
                <w:b/>
                <w:bCs/>
                <w:sz w:val="22"/>
                <w:szCs w:val="22"/>
              </w:rPr>
              <w:t xml:space="preserve">No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sz w:val="22"/>
                <w:szCs w:val="22"/>
              </w:rPr>
            </w:pPr>
            <w:r w:rsidRPr="007E69FF">
              <w:rPr>
                <w:b/>
                <w:bCs/>
                <w:sz w:val="22"/>
                <w:szCs w:val="22"/>
              </w:rPr>
              <w:t xml:space="preserve">TBD </w:t>
            </w:r>
          </w:p>
        </w:tc>
      </w:tr>
      <w:tr w:rsidR="00663C44" w:rsidRPr="007E69FF">
        <w:trPr>
          <w:trHeight w:val="162"/>
        </w:trPr>
        <w:tc>
          <w:tcPr>
            <w:tcW w:w="6057"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rPr>
                <w:sz w:val="22"/>
                <w:szCs w:val="22"/>
              </w:rPr>
            </w:pPr>
            <w:r w:rsidRPr="007E69FF">
              <w:rPr>
                <w:sz w:val="22"/>
                <w:szCs w:val="22"/>
              </w:rPr>
              <w:t xml:space="preserve">Environmental Assessment OP/BP 4.01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jc w:val="center"/>
              <w:rPr>
                <w:sz w:val="22"/>
                <w:szCs w:val="22"/>
              </w:rPr>
            </w:pPr>
            <w:r w:rsidRPr="007E69FF">
              <w:rPr>
                <w:rFonts w:ascii="MS Mincho" w:eastAsia="MS Mincho" w:hAnsi="MS Mincho" w:cs="MS Mincho" w:hint="eastAsia"/>
                <w:sz w:val="22"/>
                <w:szCs w:val="22"/>
              </w:rPr>
              <w:t>✖</w:t>
            </w:r>
            <w:r w:rsidRPr="007E69FF">
              <w:rPr>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r>
      <w:tr w:rsidR="00663C44" w:rsidRPr="007E69FF">
        <w:trPr>
          <w:trHeight w:val="162"/>
        </w:trPr>
        <w:tc>
          <w:tcPr>
            <w:tcW w:w="6057"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rPr>
                <w:sz w:val="22"/>
                <w:szCs w:val="22"/>
              </w:rPr>
            </w:pPr>
            <w:r w:rsidRPr="007E69FF">
              <w:rPr>
                <w:sz w:val="22"/>
                <w:szCs w:val="22"/>
              </w:rPr>
              <w:t xml:space="preserve">Natural Habitats OP/BP 4.04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jc w:val="center"/>
              <w:rPr>
                <w:sz w:val="22"/>
                <w:szCs w:val="22"/>
              </w:rPr>
            </w:pPr>
            <w:r w:rsidRPr="007E69FF">
              <w:rPr>
                <w:rFonts w:ascii="MS Mincho" w:eastAsia="MS Mincho" w:hAnsi="MS Mincho" w:cs="MS Mincho" w:hint="eastAsia"/>
                <w:sz w:val="22"/>
                <w:szCs w:val="22"/>
              </w:rPr>
              <w:t>✖</w:t>
            </w:r>
            <w:r w:rsidRPr="007E69FF">
              <w:rPr>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r>
      <w:tr w:rsidR="00663C44" w:rsidRPr="007E69FF">
        <w:trPr>
          <w:trHeight w:val="162"/>
        </w:trPr>
        <w:tc>
          <w:tcPr>
            <w:tcW w:w="6057"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rPr>
                <w:sz w:val="22"/>
                <w:szCs w:val="22"/>
              </w:rPr>
            </w:pPr>
            <w:r w:rsidRPr="007E69FF">
              <w:rPr>
                <w:sz w:val="22"/>
                <w:szCs w:val="22"/>
              </w:rPr>
              <w:t xml:space="preserve">Forests OP/BP 4.36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jc w:val="center"/>
              <w:rPr>
                <w:sz w:val="22"/>
                <w:szCs w:val="22"/>
              </w:rPr>
            </w:pPr>
            <w:r w:rsidRPr="007E69FF">
              <w:rPr>
                <w:rFonts w:ascii="MS Mincho" w:eastAsia="MS Mincho" w:hAnsi="MS Mincho" w:cs="MS Mincho" w:hint="eastAsia"/>
                <w:sz w:val="22"/>
                <w:szCs w:val="22"/>
              </w:rPr>
              <w:t>✖</w:t>
            </w:r>
            <w:r w:rsidRPr="007E69FF">
              <w:rPr>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r>
      <w:tr w:rsidR="00663C44" w:rsidRPr="007E69FF">
        <w:trPr>
          <w:trHeight w:val="162"/>
        </w:trPr>
        <w:tc>
          <w:tcPr>
            <w:tcW w:w="6057"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rPr>
                <w:sz w:val="22"/>
                <w:szCs w:val="22"/>
              </w:rPr>
            </w:pPr>
            <w:r w:rsidRPr="007E69FF">
              <w:rPr>
                <w:sz w:val="22"/>
                <w:szCs w:val="22"/>
              </w:rPr>
              <w:t xml:space="preserve">Pest Management OP 4.09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jc w:val="center"/>
              <w:rPr>
                <w:sz w:val="22"/>
                <w:szCs w:val="22"/>
              </w:rPr>
            </w:pPr>
            <w:r w:rsidRPr="007E69FF">
              <w:rPr>
                <w:rFonts w:ascii="MS Mincho" w:eastAsia="MS Mincho" w:hAnsi="MS Mincho" w:cs="MS Mincho" w:hint="eastAsia"/>
                <w:sz w:val="22"/>
                <w:szCs w:val="22"/>
              </w:rPr>
              <w:t>✖</w:t>
            </w:r>
            <w:r w:rsidRPr="007E69FF">
              <w:rPr>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r>
      <w:tr w:rsidR="00663C44" w:rsidRPr="007E69FF">
        <w:trPr>
          <w:trHeight w:val="162"/>
        </w:trPr>
        <w:tc>
          <w:tcPr>
            <w:tcW w:w="6057"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rPr>
                <w:sz w:val="22"/>
                <w:szCs w:val="22"/>
              </w:rPr>
            </w:pPr>
            <w:r w:rsidRPr="007E69FF">
              <w:rPr>
                <w:sz w:val="22"/>
                <w:szCs w:val="22"/>
              </w:rPr>
              <w:t xml:space="preserve">Physical Cultural Resources OP/BP 4.11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jc w:val="center"/>
              <w:rPr>
                <w:sz w:val="22"/>
                <w:szCs w:val="22"/>
              </w:rPr>
            </w:pPr>
            <w:r w:rsidRPr="007E69FF">
              <w:rPr>
                <w:rFonts w:ascii="MS Mincho" w:eastAsia="MS Mincho" w:hAnsi="MS Mincho" w:cs="MS Mincho" w:hint="eastAsia"/>
                <w:sz w:val="22"/>
                <w:szCs w:val="22"/>
              </w:rPr>
              <w:t>✖</w:t>
            </w:r>
            <w:r w:rsidRPr="007E69FF">
              <w:rPr>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r>
      <w:tr w:rsidR="00663C44" w:rsidRPr="007E69FF">
        <w:trPr>
          <w:trHeight w:val="161"/>
        </w:trPr>
        <w:tc>
          <w:tcPr>
            <w:tcW w:w="6057"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rPr>
                <w:sz w:val="22"/>
                <w:szCs w:val="22"/>
              </w:rPr>
            </w:pPr>
            <w:r w:rsidRPr="007E69FF">
              <w:rPr>
                <w:sz w:val="22"/>
                <w:szCs w:val="22"/>
              </w:rPr>
              <w:t xml:space="preserve">Indigenous Peoples OP/BP 4.10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jc w:val="center"/>
              <w:rPr>
                <w:sz w:val="22"/>
                <w:szCs w:val="22"/>
              </w:rPr>
            </w:pPr>
            <w:r w:rsidRPr="007E69FF">
              <w:rPr>
                <w:rFonts w:ascii="MS Mincho" w:eastAsia="MS Mincho" w:hAnsi="MS Mincho" w:cs="MS Mincho" w:hint="eastAsia"/>
                <w:sz w:val="22"/>
                <w:szCs w:val="22"/>
              </w:rPr>
              <w:t>✖</w:t>
            </w:r>
            <w:r w:rsidRPr="007E69FF">
              <w:rPr>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r>
      <w:tr w:rsidR="00663C44" w:rsidRPr="007E69FF">
        <w:trPr>
          <w:trHeight w:val="162"/>
        </w:trPr>
        <w:tc>
          <w:tcPr>
            <w:tcW w:w="6057"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rPr>
                <w:sz w:val="22"/>
                <w:szCs w:val="22"/>
              </w:rPr>
            </w:pPr>
            <w:r w:rsidRPr="007E69FF">
              <w:rPr>
                <w:sz w:val="22"/>
                <w:szCs w:val="22"/>
              </w:rPr>
              <w:t xml:space="preserve">Involuntary Resettlement OP/BP 4.12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jc w:val="center"/>
              <w:rPr>
                <w:sz w:val="22"/>
                <w:szCs w:val="22"/>
              </w:rPr>
            </w:pPr>
            <w:r w:rsidRPr="007E69FF">
              <w:rPr>
                <w:rFonts w:ascii="MS Mincho" w:eastAsia="MS Mincho" w:hAnsi="MS Mincho" w:cs="MS Mincho" w:hint="eastAsia"/>
                <w:sz w:val="22"/>
                <w:szCs w:val="22"/>
              </w:rPr>
              <w:t>✖</w:t>
            </w:r>
            <w:r w:rsidRPr="007E69FF">
              <w:rPr>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r>
      <w:tr w:rsidR="00663C44" w:rsidRPr="007E69FF">
        <w:trPr>
          <w:trHeight w:val="162"/>
        </w:trPr>
        <w:tc>
          <w:tcPr>
            <w:tcW w:w="6057"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rPr>
                <w:sz w:val="22"/>
                <w:szCs w:val="22"/>
              </w:rPr>
            </w:pPr>
            <w:r w:rsidRPr="007E69FF">
              <w:rPr>
                <w:sz w:val="22"/>
                <w:szCs w:val="22"/>
              </w:rPr>
              <w:t xml:space="preserve">Safety of Dams OP/BP 4.37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jc w:val="center"/>
              <w:rPr>
                <w:sz w:val="22"/>
                <w:szCs w:val="22"/>
              </w:rPr>
            </w:pPr>
            <w:r w:rsidRPr="007E69FF">
              <w:rPr>
                <w:rFonts w:ascii="MS Mincho" w:eastAsia="MS Mincho" w:hAnsi="MS Mincho" w:cs="MS Mincho" w:hint="eastAsia"/>
                <w:sz w:val="22"/>
                <w:szCs w:val="22"/>
              </w:rPr>
              <w:t>✖</w:t>
            </w:r>
            <w:r w:rsidRPr="007E69FF">
              <w:rPr>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r>
      <w:tr w:rsidR="00663C44" w:rsidRPr="007E69FF">
        <w:trPr>
          <w:trHeight w:val="162"/>
        </w:trPr>
        <w:tc>
          <w:tcPr>
            <w:tcW w:w="6057"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rPr>
                <w:sz w:val="22"/>
                <w:szCs w:val="22"/>
              </w:rPr>
            </w:pPr>
            <w:r w:rsidRPr="007E69FF">
              <w:rPr>
                <w:sz w:val="22"/>
                <w:szCs w:val="22"/>
              </w:rPr>
              <w:t xml:space="preserve">Projects on International Waterways OP/BP 7.50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jc w:val="center"/>
              <w:rPr>
                <w:sz w:val="22"/>
                <w:szCs w:val="22"/>
              </w:rPr>
            </w:pPr>
            <w:r w:rsidRPr="007E69FF">
              <w:rPr>
                <w:rFonts w:ascii="MS Mincho" w:eastAsia="MS Mincho" w:hAnsi="MS Mincho" w:cs="MS Mincho" w:hint="eastAsia"/>
                <w:sz w:val="22"/>
                <w:szCs w:val="22"/>
              </w:rPr>
              <w:t>✖</w:t>
            </w:r>
            <w:r w:rsidRPr="007E69FF">
              <w:rPr>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r>
      <w:tr w:rsidR="00663C44" w:rsidRPr="007E69FF">
        <w:trPr>
          <w:trHeight w:val="162"/>
        </w:trPr>
        <w:tc>
          <w:tcPr>
            <w:tcW w:w="6057"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rPr>
                <w:sz w:val="22"/>
                <w:szCs w:val="22"/>
              </w:rPr>
            </w:pPr>
            <w:r w:rsidRPr="007E69FF">
              <w:rPr>
                <w:sz w:val="22"/>
                <w:szCs w:val="22"/>
              </w:rPr>
              <w:t xml:space="preserve">Projects in Disputed Areas OP/BP 7.60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63C44" w:rsidRPr="007E69FF" w:rsidRDefault="00663C44" w:rsidP="001D5B3F">
            <w:pPr>
              <w:pStyle w:val="Default"/>
              <w:jc w:val="center"/>
              <w:rPr>
                <w:sz w:val="22"/>
                <w:szCs w:val="22"/>
              </w:rPr>
            </w:pPr>
            <w:r w:rsidRPr="007E69FF">
              <w:rPr>
                <w:rFonts w:ascii="MS Mincho" w:eastAsia="MS Mincho" w:hAnsi="MS Mincho" w:cs="MS Mincho" w:hint="eastAsia"/>
                <w:sz w:val="22"/>
                <w:szCs w:val="22"/>
              </w:rPr>
              <w:t>✖</w:t>
            </w:r>
            <w:r w:rsidRPr="007E69FF">
              <w:rPr>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63C44" w:rsidRPr="007E69FF" w:rsidRDefault="00663C44" w:rsidP="001D5B3F">
            <w:pPr>
              <w:pStyle w:val="Default"/>
              <w:jc w:val="center"/>
              <w:rPr>
                <w:color w:val="auto"/>
                <w:sz w:val="22"/>
                <w:szCs w:val="22"/>
              </w:rPr>
            </w:pPr>
          </w:p>
        </w:tc>
      </w:tr>
    </w:tbl>
    <w:p w:rsidR="0004614B" w:rsidRDefault="0004614B" w:rsidP="001D5B3F">
      <w:pPr>
        <w:pStyle w:val="ListParagraph"/>
        <w:spacing w:after="120" w:line="240" w:lineRule="auto"/>
        <w:ind w:left="547"/>
        <w:contextualSpacing w:val="0"/>
        <w:rPr>
          <w:rFonts w:ascii="Times New Roman" w:hAnsi="Times New Roman" w:cs="Times New Roman"/>
          <w:b/>
        </w:rPr>
      </w:pPr>
    </w:p>
    <w:p w:rsidR="004E1C1B" w:rsidRPr="007E69FF" w:rsidRDefault="004E1C1B" w:rsidP="001D5B3F">
      <w:pPr>
        <w:pStyle w:val="ListParagraph"/>
        <w:numPr>
          <w:ilvl w:val="0"/>
          <w:numId w:val="2"/>
        </w:numPr>
        <w:spacing w:after="120" w:line="240" w:lineRule="auto"/>
        <w:ind w:left="547" w:hanging="540"/>
        <w:contextualSpacing w:val="0"/>
        <w:rPr>
          <w:rFonts w:ascii="Times New Roman" w:hAnsi="Times New Roman" w:cs="Times New Roman"/>
          <w:b/>
        </w:rPr>
      </w:pPr>
      <w:r w:rsidRPr="007E69FF">
        <w:rPr>
          <w:rFonts w:ascii="Times New Roman" w:hAnsi="Times New Roman" w:cs="Times New Roman"/>
          <w:b/>
        </w:rPr>
        <w:t>Contact point</w:t>
      </w:r>
    </w:p>
    <w:p w:rsidR="00D35B9F" w:rsidRPr="007E69FF" w:rsidRDefault="00D35B9F" w:rsidP="001D5B3F">
      <w:pPr>
        <w:spacing w:after="120" w:line="240" w:lineRule="auto"/>
        <w:ind w:left="547"/>
        <w:rPr>
          <w:rFonts w:ascii="Times New Roman" w:hAnsi="Times New Roman" w:cs="Times New Roman"/>
          <w:b/>
        </w:rPr>
      </w:pPr>
      <w:r w:rsidRPr="007E69FF">
        <w:rPr>
          <w:rFonts w:ascii="Times New Roman" w:hAnsi="Times New Roman" w:cs="Times New Roman"/>
          <w:b/>
        </w:rPr>
        <w:t>World Bank</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330"/>
      </w:tblGrid>
      <w:tr w:rsidR="00E40DB4" w:rsidRPr="007E69FF">
        <w:tc>
          <w:tcPr>
            <w:tcW w:w="1800" w:type="dxa"/>
          </w:tcPr>
          <w:p w:rsidR="00E40DB4" w:rsidRPr="007E69FF" w:rsidRDefault="00E40DB4" w:rsidP="001D5B3F">
            <w:pPr>
              <w:rPr>
                <w:rFonts w:ascii="Times New Roman" w:hAnsi="Times New Roman" w:cs="Times New Roman"/>
              </w:rPr>
            </w:pPr>
            <w:r w:rsidRPr="007E69FF">
              <w:rPr>
                <w:rFonts w:ascii="Times New Roman" w:hAnsi="Times New Roman" w:cs="Times New Roman"/>
              </w:rPr>
              <w:t>Contact:</w:t>
            </w:r>
          </w:p>
        </w:tc>
        <w:tc>
          <w:tcPr>
            <w:tcW w:w="3330" w:type="dxa"/>
          </w:tcPr>
          <w:p w:rsidR="00E40DB4" w:rsidRPr="007E69FF" w:rsidRDefault="0068496C" w:rsidP="001D5B3F">
            <w:pPr>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Lambrides</w:t>
            </w:r>
            <w:proofErr w:type="spellEnd"/>
          </w:p>
        </w:tc>
      </w:tr>
      <w:tr w:rsidR="00E40DB4" w:rsidRPr="007E69FF">
        <w:tc>
          <w:tcPr>
            <w:tcW w:w="1800" w:type="dxa"/>
          </w:tcPr>
          <w:p w:rsidR="00E40DB4" w:rsidRPr="007E69FF" w:rsidRDefault="00E40DB4" w:rsidP="001D5B3F">
            <w:pPr>
              <w:rPr>
                <w:rFonts w:ascii="Times New Roman" w:hAnsi="Times New Roman" w:cs="Times New Roman"/>
              </w:rPr>
            </w:pPr>
            <w:r w:rsidRPr="007E69FF">
              <w:rPr>
                <w:rFonts w:ascii="Times New Roman" w:hAnsi="Times New Roman" w:cs="Times New Roman"/>
              </w:rPr>
              <w:t>Title:</w:t>
            </w:r>
          </w:p>
        </w:tc>
        <w:tc>
          <w:tcPr>
            <w:tcW w:w="3330" w:type="dxa"/>
          </w:tcPr>
          <w:p w:rsidR="00E40DB4" w:rsidRPr="007E69FF" w:rsidRDefault="00E40DB4" w:rsidP="0068496C">
            <w:pPr>
              <w:rPr>
                <w:rFonts w:ascii="Times New Roman" w:hAnsi="Times New Roman" w:cs="Times New Roman"/>
              </w:rPr>
            </w:pPr>
            <w:r w:rsidRPr="007E69FF">
              <w:rPr>
                <w:rFonts w:ascii="Times New Roman" w:hAnsi="Times New Roman" w:cs="Times New Roman"/>
              </w:rPr>
              <w:t xml:space="preserve">Senior </w:t>
            </w:r>
            <w:r w:rsidR="0068496C">
              <w:rPr>
                <w:rFonts w:ascii="Times New Roman" w:hAnsi="Times New Roman" w:cs="Times New Roman"/>
              </w:rPr>
              <w:t>Energy</w:t>
            </w:r>
            <w:r w:rsidRPr="007E69FF">
              <w:rPr>
                <w:rFonts w:ascii="Times New Roman" w:hAnsi="Times New Roman" w:cs="Times New Roman"/>
              </w:rPr>
              <w:t xml:space="preserve"> Specialist</w:t>
            </w:r>
          </w:p>
        </w:tc>
      </w:tr>
      <w:tr w:rsidR="00E40DB4" w:rsidRPr="007E69FF">
        <w:tc>
          <w:tcPr>
            <w:tcW w:w="1800" w:type="dxa"/>
          </w:tcPr>
          <w:p w:rsidR="00E40DB4" w:rsidRPr="007E69FF" w:rsidRDefault="00E40DB4" w:rsidP="001D5B3F">
            <w:pPr>
              <w:rPr>
                <w:rFonts w:ascii="Times New Roman" w:hAnsi="Times New Roman" w:cs="Times New Roman"/>
              </w:rPr>
            </w:pPr>
            <w:r w:rsidRPr="007E69FF">
              <w:rPr>
                <w:rFonts w:ascii="Times New Roman" w:hAnsi="Times New Roman" w:cs="Times New Roman"/>
              </w:rPr>
              <w:t>Tel:</w:t>
            </w:r>
          </w:p>
        </w:tc>
        <w:tc>
          <w:tcPr>
            <w:tcW w:w="3330" w:type="dxa"/>
          </w:tcPr>
          <w:p w:rsidR="00E40DB4" w:rsidRPr="007E69FF" w:rsidRDefault="0068496C" w:rsidP="0068496C">
            <w:pPr>
              <w:rPr>
                <w:rFonts w:ascii="Times New Roman" w:hAnsi="Times New Roman" w:cs="Times New Roman"/>
              </w:rPr>
            </w:pPr>
            <w:r>
              <w:rPr>
                <w:rFonts w:ascii="Times New Roman" w:hAnsi="Times New Roman" w:cs="Times New Roman"/>
              </w:rPr>
              <w:t>(202) 458</w:t>
            </w:r>
            <w:r w:rsidR="00E40DB4" w:rsidRPr="007E69FF">
              <w:rPr>
                <w:rFonts w:ascii="Times New Roman" w:hAnsi="Times New Roman" w:cs="Times New Roman"/>
              </w:rPr>
              <w:t>-</w:t>
            </w:r>
            <w:r>
              <w:rPr>
                <w:rFonts w:ascii="Times New Roman" w:hAnsi="Times New Roman" w:cs="Times New Roman"/>
              </w:rPr>
              <w:t>1654</w:t>
            </w:r>
          </w:p>
        </w:tc>
      </w:tr>
      <w:tr w:rsidR="00E40DB4" w:rsidRPr="007E69FF">
        <w:tc>
          <w:tcPr>
            <w:tcW w:w="1800" w:type="dxa"/>
          </w:tcPr>
          <w:p w:rsidR="00E40DB4" w:rsidRPr="007E69FF" w:rsidRDefault="00E40DB4" w:rsidP="001D5B3F">
            <w:pPr>
              <w:rPr>
                <w:rFonts w:ascii="Times New Roman" w:hAnsi="Times New Roman" w:cs="Times New Roman"/>
              </w:rPr>
            </w:pPr>
            <w:r w:rsidRPr="007E69FF">
              <w:rPr>
                <w:rFonts w:ascii="Times New Roman" w:hAnsi="Times New Roman" w:cs="Times New Roman"/>
              </w:rPr>
              <w:t>Email:</w:t>
            </w:r>
          </w:p>
        </w:tc>
        <w:tc>
          <w:tcPr>
            <w:tcW w:w="3330" w:type="dxa"/>
          </w:tcPr>
          <w:p w:rsidR="00E40DB4" w:rsidRPr="007E69FF" w:rsidRDefault="0068496C" w:rsidP="001D5B3F">
            <w:pPr>
              <w:rPr>
                <w:rFonts w:ascii="Times New Roman" w:hAnsi="Times New Roman" w:cs="Times New Roman"/>
              </w:rPr>
            </w:pPr>
            <w:r>
              <w:rPr>
                <w:rFonts w:ascii="Times New Roman" w:hAnsi="Times New Roman" w:cs="Times New Roman"/>
              </w:rPr>
              <w:t>mlambrides</w:t>
            </w:r>
            <w:r w:rsidR="00E40DB4" w:rsidRPr="007E69FF">
              <w:rPr>
                <w:rFonts w:ascii="Times New Roman" w:hAnsi="Times New Roman" w:cs="Times New Roman"/>
              </w:rPr>
              <w:t>@worldbank.org</w:t>
            </w:r>
          </w:p>
        </w:tc>
      </w:tr>
    </w:tbl>
    <w:p w:rsidR="00D35B9F" w:rsidRPr="007E69FF" w:rsidRDefault="00D35B9F" w:rsidP="001D5B3F">
      <w:pPr>
        <w:spacing w:before="120" w:after="120" w:line="240" w:lineRule="auto"/>
        <w:ind w:left="547"/>
        <w:rPr>
          <w:rFonts w:ascii="Times New Roman" w:hAnsi="Times New Roman" w:cs="Times New Roman"/>
          <w:b/>
        </w:rPr>
      </w:pPr>
      <w:r w:rsidRPr="007E69FF">
        <w:rPr>
          <w:rFonts w:ascii="Times New Roman" w:hAnsi="Times New Roman" w:cs="Times New Roman"/>
          <w:b/>
        </w:rPr>
        <w:lastRenderedPageBreak/>
        <w:t>Borrower/Client/Recipient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040"/>
      </w:tblGrid>
      <w:tr w:rsidR="00E40DB4" w:rsidRPr="006F0D3B">
        <w:tc>
          <w:tcPr>
            <w:tcW w:w="1800" w:type="dxa"/>
          </w:tcPr>
          <w:p w:rsidR="00E40DB4" w:rsidRPr="007E69FF" w:rsidRDefault="00932F9B" w:rsidP="001D5B3F">
            <w:pPr>
              <w:rPr>
                <w:rFonts w:ascii="Times New Roman" w:hAnsi="Times New Roman" w:cs="Times New Roman"/>
              </w:rPr>
            </w:pPr>
            <w:r w:rsidRPr="007E69FF">
              <w:rPr>
                <w:rFonts w:ascii="Times New Roman" w:hAnsi="Times New Roman" w:cs="Times New Roman"/>
              </w:rPr>
              <w:t>Name</w:t>
            </w:r>
            <w:r w:rsidR="00E40DB4" w:rsidRPr="007E69FF">
              <w:rPr>
                <w:rFonts w:ascii="Times New Roman" w:hAnsi="Times New Roman" w:cs="Times New Roman"/>
              </w:rPr>
              <w:t>:</w:t>
            </w:r>
          </w:p>
        </w:tc>
        <w:tc>
          <w:tcPr>
            <w:tcW w:w="5040" w:type="dxa"/>
          </w:tcPr>
          <w:p w:rsidR="00E40DB4" w:rsidRPr="00201473" w:rsidRDefault="0068496C" w:rsidP="0068496C">
            <w:pPr>
              <w:rPr>
                <w:rFonts w:ascii="Times New Roman" w:hAnsi="Times New Roman" w:cs="Times New Roman"/>
                <w:lang w:val="es-CL"/>
              </w:rPr>
            </w:pPr>
            <w:proofErr w:type="spellStart"/>
            <w:r w:rsidRPr="00201473">
              <w:rPr>
                <w:rFonts w:ascii="Times New Roman" w:hAnsi="Times New Roman" w:cs="Times New Roman"/>
                <w:lang w:val="es-CL"/>
              </w:rPr>
              <w:t>Republic</w:t>
            </w:r>
            <w:proofErr w:type="spellEnd"/>
            <w:r w:rsidRPr="00201473">
              <w:rPr>
                <w:rFonts w:ascii="Times New Roman" w:hAnsi="Times New Roman" w:cs="Times New Roman"/>
                <w:lang w:val="es-CL"/>
              </w:rPr>
              <w:t xml:space="preserve"> of Chile, Agencia de </w:t>
            </w:r>
            <w:proofErr w:type="spellStart"/>
            <w:r w:rsidRPr="00201473">
              <w:rPr>
                <w:rFonts w:ascii="Times New Roman" w:hAnsi="Times New Roman" w:cs="Times New Roman"/>
                <w:lang w:val="es-CL"/>
              </w:rPr>
              <w:t>Cooperacion</w:t>
            </w:r>
            <w:proofErr w:type="spellEnd"/>
            <w:r w:rsidRPr="00201473">
              <w:rPr>
                <w:rFonts w:ascii="Times New Roman" w:hAnsi="Times New Roman" w:cs="Times New Roman"/>
                <w:lang w:val="es-CL"/>
              </w:rPr>
              <w:t xml:space="preserve"> Internacional de Chile</w:t>
            </w:r>
          </w:p>
        </w:tc>
      </w:tr>
      <w:tr w:rsidR="00932F9B" w:rsidRPr="007E69FF">
        <w:tc>
          <w:tcPr>
            <w:tcW w:w="1800" w:type="dxa"/>
          </w:tcPr>
          <w:p w:rsidR="00932F9B" w:rsidRPr="007E69FF" w:rsidRDefault="00932F9B" w:rsidP="001D5B3F">
            <w:pPr>
              <w:rPr>
                <w:rFonts w:ascii="Times New Roman" w:hAnsi="Times New Roman" w:cs="Times New Roman"/>
              </w:rPr>
            </w:pPr>
            <w:r w:rsidRPr="007E69FF">
              <w:rPr>
                <w:rFonts w:ascii="Times New Roman" w:hAnsi="Times New Roman" w:cs="Times New Roman"/>
              </w:rPr>
              <w:t>Contact:</w:t>
            </w:r>
          </w:p>
        </w:tc>
        <w:tc>
          <w:tcPr>
            <w:tcW w:w="5040" w:type="dxa"/>
          </w:tcPr>
          <w:p w:rsidR="00932F9B" w:rsidRPr="007E69FF" w:rsidRDefault="0068496C" w:rsidP="001D5B3F">
            <w:pPr>
              <w:rPr>
                <w:rFonts w:ascii="Times New Roman" w:hAnsi="Times New Roman" w:cs="Times New Roman"/>
              </w:rPr>
            </w:pPr>
            <w:r>
              <w:rPr>
                <w:rFonts w:ascii="Times New Roman" w:hAnsi="Times New Roman" w:cs="Times New Roman"/>
              </w:rPr>
              <w:t xml:space="preserve">Ms. Melissa Sanchez </w:t>
            </w:r>
            <w:proofErr w:type="spellStart"/>
            <w:r>
              <w:rPr>
                <w:rFonts w:ascii="Times New Roman" w:hAnsi="Times New Roman" w:cs="Times New Roman"/>
              </w:rPr>
              <w:t>Rabello</w:t>
            </w:r>
            <w:proofErr w:type="spellEnd"/>
          </w:p>
        </w:tc>
      </w:tr>
      <w:tr w:rsidR="00E40DB4" w:rsidRPr="007E69FF">
        <w:tc>
          <w:tcPr>
            <w:tcW w:w="1800" w:type="dxa"/>
          </w:tcPr>
          <w:p w:rsidR="00E40DB4" w:rsidRPr="007E69FF" w:rsidRDefault="00E40DB4" w:rsidP="001D5B3F">
            <w:pPr>
              <w:rPr>
                <w:rFonts w:ascii="Times New Roman" w:hAnsi="Times New Roman" w:cs="Times New Roman"/>
              </w:rPr>
            </w:pPr>
            <w:r w:rsidRPr="007E69FF">
              <w:rPr>
                <w:rFonts w:ascii="Times New Roman" w:hAnsi="Times New Roman" w:cs="Times New Roman"/>
              </w:rPr>
              <w:t>Title:</w:t>
            </w:r>
          </w:p>
        </w:tc>
        <w:tc>
          <w:tcPr>
            <w:tcW w:w="5040" w:type="dxa"/>
          </w:tcPr>
          <w:p w:rsidR="00E40DB4" w:rsidRPr="007E69FF" w:rsidRDefault="00E40DB4" w:rsidP="001D5B3F">
            <w:pPr>
              <w:rPr>
                <w:rFonts w:ascii="Times New Roman" w:hAnsi="Times New Roman" w:cs="Times New Roman"/>
              </w:rPr>
            </w:pPr>
          </w:p>
        </w:tc>
      </w:tr>
      <w:tr w:rsidR="00E40DB4" w:rsidRPr="007E69FF">
        <w:tc>
          <w:tcPr>
            <w:tcW w:w="1800" w:type="dxa"/>
          </w:tcPr>
          <w:p w:rsidR="00E40DB4" w:rsidRPr="007E69FF" w:rsidRDefault="00E40DB4" w:rsidP="001D5B3F">
            <w:pPr>
              <w:rPr>
                <w:rFonts w:ascii="Times New Roman" w:hAnsi="Times New Roman" w:cs="Times New Roman"/>
              </w:rPr>
            </w:pPr>
            <w:r w:rsidRPr="007E69FF">
              <w:rPr>
                <w:rFonts w:ascii="Times New Roman" w:hAnsi="Times New Roman" w:cs="Times New Roman"/>
              </w:rPr>
              <w:t>Tel:</w:t>
            </w:r>
          </w:p>
        </w:tc>
        <w:tc>
          <w:tcPr>
            <w:tcW w:w="5040" w:type="dxa"/>
          </w:tcPr>
          <w:p w:rsidR="00E40DB4" w:rsidRPr="007E69FF" w:rsidRDefault="0068496C" w:rsidP="001D5B3F">
            <w:pPr>
              <w:rPr>
                <w:rFonts w:ascii="Times New Roman" w:hAnsi="Times New Roman" w:cs="Times New Roman"/>
              </w:rPr>
            </w:pPr>
            <w:r>
              <w:rPr>
                <w:rFonts w:ascii="Times New Roman" w:hAnsi="Times New Roman" w:cs="Times New Roman"/>
              </w:rPr>
              <w:t>+56 (2) 2827 5706</w:t>
            </w:r>
          </w:p>
        </w:tc>
      </w:tr>
      <w:tr w:rsidR="00E40DB4" w:rsidRPr="007E69FF">
        <w:tc>
          <w:tcPr>
            <w:tcW w:w="1800" w:type="dxa"/>
          </w:tcPr>
          <w:p w:rsidR="00E40DB4" w:rsidRPr="007E69FF" w:rsidRDefault="00E40DB4" w:rsidP="001D5B3F">
            <w:pPr>
              <w:rPr>
                <w:rFonts w:ascii="Times New Roman" w:hAnsi="Times New Roman" w:cs="Times New Roman"/>
              </w:rPr>
            </w:pPr>
            <w:r w:rsidRPr="007E69FF">
              <w:rPr>
                <w:rFonts w:ascii="Times New Roman" w:hAnsi="Times New Roman" w:cs="Times New Roman"/>
              </w:rPr>
              <w:t>Email:</w:t>
            </w:r>
          </w:p>
        </w:tc>
        <w:tc>
          <w:tcPr>
            <w:tcW w:w="5040" w:type="dxa"/>
          </w:tcPr>
          <w:p w:rsidR="00E40DB4" w:rsidRPr="007E69FF" w:rsidRDefault="0068496C" w:rsidP="001D5B3F">
            <w:pPr>
              <w:rPr>
                <w:rFonts w:ascii="Times New Roman" w:hAnsi="Times New Roman" w:cs="Times New Roman"/>
              </w:rPr>
            </w:pPr>
            <w:r w:rsidRPr="0068496C">
              <w:rPr>
                <w:rFonts w:ascii="Times New Roman" w:hAnsi="Times New Roman" w:cs="Times New Roman"/>
              </w:rPr>
              <w:t>msanchez@agci.gob.cl</w:t>
            </w:r>
          </w:p>
        </w:tc>
      </w:tr>
    </w:tbl>
    <w:p w:rsidR="00D35B9F" w:rsidRPr="007E69FF" w:rsidRDefault="00D35B9F" w:rsidP="001D5B3F">
      <w:pPr>
        <w:spacing w:before="120" w:after="120" w:line="240" w:lineRule="auto"/>
        <w:ind w:left="547"/>
        <w:rPr>
          <w:rFonts w:ascii="Times New Roman" w:hAnsi="Times New Roman" w:cs="Times New Roman"/>
          <w:b/>
        </w:rPr>
      </w:pPr>
      <w:r w:rsidRPr="007E69FF">
        <w:rPr>
          <w:rFonts w:ascii="Times New Roman" w:hAnsi="Times New Roman" w:cs="Times New Roman"/>
          <w:b/>
        </w:rPr>
        <w:t>Implementing Agencies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040"/>
      </w:tblGrid>
      <w:tr w:rsidR="00932F9B" w:rsidRPr="007E69FF">
        <w:tc>
          <w:tcPr>
            <w:tcW w:w="1800" w:type="dxa"/>
          </w:tcPr>
          <w:p w:rsidR="00932F9B" w:rsidRPr="007E69FF" w:rsidRDefault="00932F9B" w:rsidP="001D5B3F">
            <w:pPr>
              <w:rPr>
                <w:rFonts w:ascii="Times New Roman" w:hAnsi="Times New Roman" w:cs="Times New Roman"/>
              </w:rPr>
            </w:pPr>
            <w:r w:rsidRPr="007E69FF">
              <w:rPr>
                <w:rFonts w:ascii="Times New Roman" w:hAnsi="Times New Roman" w:cs="Times New Roman"/>
              </w:rPr>
              <w:t>Name:</w:t>
            </w:r>
          </w:p>
        </w:tc>
        <w:tc>
          <w:tcPr>
            <w:tcW w:w="5040" w:type="dxa"/>
          </w:tcPr>
          <w:p w:rsidR="00932F9B" w:rsidRPr="007E69FF" w:rsidRDefault="0068496C" w:rsidP="001D5B3F">
            <w:pPr>
              <w:rPr>
                <w:rFonts w:ascii="Times New Roman" w:hAnsi="Times New Roman" w:cs="Times New Roman"/>
              </w:rPr>
            </w:pPr>
            <w:r w:rsidRPr="007E69FF">
              <w:rPr>
                <w:rFonts w:ascii="Times New Roman" w:hAnsi="Times New Roman" w:cs="Times New Roman"/>
              </w:rPr>
              <w:t xml:space="preserve">Republic of </w:t>
            </w:r>
            <w:r>
              <w:rPr>
                <w:rFonts w:ascii="Times New Roman" w:hAnsi="Times New Roman" w:cs="Times New Roman"/>
              </w:rPr>
              <w:t>Chile</w:t>
            </w:r>
            <w:r w:rsidRPr="007E69FF">
              <w:rPr>
                <w:rFonts w:ascii="Times New Roman" w:hAnsi="Times New Roman" w:cs="Times New Roman"/>
              </w:rPr>
              <w:t xml:space="preserve">, </w:t>
            </w:r>
            <w:r>
              <w:rPr>
                <w:rFonts w:ascii="Times New Roman" w:hAnsi="Times New Roman" w:cs="Times New Roman"/>
              </w:rPr>
              <w:t>Ministry of Energy</w:t>
            </w:r>
          </w:p>
        </w:tc>
      </w:tr>
      <w:tr w:rsidR="00932F9B" w:rsidRPr="007E69FF">
        <w:tc>
          <w:tcPr>
            <w:tcW w:w="1800" w:type="dxa"/>
          </w:tcPr>
          <w:p w:rsidR="00932F9B" w:rsidRPr="007E69FF" w:rsidRDefault="00932F9B" w:rsidP="001D5B3F">
            <w:pPr>
              <w:rPr>
                <w:rFonts w:ascii="Times New Roman" w:hAnsi="Times New Roman" w:cs="Times New Roman"/>
              </w:rPr>
            </w:pPr>
            <w:r w:rsidRPr="007E69FF">
              <w:rPr>
                <w:rFonts w:ascii="Times New Roman" w:hAnsi="Times New Roman" w:cs="Times New Roman"/>
              </w:rPr>
              <w:t>Contact:</w:t>
            </w:r>
          </w:p>
        </w:tc>
        <w:tc>
          <w:tcPr>
            <w:tcW w:w="5040" w:type="dxa"/>
          </w:tcPr>
          <w:p w:rsidR="00932F9B" w:rsidRPr="007E69FF" w:rsidRDefault="0068496C" w:rsidP="001D5B3F">
            <w:pPr>
              <w:rPr>
                <w:rFonts w:ascii="Times New Roman" w:hAnsi="Times New Roman" w:cs="Times New Roman"/>
              </w:rPr>
            </w:pPr>
            <w:r>
              <w:rPr>
                <w:rFonts w:ascii="Times New Roman" w:hAnsi="Times New Roman" w:cs="Times New Roman"/>
              </w:rPr>
              <w:t>Mr. Juan Pedro Searle</w:t>
            </w:r>
          </w:p>
        </w:tc>
      </w:tr>
      <w:tr w:rsidR="00932F9B" w:rsidRPr="007E69FF">
        <w:tc>
          <w:tcPr>
            <w:tcW w:w="1800" w:type="dxa"/>
          </w:tcPr>
          <w:p w:rsidR="00932F9B" w:rsidRPr="007E69FF" w:rsidRDefault="00932F9B" w:rsidP="001D5B3F">
            <w:pPr>
              <w:rPr>
                <w:rFonts w:ascii="Times New Roman" w:hAnsi="Times New Roman" w:cs="Times New Roman"/>
              </w:rPr>
            </w:pPr>
            <w:r w:rsidRPr="007E69FF">
              <w:rPr>
                <w:rFonts w:ascii="Times New Roman" w:hAnsi="Times New Roman" w:cs="Times New Roman"/>
              </w:rPr>
              <w:t>Title:</w:t>
            </w:r>
          </w:p>
        </w:tc>
        <w:tc>
          <w:tcPr>
            <w:tcW w:w="5040" w:type="dxa"/>
          </w:tcPr>
          <w:p w:rsidR="00932F9B" w:rsidRPr="007E69FF" w:rsidRDefault="0068496C" w:rsidP="001D5B3F">
            <w:pPr>
              <w:rPr>
                <w:rFonts w:ascii="Times New Roman" w:hAnsi="Times New Roman" w:cs="Times New Roman"/>
              </w:rPr>
            </w:pPr>
            <w:r w:rsidRPr="0068496C">
              <w:rPr>
                <w:rFonts w:ascii="Times New Roman" w:hAnsi="Times New Roman" w:cs="Times New Roman"/>
              </w:rPr>
              <w:t>Head of Climate Change Unit Sustainable Development Division, Ministry of Energy</w:t>
            </w:r>
          </w:p>
        </w:tc>
      </w:tr>
      <w:tr w:rsidR="00932F9B" w:rsidRPr="007E69FF">
        <w:tc>
          <w:tcPr>
            <w:tcW w:w="1800" w:type="dxa"/>
          </w:tcPr>
          <w:p w:rsidR="00932F9B" w:rsidRPr="007E69FF" w:rsidRDefault="00932F9B" w:rsidP="001D5B3F">
            <w:pPr>
              <w:rPr>
                <w:rFonts w:ascii="Times New Roman" w:hAnsi="Times New Roman" w:cs="Times New Roman"/>
              </w:rPr>
            </w:pPr>
            <w:r w:rsidRPr="007E69FF">
              <w:rPr>
                <w:rFonts w:ascii="Times New Roman" w:hAnsi="Times New Roman" w:cs="Times New Roman"/>
              </w:rPr>
              <w:t>Tel:</w:t>
            </w:r>
          </w:p>
        </w:tc>
        <w:tc>
          <w:tcPr>
            <w:tcW w:w="5040" w:type="dxa"/>
          </w:tcPr>
          <w:p w:rsidR="00932F9B" w:rsidRPr="007E69FF" w:rsidRDefault="0068496C" w:rsidP="001D5B3F">
            <w:pPr>
              <w:rPr>
                <w:rFonts w:ascii="Times New Roman" w:hAnsi="Times New Roman" w:cs="Times New Roman"/>
              </w:rPr>
            </w:pPr>
            <w:r>
              <w:rPr>
                <w:rFonts w:ascii="Times New Roman" w:hAnsi="Times New Roman" w:cs="Times New Roman"/>
              </w:rPr>
              <w:t>+</w:t>
            </w:r>
            <w:r w:rsidRPr="0068496C">
              <w:rPr>
                <w:rFonts w:ascii="Times New Roman" w:hAnsi="Times New Roman" w:cs="Times New Roman"/>
              </w:rPr>
              <w:t>56-562-365-6876</w:t>
            </w:r>
          </w:p>
        </w:tc>
      </w:tr>
      <w:tr w:rsidR="00932F9B" w:rsidRPr="007E69FF">
        <w:tc>
          <w:tcPr>
            <w:tcW w:w="1800" w:type="dxa"/>
          </w:tcPr>
          <w:p w:rsidR="00932F9B" w:rsidRPr="007E69FF" w:rsidRDefault="00932F9B" w:rsidP="001D5B3F">
            <w:pPr>
              <w:rPr>
                <w:rFonts w:ascii="Times New Roman" w:hAnsi="Times New Roman" w:cs="Times New Roman"/>
              </w:rPr>
            </w:pPr>
            <w:r w:rsidRPr="007E69FF">
              <w:rPr>
                <w:rFonts w:ascii="Times New Roman" w:hAnsi="Times New Roman" w:cs="Times New Roman"/>
              </w:rPr>
              <w:t>Email:</w:t>
            </w:r>
          </w:p>
        </w:tc>
        <w:tc>
          <w:tcPr>
            <w:tcW w:w="5040" w:type="dxa"/>
          </w:tcPr>
          <w:p w:rsidR="00932F9B" w:rsidRPr="007E69FF" w:rsidRDefault="0068496C" w:rsidP="001D5B3F">
            <w:pPr>
              <w:rPr>
                <w:rFonts w:ascii="Times New Roman" w:hAnsi="Times New Roman" w:cs="Times New Roman"/>
              </w:rPr>
            </w:pPr>
            <w:r w:rsidRPr="0068496C">
              <w:rPr>
                <w:rFonts w:ascii="Times New Roman" w:hAnsi="Times New Roman" w:cs="Times New Roman"/>
              </w:rPr>
              <w:t>jsearle@minergia.cl</w:t>
            </w:r>
          </w:p>
        </w:tc>
      </w:tr>
    </w:tbl>
    <w:p w:rsidR="004E1C1B" w:rsidRPr="007E69FF" w:rsidRDefault="004E1C1B" w:rsidP="001D5B3F">
      <w:pPr>
        <w:pStyle w:val="ListParagraph"/>
        <w:numPr>
          <w:ilvl w:val="0"/>
          <w:numId w:val="2"/>
        </w:numPr>
        <w:spacing w:before="120" w:after="120" w:line="240" w:lineRule="auto"/>
        <w:ind w:left="547" w:hanging="547"/>
        <w:contextualSpacing w:val="0"/>
        <w:rPr>
          <w:rFonts w:ascii="Times New Roman" w:hAnsi="Times New Roman" w:cs="Times New Roman"/>
          <w:b/>
        </w:rPr>
      </w:pPr>
      <w:r w:rsidRPr="007E69FF">
        <w:rPr>
          <w:rFonts w:ascii="Times New Roman" w:hAnsi="Times New Roman" w:cs="Times New Roman"/>
          <w:b/>
        </w:rPr>
        <w:t>For more information contact:</w:t>
      </w:r>
    </w:p>
    <w:p w:rsidR="00726416" w:rsidRPr="007E69FF" w:rsidRDefault="00726416" w:rsidP="001D5B3F">
      <w:pPr>
        <w:spacing w:after="0" w:line="240" w:lineRule="auto"/>
        <w:ind w:left="540"/>
        <w:rPr>
          <w:rFonts w:ascii="Times New Roman" w:hAnsi="Times New Roman" w:cs="Times New Roman"/>
        </w:rPr>
      </w:pPr>
      <w:r w:rsidRPr="007E69FF">
        <w:rPr>
          <w:rFonts w:ascii="Times New Roman" w:hAnsi="Times New Roman" w:cs="Times New Roman"/>
        </w:rPr>
        <w:t xml:space="preserve">The </w:t>
      </w:r>
      <w:proofErr w:type="spellStart"/>
      <w:r w:rsidRPr="007E69FF">
        <w:rPr>
          <w:rFonts w:ascii="Times New Roman" w:hAnsi="Times New Roman" w:cs="Times New Roman"/>
        </w:rPr>
        <w:t>InfoShop</w:t>
      </w:r>
      <w:proofErr w:type="spellEnd"/>
    </w:p>
    <w:p w:rsidR="00726416" w:rsidRPr="007E69FF" w:rsidRDefault="00726416" w:rsidP="001D5B3F">
      <w:pPr>
        <w:spacing w:after="0" w:line="240" w:lineRule="auto"/>
        <w:ind w:left="540"/>
        <w:rPr>
          <w:rFonts w:ascii="Times New Roman" w:hAnsi="Times New Roman" w:cs="Times New Roman"/>
        </w:rPr>
      </w:pPr>
      <w:r w:rsidRPr="007E69FF">
        <w:rPr>
          <w:rFonts w:ascii="Times New Roman" w:hAnsi="Times New Roman" w:cs="Times New Roman"/>
        </w:rPr>
        <w:t>The World Bank</w:t>
      </w:r>
    </w:p>
    <w:p w:rsidR="00726416" w:rsidRPr="007E69FF" w:rsidRDefault="00726416" w:rsidP="001D5B3F">
      <w:pPr>
        <w:spacing w:after="0" w:line="240" w:lineRule="auto"/>
        <w:ind w:left="540"/>
        <w:rPr>
          <w:rFonts w:ascii="Times New Roman" w:hAnsi="Times New Roman" w:cs="Times New Roman"/>
        </w:rPr>
      </w:pPr>
      <w:r w:rsidRPr="007E69FF">
        <w:rPr>
          <w:rFonts w:ascii="Times New Roman" w:hAnsi="Times New Roman" w:cs="Times New Roman"/>
        </w:rPr>
        <w:t>1818 H Street, NW</w:t>
      </w:r>
    </w:p>
    <w:p w:rsidR="00726416" w:rsidRPr="007E69FF" w:rsidRDefault="00726416" w:rsidP="001D5B3F">
      <w:pPr>
        <w:spacing w:after="0" w:line="240" w:lineRule="auto"/>
        <w:ind w:left="540"/>
        <w:rPr>
          <w:rFonts w:ascii="Times New Roman" w:hAnsi="Times New Roman" w:cs="Times New Roman"/>
        </w:rPr>
      </w:pPr>
      <w:r w:rsidRPr="007E69FF">
        <w:rPr>
          <w:rFonts w:ascii="Times New Roman" w:hAnsi="Times New Roman" w:cs="Times New Roman"/>
        </w:rPr>
        <w:t>Washington, D.C. 20433</w:t>
      </w:r>
    </w:p>
    <w:p w:rsidR="00726416" w:rsidRPr="007E69FF" w:rsidRDefault="00726416" w:rsidP="001D5B3F">
      <w:pPr>
        <w:spacing w:after="0" w:line="240" w:lineRule="auto"/>
        <w:ind w:left="540"/>
        <w:rPr>
          <w:rFonts w:ascii="Times New Roman" w:hAnsi="Times New Roman" w:cs="Times New Roman"/>
        </w:rPr>
      </w:pPr>
      <w:r w:rsidRPr="007E69FF">
        <w:rPr>
          <w:rFonts w:ascii="Times New Roman" w:hAnsi="Times New Roman" w:cs="Times New Roman"/>
        </w:rPr>
        <w:t>Telephone: (202) 458-4500</w:t>
      </w:r>
    </w:p>
    <w:p w:rsidR="00726416" w:rsidRPr="007E69FF" w:rsidRDefault="00726416" w:rsidP="001D5B3F">
      <w:pPr>
        <w:spacing w:after="0" w:line="240" w:lineRule="auto"/>
        <w:ind w:left="540"/>
        <w:rPr>
          <w:rFonts w:ascii="Times New Roman" w:hAnsi="Times New Roman" w:cs="Times New Roman"/>
        </w:rPr>
      </w:pPr>
      <w:r w:rsidRPr="007E69FF">
        <w:rPr>
          <w:rFonts w:ascii="Times New Roman" w:hAnsi="Times New Roman" w:cs="Times New Roman"/>
        </w:rPr>
        <w:t>Fax: (202) 522-1500</w:t>
      </w:r>
    </w:p>
    <w:p w:rsidR="00726416" w:rsidRPr="007E69FF" w:rsidRDefault="00726416" w:rsidP="001D5B3F">
      <w:pPr>
        <w:spacing w:after="0" w:line="240" w:lineRule="auto"/>
        <w:ind w:left="540"/>
        <w:rPr>
          <w:rFonts w:ascii="Times New Roman" w:hAnsi="Times New Roman" w:cs="Times New Roman"/>
        </w:rPr>
      </w:pPr>
      <w:r w:rsidRPr="007E69FF">
        <w:rPr>
          <w:rFonts w:ascii="Times New Roman" w:hAnsi="Times New Roman" w:cs="Times New Roman"/>
        </w:rPr>
        <w:t>Web: http://www.worldbank.org/infoshop</w:t>
      </w:r>
    </w:p>
    <w:sectPr w:rsidR="00726416" w:rsidRPr="007E69FF" w:rsidSect="00C256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97" w:rsidRDefault="002E7697" w:rsidP="005C6894">
      <w:pPr>
        <w:spacing w:after="0" w:line="240" w:lineRule="auto"/>
      </w:pPr>
      <w:r>
        <w:separator/>
      </w:r>
    </w:p>
  </w:endnote>
  <w:endnote w:type="continuationSeparator" w:id="0">
    <w:p w:rsidR="002E7697" w:rsidRDefault="002E7697" w:rsidP="005C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17276592"/>
      <w:docPartObj>
        <w:docPartGallery w:val="Page Numbers (Bottom of Page)"/>
        <w:docPartUnique/>
      </w:docPartObj>
    </w:sdtPr>
    <w:sdtEndPr>
      <w:rPr>
        <w:noProof/>
      </w:rPr>
    </w:sdtEndPr>
    <w:sdtContent>
      <w:p w:rsidR="00474A05" w:rsidRPr="005C6894" w:rsidRDefault="00474A05">
        <w:pPr>
          <w:pStyle w:val="Footer"/>
          <w:jc w:val="center"/>
          <w:rPr>
            <w:rFonts w:ascii="Times New Roman" w:hAnsi="Times New Roman" w:cs="Times New Roman"/>
          </w:rPr>
        </w:pPr>
        <w:r w:rsidRPr="005C6894">
          <w:rPr>
            <w:rFonts w:ascii="Times New Roman" w:hAnsi="Times New Roman" w:cs="Times New Roman"/>
          </w:rPr>
          <w:t xml:space="preserve">Page </w:t>
        </w:r>
        <w:r w:rsidR="00473BC0">
          <w:fldChar w:fldCharType="begin"/>
        </w:r>
        <w:r w:rsidR="00473BC0">
          <w:instrText xml:space="preserve"> PAGE   \* MERGEFORMAT </w:instrText>
        </w:r>
        <w:r w:rsidR="00473BC0">
          <w:fldChar w:fldCharType="separate"/>
        </w:r>
        <w:r w:rsidR="00E56693" w:rsidRPr="00E56693">
          <w:rPr>
            <w:rFonts w:ascii="Times New Roman" w:hAnsi="Times New Roman" w:cs="Times New Roman"/>
            <w:noProof/>
          </w:rPr>
          <w:t>9</w:t>
        </w:r>
        <w:r w:rsidR="00473BC0">
          <w:rPr>
            <w:rFonts w:ascii="Times New Roman" w:hAnsi="Times New Roman" w:cs="Times New Roman"/>
            <w:noProof/>
          </w:rPr>
          <w:fldChar w:fldCharType="end"/>
        </w:r>
        <w:r w:rsidRPr="005C6894">
          <w:rPr>
            <w:rFonts w:ascii="Times New Roman" w:hAnsi="Times New Roman" w:cs="Times New Roman"/>
            <w:noProof/>
          </w:rPr>
          <w:t xml:space="preserve"> of </w:t>
        </w:r>
        <w:r w:rsidR="009F4B71">
          <w:rPr>
            <w:rFonts w:ascii="Times New Roman" w:hAnsi="Times New Roman" w:cs="Times New Roman"/>
            <w:noProof/>
          </w:rPr>
          <w:t>7</w:t>
        </w:r>
      </w:p>
    </w:sdtContent>
  </w:sdt>
  <w:p w:rsidR="00474A05" w:rsidRDefault="00474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97" w:rsidRDefault="002E7697" w:rsidP="005C6894">
      <w:pPr>
        <w:spacing w:after="0" w:line="240" w:lineRule="auto"/>
      </w:pPr>
      <w:r>
        <w:separator/>
      </w:r>
    </w:p>
  </w:footnote>
  <w:footnote w:type="continuationSeparator" w:id="0">
    <w:p w:rsidR="002E7697" w:rsidRDefault="002E7697" w:rsidP="005C6894">
      <w:pPr>
        <w:spacing w:after="0" w:line="240" w:lineRule="auto"/>
      </w:pPr>
      <w:r>
        <w:continuationSeparator/>
      </w:r>
    </w:p>
  </w:footnote>
  <w:footnote w:id="1">
    <w:p w:rsidR="0076019A" w:rsidRDefault="0076019A" w:rsidP="0076019A">
      <w:pPr>
        <w:pStyle w:val="FootnoteText"/>
      </w:pPr>
      <w:r>
        <w:rPr>
          <w:rStyle w:val="FootnoteReference"/>
        </w:rPr>
        <w:footnoteRef/>
      </w:r>
      <w:r>
        <w:t xml:space="preserve"> Michelle </w:t>
      </w:r>
      <w:proofErr w:type="spellStart"/>
      <w:r>
        <w:t>Bachelet</w:t>
      </w:r>
      <w:proofErr w:type="spellEnd"/>
      <w:r>
        <w:t xml:space="preserve"> held the President’s office from 2006-2010 as Chile’s first woman President</w:t>
      </w:r>
    </w:p>
  </w:footnote>
  <w:footnote w:id="2">
    <w:p w:rsidR="0076019A" w:rsidRDefault="0076019A" w:rsidP="0076019A">
      <w:pPr>
        <w:pStyle w:val="FootnoteText"/>
      </w:pPr>
      <w:r>
        <w:rPr>
          <w:rStyle w:val="FootnoteReference"/>
        </w:rPr>
        <w:footnoteRef/>
      </w:r>
      <w:r>
        <w:t xml:space="preserve"> As stated in the MRP prepared by Chile</w:t>
      </w:r>
    </w:p>
  </w:footnote>
  <w:footnote w:id="3">
    <w:p w:rsidR="00B619A2" w:rsidRDefault="00B619A2" w:rsidP="00B619A2">
      <w:pPr>
        <w:pStyle w:val="FootnoteText"/>
      </w:pPr>
      <w:r>
        <w:rPr>
          <w:rStyle w:val="FootnoteReference"/>
        </w:rPr>
        <w:footnoteRef/>
      </w:r>
      <w:r>
        <w:t xml:space="preserve"> </w:t>
      </w:r>
      <w:r w:rsidRPr="00744533">
        <w:t xml:space="preserve">President Michelle </w:t>
      </w:r>
      <w:proofErr w:type="spellStart"/>
      <w:r w:rsidRPr="00744533">
        <w:t>Bachelet</w:t>
      </w:r>
      <w:proofErr w:type="spellEnd"/>
      <w:r w:rsidRPr="00744533">
        <w:t>, installed in March 2014</w:t>
      </w:r>
    </w:p>
  </w:footnote>
  <w:footnote w:id="4">
    <w:p w:rsidR="0076019A" w:rsidRDefault="0076019A" w:rsidP="0076019A">
      <w:pPr>
        <w:pStyle w:val="FootnoteText"/>
      </w:pPr>
      <w:r>
        <w:rPr>
          <w:rStyle w:val="FootnoteReference"/>
        </w:rPr>
        <w:footnoteRef/>
      </w:r>
      <w:r>
        <w:t xml:space="preserve"> More information is available on the PMR website </w:t>
      </w:r>
      <w:r w:rsidRPr="00192902">
        <w:rPr>
          <w:i/>
        </w:rPr>
        <w:t>www.thepmr.org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18"/>
    <w:multiLevelType w:val="hybridMultilevel"/>
    <w:tmpl w:val="2D1032FA"/>
    <w:lvl w:ilvl="0" w:tplc="CEB816DC">
      <w:start w:val="1"/>
      <w:numFmt w:val="decimal"/>
      <w:lvlText w:val="%1."/>
      <w:lvlJc w:val="left"/>
      <w:pPr>
        <w:tabs>
          <w:tab w:val="num" w:pos="360"/>
        </w:tabs>
        <w:ind w:left="0" w:firstLine="0"/>
      </w:pPr>
      <w:rPr>
        <w:b/>
      </w:rPr>
    </w:lvl>
    <w:lvl w:ilvl="1" w:tplc="32D8F732">
      <w:start w:val="1"/>
      <w:numFmt w:val="lowerLetter"/>
      <w:lvlText w:val="(%2)"/>
      <w:lvlJc w:val="left"/>
      <w:pPr>
        <w:tabs>
          <w:tab w:val="num" w:pos="720"/>
        </w:tabs>
        <w:ind w:left="1080" w:firstLine="0"/>
      </w:pPr>
      <w:rPr>
        <w:rFonts w:ascii="Times New Roman" w:eastAsiaTheme="minorHAnsi" w:hAnsi="Times New Roman" w:cs="Times New Roman"/>
      </w:rPr>
    </w:lvl>
    <w:lvl w:ilvl="2" w:tplc="73C4CA50">
      <w:start w:val="1"/>
      <w:numFmt w:val="lowerRoman"/>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D700A7A8">
      <w:start w:val="1"/>
      <w:numFmt w:val="lowerRoman"/>
      <w:lvlText w:val="%5)"/>
      <w:lvlJc w:val="left"/>
      <w:pPr>
        <w:tabs>
          <w:tab w:val="num" w:pos="3690"/>
        </w:tabs>
        <w:ind w:left="3690" w:hanging="360"/>
      </w:pPr>
      <w:rPr>
        <w:rFonts w:ascii="Times New Roman" w:eastAsia="Times New Roman" w:hAnsi="Times New Roman" w:cs="Times New Roman"/>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8F6F2D"/>
    <w:multiLevelType w:val="multilevel"/>
    <w:tmpl w:val="396AEA4E"/>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DSHeading2"/>
      <w:lvlText w:val="%2."/>
      <w:lvlJc w:val="left"/>
      <w:pPr>
        <w:tabs>
          <w:tab w:val="num" w:pos="360"/>
        </w:tabs>
        <w:ind w:left="0" w:firstLine="0"/>
      </w:pPr>
      <w:rPr>
        <w:rFonts w:hint="default"/>
      </w:rPr>
    </w:lvl>
    <w:lvl w:ilvl="2">
      <w:start w:val="1"/>
      <w:numFmt w:val="lowerLetter"/>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4A55D88"/>
    <w:multiLevelType w:val="hybridMultilevel"/>
    <w:tmpl w:val="3124B612"/>
    <w:lvl w:ilvl="0" w:tplc="63A8918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D1E65"/>
    <w:multiLevelType w:val="hybridMultilevel"/>
    <w:tmpl w:val="9E10510A"/>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3BF3931"/>
    <w:multiLevelType w:val="hybridMultilevel"/>
    <w:tmpl w:val="BA46A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A4AE9"/>
    <w:multiLevelType w:val="hybridMultilevel"/>
    <w:tmpl w:val="3EF00688"/>
    <w:lvl w:ilvl="0" w:tplc="0409001B">
      <w:start w:val="1"/>
      <w:numFmt w:val="lowerRoman"/>
      <w:lvlText w:val="%1."/>
      <w:lvlJc w:val="right"/>
      <w:pPr>
        <w:ind w:left="1267" w:hanging="360"/>
      </w:pPr>
      <w:rPr>
        <w:rFont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nsid w:val="24143B1E"/>
    <w:multiLevelType w:val="hybridMultilevel"/>
    <w:tmpl w:val="703E62C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nsid w:val="275223DF"/>
    <w:multiLevelType w:val="multilevel"/>
    <w:tmpl w:val="A07ADF52"/>
    <w:lvl w:ilvl="0">
      <w:start w:val="1"/>
      <w:numFmt w:val="upperRoman"/>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sz w:val="24"/>
      </w:rPr>
    </w:lvl>
    <w:lvl w:ilvl="2">
      <w:start w:val="1"/>
      <w:numFmt w:val="lowerLetter"/>
      <w:lvlText w:val="%3."/>
      <w:lvlJc w:val="left"/>
      <w:pPr>
        <w:ind w:left="1080" w:hanging="360"/>
      </w:pPr>
      <w:rPr>
        <w:rFonts w:hint="default"/>
      </w:rPr>
    </w:lvl>
    <w:lvl w:ilvl="3">
      <w:start w:val="1"/>
      <w:numFmt w:val="lowerRoman"/>
      <w:lvlText w:val="%4."/>
      <w:lvlJc w:val="righ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AE062AD"/>
    <w:multiLevelType w:val="hybridMultilevel"/>
    <w:tmpl w:val="131A2836"/>
    <w:lvl w:ilvl="0" w:tplc="1BEC9D26">
      <w:start w:val="1"/>
      <w:numFmt w:val="lowerRoman"/>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3DB75BCF"/>
    <w:multiLevelType w:val="hybridMultilevel"/>
    <w:tmpl w:val="AEEC03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FCA726D"/>
    <w:multiLevelType w:val="hybridMultilevel"/>
    <w:tmpl w:val="2CB0A1A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E75A78"/>
    <w:multiLevelType w:val="hybridMultilevel"/>
    <w:tmpl w:val="FCC8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213F0"/>
    <w:multiLevelType w:val="multilevel"/>
    <w:tmpl w:val="13448B4E"/>
    <w:lvl w:ilvl="0">
      <w:start w:val="1"/>
      <w:numFmt w:val="upperRoman"/>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sz w:val="24"/>
      </w:rPr>
    </w:lvl>
    <w:lvl w:ilvl="2">
      <w:start w:val="1"/>
      <w:numFmt w:val="lowerLetter"/>
      <w:lvlText w:val="%3."/>
      <w:lvlJc w:val="left"/>
      <w:pPr>
        <w:ind w:left="1080" w:hanging="360"/>
      </w:pPr>
      <w:rPr>
        <w:rFonts w:hint="default"/>
      </w:rPr>
    </w:lvl>
    <w:lvl w:ilvl="3">
      <w:start w:val="1"/>
      <w:numFmt w:val="lowerRoman"/>
      <w:lvlText w:val="%4."/>
      <w:lvlJc w:val="righ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8F071C1"/>
    <w:multiLevelType w:val="hybridMultilevel"/>
    <w:tmpl w:val="A9A47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C0A63"/>
    <w:multiLevelType w:val="hybridMultilevel"/>
    <w:tmpl w:val="2F38070A"/>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5F156A6E"/>
    <w:multiLevelType w:val="hybridMultilevel"/>
    <w:tmpl w:val="A86CA734"/>
    <w:lvl w:ilvl="0" w:tplc="4134E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880F15"/>
    <w:multiLevelType w:val="hybridMultilevel"/>
    <w:tmpl w:val="7E4CC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A7564"/>
    <w:multiLevelType w:val="hybridMultilevel"/>
    <w:tmpl w:val="9528A74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nsid w:val="6F5324FF"/>
    <w:multiLevelType w:val="hybridMultilevel"/>
    <w:tmpl w:val="89085CD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nsid w:val="6F8A5C9C"/>
    <w:multiLevelType w:val="hybridMultilevel"/>
    <w:tmpl w:val="38B2935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nsid w:val="771E1D72"/>
    <w:multiLevelType w:val="multilevel"/>
    <w:tmpl w:val="2EE6B8A4"/>
    <w:lvl w:ilvl="0">
      <w:start w:val="1"/>
      <w:numFmt w:val="upperRoman"/>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sz w:val="24"/>
      </w:rPr>
    </w:lvl>
    <w:lvl w:ilvl="2">
      <w:start w:val="1"/>
      <w:numFmt w:val="lowerLetter"/>
      <w:lvlText w:val="%3."/>
      <w:lvlJc w:val="left"/>
      <w:pPr>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20"/>
  </w:num>
  <w:num w:numId="7">
    <w:abstractNumId w:val="13"/>
  </w:num>
  <w:num w:numId="8">
    <w:abstractNumId w:val="0"/>
  </w:num>
  <w:num w:numId="9">
    <w:abstractNumId w:val="16"/>
  </w:num>
  <w:num w:numId="10">
    <w:abstractNumId w:val="9"/>
  </w:num>
  <w:num w:numId="11">
    <w:abstractNumId w:val="3"/>
  </w:num>
  <w:num w:numId="12">
    <w:abstractNumId w:val="10"/>
  </w:num>
  <w:num w:numId="13">
    <w:abstractNumId w:val="12"/>
  </w:num>
  <w:num w:numId="14">
    <w:abstractNumId w:val="7"/>
  </w:num>
  <w:num w:numId="15">
    <w:abstractNumId w:val="11"/>
  </w:num>
  <w:num w:numId="16">
    <w:abstractNumId w:val="17"/>
  </w:num>
  <w:num w:numId="17">
    <w:abstractNumId w:val="6"/>
  </w:num>
  <w:num w:numId="18">
    <w:abstractNumId w:val="18"/>
  </w:num>
  <w:num w:numId="19">
    <w:abstractNumId w:val="19"/>
  </w:num>
  <w:num w:numId="20">
    <w:abstractNumId w:val="14"/>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79"/>
    <w:rsid w:val="00007FE5"/>
    <w:rsid w:val="0001367E"/>
    <w:rsid w:val="00036770"/>
    <w:rsid w:val="00041BCA"/>
    <w:rsid w:val="0004614B"/>
    <w:rsid w:val="00051854"/>
    <w:rsid w:val="00073984"/>
    <w:rsid w:val="000748B0"/>
    <w:rsid w:val="00083EF2"/>
    <w:rsid w:val="000B2F86"/>
    <w:rsid w:val="000C2922"/>
    <w:rsid w:val="000C7FCC"/>
    <w:rsid w:val="000F2B2E"/>
    <w:rsid w:val="00106B3F"/>
    <w:rsid w:val="00137905"/>
    <w:rsid w:val="00140016"/>
    <w:rsid w:val="00154AB7"/>
    <w:rsid w:val="00164769"/>
    <w:rsid w:val="00173957"/>
    <w:rsid w:val="00186E94"/>
    <w:rsid w:val="001A1F71"/>
    <w:rsid w:val="001B4C68"/>
    <w:rsid w:val="001C3CFE"/>
    <w:rsid w:val="001D5B3F"/>
    <w:rsid w:val="00201473"/>
    <w:rsid w:val="00203BEC"/>
    <w:rsid w:val="002249EC"/>
    <w:rsid w:val="0025202A"/>
    <w:rsid w:val="002714E8"/>
    <w:rsid w:val="00281CD9"/>
    <w:rsid w:val="00296A2D"/>
    <w:rsid w:val="002A4363"/>
    <w:rsid w:val="002B21C9"/>
    <w:rsid w:val="002D00F0"/>
    <w:rsid w:val="002E59DF"/>
    <w:rsid w:val="002E7697"/>
    <w:rsid w:val="00333A91"/>
    <w:rsid w:val="00337598"/>
    <w:rsid w:val="00350138"/>
    <w:rsid w:val="00377E8F"/>
    <w:rsid w:val="00393935"/>
    <w:rsid w:val="003A3CC3"/>
    <w:rsid w:val="003C0832"/>
    <w:rsid w:val="003C2DFA"/>
    <w:rsid w:val="003C69C6"/>
    <w:rsid w:val="003E585B"/>
    <w:rsid w:val="003F23DF"/>
    <w:rsid w:val="00417F17"/>
    <w:rsid w:val="00422555"/>
    <w:rsid w:val="00425A8C"/>
    <w:rsid w:val="00432F0E"/>
    <w:rsid w:val="0043308A"/>
    <w:rsid w:val="00473BC0"/>
    <w:rsid w:val="00474A05"/>
    <w:rsid w:val="00477AB9"/>
    <w:rsid w:val="00490306"/>
    <w:rsid w:val="004A507B"/>
    <w:rsid w:val="004B0945"/>
    <w:rsid w:val="004C6932"/>
    <w:rsid w:val="004D63F3"/>
    <w:rsid w:val="004E1C1B"/>
    <w:rsid w:val="004E2939"/>
    <w:rsid w:val="00546AA5"/>
    <w:rsid w:val="00572807"/>
    <w:rsid w:val="00590261"/>
    <w:rsid w:val="005B5152"/>
    <w:rsid w:val="005B5F67"/>
    <w:rsid w:val="005C5437"/>
    <w:rsid w:val="005C6894"/>
    <w:rsid w:val="005F16F1"/>
    <w:rsid w:val="005F6A30"/>
    <w:rsid w:val="0061008D"/>
    <w:rsid w:val="00633490"/>
    <w:rsid w:val="00660E75"/>
    <w:rsid w:val="00663C44"/>
    <w:rsid w:val="00682042"/>
    <w:rsid w:val="0068496C"/>
    <w:rsid w:val="0069781A"/>
    <w:rsid w:val="006A2B47"/>
    <w:rsid w:val="006A7B10"/>
    <w:rsid w:val="006B7BCD"/>
    <w:rsid w:val="006D1C31"/>
    <w:rsid w:val="006D271B"/>
    <w:rsid w:val="006D4E9C"/>
    <w:rsid w:val="006D6F9C"/>
    <w:rsid w:val="006F0D3B"/>
    <w:rsid w:val="00710D39"/>
    <w:rsid w:val="00722865"/>
    <w:rsid w:val="00726416"/>
    <w:rsid w:val="007555EB"/>
    <w:rsid w:val="0076019A"/>
    <w:rsid w:val="007803E6"/>
    <w:rsid w:val="007A048D"/>
    <w:rsid w:val="007B49A8"/>
    <w:rsid w:val="007C5C30"/>
    <w:rsid w:val="007E69FF"/>
    <w:rsid w:val="00810ACF"/>
    <w:rsid w:val="00851200"/>
    <w:rsid w:val="00863B00"/>
    <w:rsid w:val="00867127"/>
    <w:rsid w:val="008A6FA1"/>
    <w:rsid w:val="008B588F"/>
    <w:rsid w:val="008C0FAB"/>
    <w:rsid w:val="008C5E3B"/>
    <w:rsid w:val="008E0149"/>
    <w:rsid w:val="00903CFE"/>
    <w:rsid w:val="00932F9B"/>
    <w:rsid w:val="00956C2B"/>
    <w:rsid w:val="0099122F"/>
    <w:rsid w:val="009A7845"/>
    <w:rsid w:val="009B6E6E"/>
    <w:rsid w:val="009C048C"/>
    <w:rsid w:val="009D3DF5"/>
    <w:rsid w:val="009E2D3E"/>
    <w:rsid w:val="009F19F8"/>
    <w:rsid w:val="009F4B71"/>
    <w:rsid w:val="00A21B7E"/>
    <w:rsid w:val="00A46114"/>
    <w:rsid w:val="00A511E3"/>
    <w:rsid w:val="00A6441B"/>
    <w:rsid w:val="00A85A1F"/>
    <w:rsid w:val="00AB6A94"/>
    <w:rsid w:val="00AC486F"/>
    <w:rsid w:val="00AE152E"/>
    <w:rsid w:val="00AF2267"/>
    <w:rsid w:val="00B05460"/>
    <w:rsid w:val="00B30535"/>
    <w:rsid w:val="00B56EA3"/>
    <w:rsid w:val="00B619A2"/>
    <w:rsid w:val="00B6248F"/>
    <w:rsid w:val="00B64D79"/>
    <w:rsid w:val="00B70D9E"/>
    <w:rsid w:val="00B74096"/>
    <w:rsid w:val="00B87625"/>
    <w:rsid w:val="00BB1E8F"/>
    <w:rsid w:val="00BD7176"/>
    <w:rsid w:val="00BE2FA4"/>
    <w:rsid w:val="00BF0C18"/>
    <w:rsid w:val="00BF204B"/>
    <w:rsid w:val="00C00D62"/>
    <w:rsid w:val="00C07649"/>
    <w:rsid w:val="00C07AF2"/>
    <w:rsid w:val="00C100DC"/>
    <w:rsid w:val="00C2038D"/>
    <w:rsid w:val="00C25612"/>
    <w:rsid w:val="00C33D8D"/>
    <w:rsid w:val="00C517E9"/>
    <w:rsid w:val="00C62EBC"/>
    <w:rsid w:val="00C661E3"/>
    <w:rsid w:val="00C9339D"/>
    <w:rsid w:val="00C93B20"/>
    <w:rsid w:val="00CB0A7C"/>
    <w:rsid w:val="00CB7BB4"/>
    <w:rsid w:val="00CC73CD"/>
    <w:rsid w:val="00CD23A4"/>
    <w:rsid w:val="00CD7E75"/>
    <w:rsid w:val="00CE1CF1"/>
    <w:rsid w:val="00CE79B7"/>
    <w:rsid w:val="00D07DFA"/>
    <w:rsid w:val="00D20E1F"/>
    <w:rsid w:val="00D226F2"/>
    <w:rsid w:val="00D35B9F"/>
    <w:rsid w:val="00D623CC"/>
    <w:rsid w:val="00D65909"/>
    <w:rsid w:val="00D85D00"/>
    <w:rsid w:val="00D94B28"/>
    <w:rsid w:val="00DA4FB5"/>
    <w:rsid w:val="00DB6573"/>
    <w:rsid w:val="00DC44E8"/>
    <w:rsid w:val="00DD6409"/>
    <w:rsid w:val="00DD7A36"/>
    <w:rsid w:val="00E07109"/>
    <w:rsid w:val="00E11B3C"/>
    <w:rsid w:val="00E13A4A"/>
    <w:rsid w:val="00E144AE"/>
    <w:rsid w:val="00E20886"/>
    <w:rsid w:val="00E21C4C"/>
    <w:rsid w:val="00E40DB4"/>
    <w:rsid w:val="00E52DD8"/>
    <w:rsid w:val="00E56693"/>
    <w:rsid w:val="00E56D2A"/>
    <w:rsid w:val="00E6082D"/>
    <w:rsid w:val="00E74641"/>
    <w:rsid w:val="00E91873"/>
    <w:rsid w:val="00EB4CBA"/>
    <w:rsid w:val="00EB6B9C"/>
    <w:rsid w:val="00EE6D55"/>
    <w:rsid w:val="00EF4BA3"/>
    <w:rsid w:val="00EF6F9C"/>
    <w:rsid w:val="00F15579"/>
    <w:rsid w:val="00F46527"/>
    <w:rsid w:val="00F61219"/>
    <w:rsid w:val="00F64D56"/>
    <w:rsid w:val="00F71C77"/>
    <w:rsid w:val="00FA23DE"/>
    <w:rsid w:val="00FC07F0"/>
    <w:rsid w:val="00FF5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EAE"/>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EAE"/>
    <w:rPr>
      <w:rFonts w:ascii="Lucida Grande" w:hAnsi="Lucida Grande"/>
      <w:sz w:val="18"/>
      <w:szCs w:val="18"/>
    </w:rPr>
  </w:style>
  <w:style w:type="paragraph" w:customStyle="1" w:styleId="Default">
    <w:name w:val="Default"/>
    <w:rsid w:val="00106B3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link w:val="ListParagraphChar"/>
    <w:qFormat/>
    <w:rsid w:val="004E1C1B"/>
    <w:pPr>
      <w:ind w:left="720"/>
      <w:contextualSpacing/>
    </w:pPr>
  </w:style>
  <w:style w:type="paragraph" w:customStyle="1" w:styleId="CM4">
    <w:name w:val="CM4"/>
    <w:basedOn w:val="Default"/>
    <w:next w:val="Default"/>
    <w:uiPriority w:val="99"/>
    <w:rsid w:val="00C33D8D"/>
    <w:rPr>
      <w:color w:val="auto"/>
    </w:rPr>
  </w:style>
  <w:style w:type="paragraph" w:customStyle="1" w:styleId="CM6">
    <w:name w:val="CM6"/>
    <w:basedOn w:val="Default"/>
    <w:next w:val="Default"/>
    <w:uiPriority w:val="99"/>
    <w:rsid w:val="00C33D8D"/>
    <w:rPr>
      <w:color w:val="auto"/>
    </w:rPr>
  </w:style>
  <w:style w:type="paragraph" w:customStyle="1" w:styleId="CM7">
    <w:name w:val="CM7"/>
    <w:basedOn w:val="Default"/>
    <w:next w:val="Default"/>
    <w:uiPriority w:val="99"/>
    <w:rsid w:val="009D3DF5"/>
    <w:rPr>
      <w:color w:val="auto"/>
    </w:rPr>
  </w:style>
  <w:style w:type="character" w:customStyle="1" w:styleId="ListParagraphChar">
    <w:name w:val="List Paragraph Char"/>
    <w:link w:val="ListParagraph"/>
    <w:locked/>
    <w:rsid w:val="009D3DF5"/>
  </w:style>
  <w:style w:type="table" w:styleId="TableGrid">
    <w:name w:val="Table Grid"/>
    <w:basedOn w:val="TableNormal"/>
    <w:uiPriority w:val="59"/>
    <w:rsid w:val="009D3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6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894"/>
  </w:style>
  <w:style w:type="paragraph" w:styleId="Footer">
    <w:name w:val="footer"/>
    <w:basedOn w:val="Normal"/>
    <w:link w:val="FooterChar"/>
    <w:uiPriority w:val="99"/>
    <w:unhideWhenUsed/>
    <w:rsid w:val="005C6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894"/>
  </w:style>
  <w:style w:type="paragraph" w:styleId="FootnoteText">
    <w:name w:val="footnote text"/>
    <w:aliases w:val="single space,footnote text,fn,FOOTNOTES,Footnote Text Char Char Char,Footnote Text Char Char,Fußnote,Footnote text,ft,ADB,ADB Char,single space Char Char,Footnote Text Char Char Char Char Char Char,Footnote Text Char1,Geneva 9"/>
    <w:basedOn w:val="Normal"/>
    <w:link w:val="FootnoteTextChar"/>
    <w:uiPriority w:val="99"/>
    <w:qFormat/>
    <w:rsid w:val="00CE1C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Footnote Text Char Char Char1,Fußnote Char,Footnote text Char,ft Char,ADB Char1,ADB Char Char,single space Char Char Char,Geneva 9 Char"/>
    <w:basedOn w:val="DefaultParagraphFont"/>
    <w:link w:val="FootnoteText"/>
    <w:uiPriority w:val="99"/>
    <w:rsid w:val="00CE1CF1"/>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Footnote Reference_LVL6,Footnote Reference_LVL61,Footnote Reference_LVL62,Footnote Reference_LVL63,Footnote Reference_LVL64,Знак сноски-FN, BVI fnr,footnote ref,Ref"/>
    <w:basedOn w:val="DefaultParagraphFont"/>
    <w:uiPriority w:val="99"/>
    <w:rsid w:val="00CE1CF1"/>
    <w:rPr>
      <w:vertAlign w:val="superscript"/>
    </w:rPr>
  </w:style>
  <w:style w:type="paragraph" w:styleId="TOC3">
    <w:name w:val="toc 3"/>
    <w:basedOn w:val="Normal"/>
    <w:next w:val="Normal"/>
    <w:autoRedefine/>
    <w:semiHidden/>
    <w:rsid w:val="00164769"/>
    <w:pPr>
      <w:spacing w:after="0" w:line="240" w:lineRule="auto"/>
      <w:ind w:left="480"/>
    </w:pPr>
    <w:rPr>
      <w:rFonts w:ascii="Times New Roman" w:eastAsia="Times New Roman" w:hAnsi="Times New Roman" w:cs="Times New Roman"/>
      <w:sz w:val="24"/>
      <w:szCs w:val="24"/>
    </w:rPr>
  </w:style>
  <w:style w:type="paragraph" w:customStyle="1" w:styleId="PDSHeading2">
    <w:name w:val="PDS Heading 2"/>
    <w:next w:val="Normal"/>
    <w:link w:val="PDSHeading2Char"/>
    <w:rsid w:val="0076019A"/>
    <w:pPr>
      <w:keepNext/>
      <w:numPr>
        <w:ilvl w:val="1"/>
        <w:numId w:val="5"/>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76019A"/>
    <w:pPr>
      <w:keepNext/>
      <w:numPr>
        <w:numId w:val="5"/>
      </w:numPr>
      <w:spacing w:after="0" w:line="240" w:lineRule="auto"/>
      <w:outlineLvl w:val="0"/>
    </w:pPr>
    <w:rPr>
      <w:rFonts w:ascii="Times New Roman" w:eastAsia="Times New Roman" w:hAnsi="Times New Roman" w:cs="Times New Roman"/>
      <w:b/>
      <w:caps/>
      <w:sz w:val="24"/>
      <w:szCs w:val="20"/>
    </w:rPr>
  </w:style>
  <w:style w:type="character" w:customStyle="1" w:styleId="PDSHeading2Char">
    <w:name w:val="PDS Heading 2 Char"/>
    <w:basedOn w:val="DefaultParagraphFont"/>
    <w:link w:val="PDSHeading2"/>
    <w:rsid w:val="0076019A"/>
    <w:rPr>
      <w:rFonts w:ascii="Times New Roman" w:eastAsia="Times New Roman" w:hAnsi="Times New Roman" w:cs="Times New Roman"/>
      <w:b/>
      <w:sz w:val="24"/>
      <w:szCs w:val="20"/>
    </w:rPr>
  </w:style>
  <w:style w:type="paragraph" w:customStyle="1" w:styleId="Text">
    <w:name w:val="Text"/>
    <w:basedOn w:val="Normal"/>
    <w:link w:val="TextChar"/>
    <w:uiPriority w:val="99"/>
    <w:qFormat/>
    <w:rsid w:val="0076019A"/>
    <w:pPr>
      <w:widowControl w:val="0"/>
      <w:autoSpaceDE w:val="0"/>
      <w:autoSpaceDN w:val="0"/>
      <w:adjustRightInd w:val="0"/>
      <w:spacing w:after="240" w:line="264" w:lineRule="exact"/>
      <w:ind w:left="10" w:right="22" w:hanging="10"/>
      <w:contextualSpacing/>
    </w:pPr>
    <w:rPr>
      <w:rFonts w:ascii="Times New Roman" w:eastAsiaTheme="minorEastAsia" w:hAnsi="Times New Roman" w:cs="Times New Roman"/>
      <w:color w:val="000000" w:themeColor="text1"/>
    </w:rPr>
  </w:style>
  <w:style w:type="character" w:customStyle="1" w:styleId="TextChar">
    <w:name w:val="Text Char"/>
    <w:basedOn w:val="DefaultParagraphFont"/>
    <w:link w:val="Text"/>
    <w:uiPriority w:val="99"/>
    <w:rsid w:val="0076019A"/>
    <w:rPr>
      <w:rFonts w:ascii="Times New Roman" w:eastAsiaTheme="minorEastAsia" w:hAnsi="Times New Roman" w:cs="Times New Roman"/>
      <w:color w:val="000000" w:themeColor="text1"/>
    </w:rPr>
  </w:style>
  <w:style w:type="paragraph" w:styleId="NoSpacing">
    <w:name w:val="No Spacing"/>
    <w:basedOn w:val="Normal"/>
    <w:link w:val="NoSpacingChar"/>
    <w:uiPriority w:val="1"/>
    <w:qFormat/>
    <w:rsid w:val="00BF0C18"/>
    <w:pPr>
      <w:spacing w:after="0" w:line="240" w:lineRule="auto"/>
    </w:pPr>
    <w:rPr>
      <w:rFonts w:ascii="Cambria" w:eastAsia="Calibri" w:hAnsi="Cambria" w:cs="Times New Roman"/>
      <w:lang w:bidi="en-US"/>
    </w:rPr>
  </w:style>
  <w:style w:type="character" w:customStyle="1" w:styleId="NoSpacingChar">
    <w:name w:val="No Spacing Char"/>
    <w:basedOn w:val="DefaultParagraphFont"/>
    <w:link w:val="NoSpacing"/>
    <w:uiPriority w:val="1"/>
    <w:rsid w:val="00BF0C18"/>
    <w:rPr>
      <w:rFonts w:ascii="Cambria" w:eastAsia="Calibri"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EAE"/>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EAE"/>
    <w:rPr>
      <w:rFonts w:ascii="Lucida Grande" w:hAnsi="Lucida Grande"/>
      <w:sz w:val="18"/>
      <w:szCs w:val="18"/>
    </w:rPr>
  </w:style>
  <w:style w:type="paragraph" w:customStyle="1" w:styleId="Default">
    <w:name w:val="Default"/>
    <w:rsid w:val="00106B3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link w:val="ListParagraphChar"/>
    <w:qFormat/>
    <w:rsid w:val="004E1C1B"/>
    <w:pPr>
      <w:ind w:left="720"/>
      <w:contextualSpacing/>
    </w:pPr>
  </w:style>
  <w:style w:type="paragraph" w:customStyle="1" w:styleId="CM4">
    <w:name w:val="CM4"/>
    <w:basedOn w:val="Default"/>
    <w:next w:val="Default"/>
    <w:uiPriority w:val="99"/>
    <w:rsid w:val="00C33D8D"/>
    <w:rPr>
      <w:color w:val="auto"/>
    </w:rPr>
  </w:style>
  <w:style w:type="paragraph" w:customStyle="1" w:styleId="CM6">
    <w:name w:val="CM6"/>
    <w:basedOn w:val="Default"/>
    <w:next w:val="Default"/>
    <w:uiPriority w:val="99"/>
    <w:rsid w:val="00C33D8D"/>
    <w:rPr>
      <w:color w:val="auto"/>
    </w:rPr>
  </w:style>
  <w:style w:type="paragraph" w:customStyle="1" w:styleId="CM7">
    <w:name w:val="CM7"/>
    <w:basedOn w:val="Default"/>
    <w:next w:val="Default"/>
    <w:uiPriority w:val="99"/>
    <w:rsid w:val="009D3DF5"/>
    <w:rPr>
      <w:color w:val="auto"/>
    </w:rPr>
  </w:style>
  <w:style w:type="character" w:customStyle="1" w:styleId="ListParagraphChar">
    <w:name w:val="List Paragraph Char"/>
    <w:link w:val="ListParagraph"/>
    <w:locked/>
    <w:rsid w:val="009D3DF5"/>
  </w:style>
  <w:style w:type="table" w:styleId="TableGrid">
    <w:name w:val="Table Grid"/>
    <w:basedOn w:val="TableNormal"/>
    <w:uiPriority w:val="59"/>
    <w:rsid w:val="009D3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6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894"/>
  </w:style>
  <w:style w:type="paragraph" w:styleId="Footer">
    <w:name w:val="footer"/>
    <w:basedOn w:val="Normal"/>
    <w:link w:val="FooterChar"/>
    <w:uiPriority w:val="99"/>
    <w:unhideWhenUsed/>
    <w:rsid w:val="005C6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894"/>
  </w:style>
  <w:style w:type="paragraph" w:styleId="FootnoteText">
    <w:name w:val="footnote text"/>
    <w:aliases w:val="single space,footnote text,fn,FOOTNOTES,Footnote Text Char Char Char,Footnote Text Char Char,Fußnote,Footnote text,ft,ADB,ADB Char,single space Char Char,Footnote Text Char Char Char Char Char Char,Footnote Text Char1,Geneva 9"/>
    <w:basedOn w:val="Normal"/>
    <w:link w:val="FootnoteTextChar"/>
    <w:uiPriority w:val="99"/>
    <w:qFormat/>
    <w:rsid w:val="00CE1C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Footnote Text Char Char Char1,Fußnote Char,Footnote text Char,ft Char,ADB Char1,ADB Char Char,single space Char Char Char,Geneva 9 Char"/>
    <w:basedOn w:val="DefaultParagraphFont"/>
    <w:link w:val="FootnoteText"/>
    <w:uiPriority w:val="99"/>
    <w:rsid w:val="00CE1CF1"/>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Footnote Reference_LVL6,Footnote Reference_LVL61,Footnote Reference_LVL62,Footnote Reference_LVL63,Footnote Reference_LVL64,Знак сноски-FN, BVI fnr,footnote ref,Ref"/>
    <w:basedOn w:val="DefaultParagraphFont"/>
    <w:uiPriority w:val="99"/>
    <w:rsid w:val="00CE1CF1"/>
    <w:rPr>
      <w:vertAlign w:val="superscript"/>
    </w:rPr>
  </w:style>
  <w:style w:type="paragraph" w:styleId="TOC3">
    <w:name w:val="toc 3"/>
    <w:basedOn w:val="Normal"/>
    <w:next w:val="Normal"/>
    <w:autoRedefine/>
    <w:semiHidden/>
    <w:rsid w:val="00164769"/>
    <w:pPr>
      <w:spacing w:after="0" w:line="240" w:lineRule="auto"/>
      <w:ind w:left="480"/>
    </w:pPr>
    <w:rPr>
      <w:rFonts w:ascii="Times New Roman" w:eastAsia="Times New Roman" w:hAnsi="Times New Roman" w:cs="Times New Roman"/>
      <w:sz w:val="24"/>
      <w:szCs w:val="24"/>
    </w:rPr>
  </w:style>
  <w:style w:type="paragraph" w:customStyle="1" w:styleId="PDSHeading2">
    <w:name w:val="PDS Heading 2"/>
    <w:next w:val="Normal"/>
    <w:link w:val="PDSHeading2Char"/>
    <w:rsid w:val="0076019A"/>
    <w:pPr>
      <w:keepNext/>
      <w:numPr>
        <w:ilvl w:val="1"/>
        <w:numId w:val="5"/>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76019A"/>
    <w:pPr>
      <w:keepNext/>
      <w:numPr>
        <w:numId w:val="5"/>
      </w:numPr>
      <w:spacing w:after="0" w:line="240" w:lineRule="auto"/>
      <w:outlineLvl w:val="0"/>
    </w:pPr>
    <w:rPr>
      <w:rFonts w:ascii="Times New Roman" w:eastAsia="Times New Roman" w:hAnsi="Times New Roman" w:cs="Times New Roman"/>
      <w:b/>
      <w:caps/>
      <w:sz w:val="24"/>
      <w:szCs w:val="20"/>
    </w:rPr>
  </w:style>
  <w:style w:type="character" w:customStyle="1" w:styleId="PDSHeading2Char">
    <w:name w:val="PDS Heading 2 Char"/>
    <w:basedOn w:val="DefaultParagraphFont"/>
    <w:link w:val="PDSHeading2"/>
    <w:rsid w:val="0076019A"/>
    <w:rPr>
      <w:rFonts w:ascii="Times New Roman" w:eastAsia="Times New Roman" w:hAnsi="Times New Roman" w:cs="Times New Roman"/>
      <w:b/>
      <w:sz w:val="24"/>
      <w:szCs w:val="20"/>
    </w:rPr>
  </w:style>
  <w:style w:type="paragraph" w:customStyle="1" w:styleId="Text">
    <w:name w:val="Text"/>
    <w:basedOn w:val="Normal"/>
    <w:link w:val="TextChar"/>
    <w:uiPriority w:val="99"/>
    <w:qFormat/>
    <w:rsid w:val="0076019A"/>
    <w:pPr>
      <w:widowControl w:val="0"/>
      <w:autoSpaceDE w:val="0"/>
      <w:autoSpaceDN w:val="0"/>
      <w:adjustRightInd w:val="0"/>
      <w:spacing w:after="240" w:line="264" w:lineRule="exact"/>
      <w:ind w:left="10" w:right="22" w:hanging="10"/>
      <w:contextualSpacing/>
    </w:pPr>
    <w:rPr>
      <w:rFonts w:ascii="Times New Roman" w:eastAsiaTheme="minorEastAsia" w:hAnsi="Times New Roman" w:cs="Times New Roman"/>
      <w:color w:val="000000" w:themeColor="text1"/>
    </w:rPr>
  </w:style>
  <w:style w:type="character" w:customStyle="1" w:styleId="TextChar">
    <w:name w:val="Text Char"/>
    <w:basedOn w:val="DefaultParagraphFont"/>
    <w:link w:val="Text"/>
    <w:uiPriority w:val="99"/>
    <w:rsid w:val="0076019A"/>
    <w:rPr>
      <w:rFonts w:ascii="Times New Roman" w:eastAsiaTheme="minorEastAsia" w:hAnsi="Times New Roman" w:cs="Times New Roman"/>
      <w:color w:val="000000" w:themeColor="text1"/>
    </w:rPr>
  </w:style>
  <w:style w:type="paragraph" w:styleId="NoSpacing">
    <w:name w:val="No Spacing"/>
    <w:basedOn w:val="Normal"/>
    <w:link w:val="NoSpacingChar"/>
    <w:uiPriority w:val="1"/>
    <w:qFormat/>
    <w:rsid w:val="00BF0C18"/>
    <w:pPr>
      <w:spacing w:after="0" w:line="240" w:lineRule="auto"/>
    </w:pPr>
    <w:rPr>
      <w:rFonts w:ascii="Cambria" w:eastAsia="Calibri" w:hAnsi="Cambria" w:cs="Times New Roman"/>
      <w:lang w:bidi="en-US"/>
    </w:rPr>
  </w:style>
  <w:style w:type="character" w:customStyle="1" w:styleId="NoSpacingChar">
    <w:name w:val="No Spacing Char"/>
    <w:basedOn w:val="DefaultParagraphFont"/>
    <w:link w:val="NoSpacing"/>
    <w:uiPriority w:val="1"/>
    <w:rsid w:val="00BF0C18"/>
    <w:rPr>
      <w:rFonts w:ascii="Cambria" w:eastAsia="Calibri"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953E-DBDB-40A9-8CBC-0379AF34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Polat</dc:creator>
  <cp:lastModifiedBy>Lina Janenaite</cp:lastModifiedBy>
  <cp:revision>8</cp:revision>
  <cp:lastPrinted>2014-05-19T18:26:00Z</cp:lastPrinted>
  <dcterms:created xsi:type="dcterms:W3CDTF">2014-05-01T22:00:00Z</dcterms:created>
  <dcterms:modified xsi:type="dcterms:W3CDTF">2014-05-19T18:27:00Z</dcterms:modified>
</cp:coreProperties>
</file>