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drawings/drawing6.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7.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2.xml" ContentType="application/vnd.openxmlformats-officedocument.themeOverride+xml"/>
  <Override PartName="/word/charts/chart21.xml" ContentType="application/vnd.openxmlformats-officedocument.drawingml.chart+xml"/>
  <Override PartName="/word/theme/themeOverride3.xml" ContentType="application/vnd.openxmlformats-officedocument.themeOverride+xml"/>
  <Override PartName="/word/charts/chart22.xml" ContentType="application/vnd.openxmlformats-officedocument.drawingml.chart+xml"/>
  <Override PartName="/word/theme/themeOverride4.xml" ContentType="application/vnd.openxmlformats-officedocument.themeOverride+xml"/>
  <Override PartName="/word/charts/chart23.xml" ContentType="application/vnd.openxmlformats-officedocument.drawingml.chart+xml"/>
  <Override PartName="/word/theme/themeOverride5.xml" ContentType="application/vnd.openxmlformats-officedocument.themeOverride+xml"/>
  <Override PartName="/word/charts/chart24.xml" ContentType="application/vnd.openxmlformats-officedocument.drawingml.chart+xml"/>
  <Override PartName="/word/theme/themeOverride6.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drawings/drawing8.xml" ContentType="application/vnd.openxmlformats-officedocument.drawingml.chartshapes+xml"/>
  <Override PartName="/word/charts/chart40.xml" ContentType="application/vnd.openxmlformats-officedocument.drawingml.chart+xml"/>
  <Override PartName="/word/drawings/drawing9.xml" ContentType="application/vnd.openxmlformats-officedocument.drawingml.chartshapes+xml"/>
  <Override PartName="/word/charts/chart41.xml" ContentType="application/vnd.openxmlformats-officedocument.drawingml.chart+xml"/>
  <Override PartName="/word/drawings/drawing10.xml" ContentType="application/vnd.openxmlformats-officedocument.drawingml.chartshapes+xml"/>
  <Override PartName="/word/charts/chart42.xml" ContentType="application/vnd.openxmlformats-officedocument.drawingml.chart+xml"/>
  <Override PartName="/word/drawings/drawing11.xml" ContentType="application/vnd.openxmlformats-officedocument.drawingml.chartshapes+xml"/>
  <Override PartName="/word/charts/chart43.xml" ContentType="application/vnd.openxmlformats-officedocument.drawingml.chart+xml"/>
  <Override PartName="/word/drawings/drawing12.xml" ContentType="application/vnd.openxmlformats-officedocument.drawingml.chartshapes+xml"/>
  <Override PartName="/word/charts/chart44.xml" ContentType="application/vnd.openxmlformats-officedocument.drawingml.chart+xml"/>
  <Override PartName="/word/drawings/drawing13.xml" ContentType="application/vnd.openxmlformats-officedocument.drawingml.chartshapes+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footer2.xml" ContentType="application/vnd.openxmlformats-officedocument.wordprocessingml.footer+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843B5" w14:textId="77777777" w:rsidR="00697ED7" w:rsidRDefault="00697ED7" w:rsidP="00D727BF">
      <w:pPr>
        <w:pStyle w:val="CoverOptionAReportandDate"/>
        <w:tabs>
          <w:tab w:val="left" w:pos="720"/>
        </w:tabs>
        <w:ind w:hanging="20"/>
        <w:rPr>
          <w:color w:val="139AF0" w:themeColor="background2"/>
        </w:rPr>
      </w:pPr>
      <w:r>
        <w:rPr>
          <w:noProof/>
        </w:rPr>
        <w:drawing>
          <wp:anchor distT="0" distB="0" distL="114300" distR="114300" simplePos="0" relativeHeight="251659264" behindDoc="0" locked="0" layoutInCell="1" allowOverlap="1" wp14:anchorId="152E7D1B" wp14:editId="33823FD0">
            <wp:simplePos x="0" y="0"/>
            <wp:positionH relativeFrom="column">
              <wp:posOffset>3637915</wp:posOffset>
            </wp:positionH>
            <wp:positionV relativeFrom="paragraph">
              <wp:posOffset>156845</wp:posOffset>
            </wp:positionV>
            <wp:extent cx="2346960" cy="13284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WBG-vertical-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6960" cy="1328420"/>
                    </a:xfrm>
                    <a:prstGeom prst="rect">
                      <a:avLst/>
                    </a:prstGeom>
                  </pic:spPr>
                </pic:pic>
              </a:graphicData>
            </a:graphic>
            <wp14:sizeRelH relativeFrom="page">
              <wp14:pctWidth>0</wp14:pctWidth>
            </wp14:sizeRelH>
            <wp14:sizeRelV relativeFrom="page">
              <wp14:pctHeight>0</wp14:pctHeight>
            </wp14:sizeRelV>
          </wp:anchor>
        </w:drawing>
      </w:r>
    </w:p>
    <w:p w14:paraId="516CE4E6" w14:textId="77777777" w:rsidR="00697ED7" w:rsidRDefault="00697ED7" w:rsidP="00D727BF">
      <w:pPr>
        <w:pStyle w:val="CoverOptionAReportandDate"/>
        <w:tabs>
          <w:tab w:val="left" w:pos="720"/>
        </w:tabs>
        <w:ind w:hanging="20"/>
        <w:rPr>
          <w:b/>
        </w:rPr>
      </w:pPr>
    </w:p>
    <w:p w14:paraId="6F2E307C" w14:textId="77777777" w:rsidR="00697ED7" w:rsidRDefault="00697ED7" w:rsidP="00D727BF">
      <w:pPr>
        <w:pStyle w:val="CoverOptionAReportandDate"/>
        <w:tabs>
          <w:tab w:val="left" w:pos="720"/>
        </w:tabs>
        <w:ind w:hanging="20"/>
      </w:pPr>
    </w:p>
    <w:p w14:paraId="65FA920A" w14:textId="229F5717" w:rsidR="000726D7" w:rsidRPr="00697ED7" w:rsidRDefault="000726D7" w:rsidP="00D727BF">
      <w:pPr>
        <w:pStyle w:val="CoverOptionAReportandDate"/>
        <w:tabs>
          <w:tab w:val="left" w:pos="720"/>
        </w:tabs>
        <w:ind w:hanging="20"/>
        <w:rPr>
          <w:color w:val="139AF0" w:themeColor="background2"/>
        </w:rPr>
      </w:pPr>
      <w:r w:rsidRPr="00697ED7">
        <w:rPr>
          <w:color w:val="139AF0" w:themeColor="background2"/>
        </w:rPr>
        <w:t>TRADE &amp; COMPETITIVENESS PRACTICE</w:t>
      </w:r>
    </w:p>
    <w:p w14:paraId="5A06E794" w14:textId="61E4D3D4" w:rsidR="00697ED7" w:rsidRDefault="00697ED7" w:rsidP="00D727BF">
      <w:pPr>
        <w:pStyle w:val="CoverOptionAReportandDate"/>
        <w:tabs>
          <w:tab w:val="left" w:pos="720"/>
        </w:tabs>
        <w:ind w:hanging="20"/>
      </w:pPr>
    </w:p>
    <w:p w14:paraId="55EEED35" w14:textId="77777777" w:rsidR="00697ED7" w:rsidRDefault="00697ED7" w:rsidP="00D727BF">
      <w:pPr>
        <w:pStyle w:val="CoverOptionAReportandDate"/>
        <w:tabs>
          <w:tab w:val="left" w:pos="720"/>
        </w:tabs>
        <w:ind w:hanging="20"/>
      </w:pPr>
    </w:p>
    <w:p w14:paraId="4A0EFF4B" w14:textId="77777777" w:rsidR="00697ED7" w:rsidRDefault="00697ED7" w:rsidP="00D727BF">
      <w:pPr>
        <w:pStyle w:val="CoverOptionAReportandDate"/>
        <w:tabs>
          <w:tab w:val="left" w:pos="720"/>
        </w:tabs>
        <w:ind w:hanging="20"/>
      </w:pPr>
    </w:p>
    <w:p w14:paraId="3C64AF72" w14:textId="77777777" w:rsidR="00697ED7" w:rsidRDefault="00697ED7" w:rsidP="00D727BF">
      <w:pPr>
        <w:pStyle w:val="CoverOptionAReportandDate"/>
        <w:tabs>
          <w:tab w:val="left" w:pos="720"/>
        </w:tabs>
        <w:ind w:hanging="20"/>
      </w:pPr>
    </w:p>
    <w:p w14:paraId="7DAB8206" w14:textId="77777777" w:rsidR="00697ED7" w:rsidRDefault="00697ED7" w:rsidP="00D727BF">
      <w:pPr>
        <w:pStyle w:val="CoverOptionAReportandDate"/>
        <w:tabs>
          <w:tab w:val="left" w:pos="720"/>
        </w:tabs>
        <w:ind w:hanging="20"/>
      </w:pPr>
    </w:p>
    <w:p w14:paraId="37A829AD" w14:textId="77777777" w:rsidR="00697ED7" w:rsidRDefault="00697ED7" w:rsidP="00D727BF">
      <w:pPr>
        <w:pStyle w:val="CoverOptionAReportandDate"/>
        <w:tabs>
          <w:tab w:val="left" w:pos="720"/>
        </w:tabs>
        <w:ind w:hanging="20"/>
      </w:pPr>
    </w:p>
    <w:p w14:paraId="49539150" w14:textId="77777777" w:rsidR="00697ED7" w:rsidRDefault="00697ED7" w:rsidP="00D727BF">
      <w:pPr>
        <w:pStyle w:val="CoverOptionAReportandDate"/>
        <w:tabs>
          <w:tab w:val="left" w:pos="720"/>
        </w:tabs>
        <w:ind w:hanging="20"/>
      </w:pPr>
    </w:p>
    <w:p w14:paraId="37002A39" w14:textId="1DDC3E58" w:rsidR="000726D7" w:rsidRDefault="005C678B" w:rsidP="00D727BF">
      <w:pPr>
        <w:pStyle w:val="CoverOptionAReportandDate"/>
        <w:tabs>
          <w:tab w:val="left" w:pos="720"/>
        </w:tabs>
        <w:ind w:right="-720" w:hanging="20"/>
        <w:jc w:val="center"/>
        <w:rPr>
          <w:b/>
        </w:rPr>
      </w:pPr>
      <w:r>
        <w:rPr>
          <w:b/>
        </w:rPr>
        <w:t>AN ASSESSMENT OF THE INVESTMENT CLIMATE IN NIGERIA</w:t>
      </w:r>
    </w:p>
    <w:p w14:paraId="13D0E77E" w14:textId="6CDE2BEC" w:rsidR="00041A31" w:rsidRPr="00697ED7" w:rsidRDefault="000343E4" w:rsidP="00D727BF">
      <w:pPr>
        <w:pStyle w:val="CoverOptionAReportandDate"/>
        <w:tabs>
          <w:tab w:val="left" w:pos="720"/>
        </w:tabs>
        <w:ind w:right="-720" w:hanging="20"/>
        <w:jc w:val="center"/>
        <w:rPr>
          <w:b/>
        </w:rPr>
      </w:pPr>
      <w:r>
        <w:rPr>
          <w:b/>
        </w:rPr>
        <w:t>The Challenges of Nigeria</w:t>
      </w:r>
      <w:r w:rsidR="00863D16">
        <w:rPr>
          <w:b/>
        </w:rPr>
        <w:t>’</w:t>
      </w:r>
      <w:r>
        <w:rPr>
          <w:b/>
        </w:rPr>
        <w:t>s Private Sector</w:t>
      </w:r>
    </w:p>
    <w:p w14:paraId="25FA7E22" w14:textId="77777777" w:rsidR="00697ED7" w:rsidRDefault="00697ED7" w:rsidP="00D727BF">
      <w:pPr>
        <w:pStyle w:val="CoverOptionAReportandDate"/>
        <w:tabs>
          <w:tab w:val="left" w:pos="720"/>
        </w:tabs>
        <w:ind w:hanging="20"/>
      </w:pPr>
    </w:p>
    <w:p w14:paraId="15C5B08D" w14:textId="77777777" w:rsidR="00697ED7" w:rsidRDefault="00697ED7" w:rsidP="00D727BF">
      <w:pPr>
        <w:pStyle w:val="CoverOptionAReportandDate"/>
        <w:tabs>
          <w:tab w:val="left" w:pos="720"/>
        </w:tabs>
        <w:ind w:hanging="20"/>
      </w:pPr>
    </w:p>
    <w:p w14:paraId="06EB27E1" w14:textId="77777777" w:rsidR="00697ED7" w:rsidRDefault="00697ED7" w:rsidP="00D727BF">
      <w:pPr>
        <w:pStyle w:val="CoverOptionAReportandDate"/>
        <w:tabs>
          <w:tab w:val="left" w:pos="720"/>
        </w:tabs>
        <w:ind w:hanging="20"/>
      </w:pPr>
    </w:p>
    <w:p w14:paraId="634D9696" w14:textId="387FF1D9" w:rsidR="00204346" w:rsidRDefault="00204346" w:rsidP="00D727BF">
      <w:pPr>
        <w:pStyle w:val="CoverOptionAReportandDate"/>
        <w:tabs>
          <w:tab w:val="left" w:pos="720"/>
        </w:tabs>
        <w:ind w:hanging="20"/>
      </w:pPr>
    </w:p>
    <w:p w14:paraId="06659611" w14:textId="4EC2108B" w:rsidR="00697ED7" w:rsidRPr="005230BB" w:rsidRDefault="005230BB" w:rsidP="00D727BF">
      <w:pPr>
        <w:pStyle w:val="CoverOptionAReportandDate"/>
        <w:tabs>
          <w:tab w:val="left" w:pos="720"/>
        </w:tabs>
        <w:ind w:hanging="20"/>
      </w:pPr>
      <w:r w:rsidRPr="005230BB">
        <w:t>GTC07</w:t>
      </w:r>
    </w:p>
    <w:p w14:paraId="1BF2DAD6" w14:textId="0C062AC6" w:rsidR="005230BB" w:rsidRDefault="005230BB" w:rsidP="00D727BF">
      <w:pPr>
        <w:pStyle w:val="CoverOptionAReportandDate"/>
        <w:tabs>
          <w:tab w:val="left" w:pos="720"/>
        </w:tabs>
        <w:ind w:hanging="20"/>
      </w:pPr>
      <w:r w:rsidRPr="005230BB">
        <w:t>AFRICA</w:t>
      </w:r>
    </w:p>
    <w:p w14:paraId="1AF48B01" w14:textId="7FEBFD5C" w:rsidR="005230BB" w:rsidRDefault="005230BB" w:rsidP="00D727BF">
      <w:pPr>
        <w:pStyle w:val="CoverOptionAReportandDate"/>
        <w:tabs>
          <w:tab w:val="left" w:pos="720"/>
        </w:tabs>
        <w:ind w:hanging="20"/>
      </w:pPr>
    </w:p>
    <w:p w14:paraId="32856F52" w14:textId="1B63A956" w:rsidR="005230BB" w:rsidRPr="005230BB" w:rsidRDefault="005230BB" w:rsidP="00D727BF">
      <w:pPr>
        <w:pStyle w:val="CoverOptionAReportandDate"/>
        <w:tabs>
          <w:tab w:val="left" w:pos="720"/>
        </w:tabs>
        <w:ind w:hanging="20"/>
      </w:pPr>
      <w:r>
        <w:rPr>
          <w:noProof/>
        </w:rPr>
        <mc:AlternateContent>
          <mc:Choice Requires="wps">
            <w:drawing>
              <wp:anchor distT="0" distB="0" distL="114300" distR="114300" simplePos="0" relativeHeight="251660288" behindDoc="0" locked="0" layoutInCell="1" allowOverlap="1" wp14:anchorId="26D6E196" wp14:editId="32387384">
                <wp:simplePos x="0" y="0"/>
                <wp:positionH relativeFrom="column">
                  <wp:posOffset>3543300</wp:posOffset>
                </wp:positionH>
                <wp:positionV relativeFrom="paragraph">
                  <wp:posOffset>255270</wp:posOffset>
                </wp:positionV>
                <wp:extent cx="2562225" cy="2571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5622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DAA5C" w14:textId="53BD0EA9" w:rsidR="00A02DAA" w:rsidRPr="00697ED7" w:rsidRDefault="00A02DAA" w:rsidP="00697ED7">
                            <w:pPr>
                              <w:jc w:val="right"/>
                              <w:rPr>
                                <w:rFonts w:ascii="Andes" w:hAnsi="Andes"/>
                                <w:szCs w:val="24"/>
                              </w:rPr>
                            </w:pPr>
                            <w:r>
                              <w:rPr>
                                <w:rFonts w:ascii="Andes" w:hAnsi="Andes"/>
                                <w:szCs w:val="24"/>
                              </w:rPr>
                              <w:t>AUGUST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D6E196" id="_x0000_t202" coordsize="21600,21600" o:spt="202" path="m,l,21600r21600,l21600,xe">
                <v:stroke joinstyle="miter"/>
                <v:path gradientshapeok="t" o:connecttype="rect"/>
              </v:shapetype>
              <v:shape id="Text Box 1" o:spid="_x0000_s1026" type="#_x0000_t202" style="position:absolute;left:0;text-align:left;margin-left:279pt;margin-top:20.1pt;width:201.75pt;height:2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" fillcolor="white [3201]" stroked="f" strokeweight=".5pt">
                <v:textbox>
                  <w:txbxContent>
                    <w:p w14:paraId="62ADAA5C" w14:textId="53BD0EA9" w:rsidR="00A02DAA" w:rsidRPr="00697ED7" w:rsidRDefault="00A02DAA" w:rsidP="00697ED7">
                      <w:pPr>
                        <w:jc w:val="right"/>
                        <w:rPr>
                          <w:rFonts w:ascii="Andes" w:hAnsi="Andes"/>
                          <w:szCs w:val="24"/>
                        </w:rPr>
                      </w:pPr>
                      <w:r>
                        <w:rPr>
                          <w:rFonts w:ascii="Andes" w:hAnsi="Andes"/>
                          <w:szCs w:val="24"/>
                        </w:rPr>
                        <w:t>AUGUST 2016</w:t>
                      </w:r>
                    </w:p>
                  </w:txbxContent>
                </v:textbox>
              </v:shape>
            </w:pict>
          </mc:Fallback>
        </mc:AlternateContent>
      </w:r>
    </w:p>
    <w:p w14:paraId="24FA4547" w14:textId="7772B288" w:rsidR="00697ED7" w:rsidRDefault="00697ED7" w:rsidP="00D727BF">
      <w:pPr>
        <w:pStyle w:val="CoverOptionAReportandDate"/>
        <w:tabs>
          <w:tab w:val="left" w:pos="720"/>
        </w:tabs>
        <w:ind w:hanging="20"/>
        <w:rPr>
          <w:rFonts w:hAnsi="Andes"/>
          <w:szCs w:val="24"/>
        </w:rPr>
      </w:pPr>
      <w:r w:rsidRPr="005230BB">
        <w:rPr>
          <w:rFonts w:hAnsi="Andes"/>
        </w:rPr>
        <w:t xml:space="preserve">WORLD BANK REPORT </w:t>
      </w:r>
      <w:r w:rsidR="005230BB">
        <w:rPr>
          <w:rFonts w:hAnsi="Andes"/>
          <w:szCs w:val="24"/>
        </w:rPr>
        <w:t>NO</w:t>
      </w:r>
      <w:r w:rsidR="005230BB" w:rsidRPr="005230BB">
        <w:rPr>
          <w:rFonts w:hAnsi="Andes"/>
          <w:szCs w:val="24"/>
        </w:rPr>
        <w:t xml:space="preserve">: </w:t>
      </w:r>
      <w:bookmarkStart w:id="0" w:name="_GoBack"/>
      <w:r w:rsidR="005230BB" w:rsidRPr="005230BB">
        <w:rPr>
          <w:rFonts w:hAnsi="Andes"/>
          <w:szCs w:val="24"/>
        </w:rPr>
        <w:t>ACS15736</w:t>
      </w:r>
      <w:bookmarkEnd w:id="0"/>
    </w:p>
    <w:p w14:paraId="1D81ECC7" w14:textId="77777777" w:rsidR="005230BB" w:rsidRPr="005230BB" w:rsidRDefault="005230BB" w:rsidP="00D727BF">
      <w:pPr>
        <w:pStyle w:val="CoverOptionAReportandDate"/>
        <w:tabs>
          <w:tab w:val="left" w:pos="720"/>
        </w:tabs>
        <w:ind w:hanging="20"/>
        <w:rPr>
          <w:rFonts w:hAnsi="Andes"/>
        </w:rPr>
        <w:sectPr w:rsidR="005230BB" w:rsidRPr="005230BB" w:rsidSect="00C759C4">
          <w:footerReference w:type="default" r:id="rId12"/>
          <w:pgSz w:w="16983" w:h="15840"/>
          <w:pgMar w:top="1440" w:right="5463" w:bottom="1440" w:left="1440" w:header="720" w:footer="720" w:gutter="0"/>
          <w:pgNumType w:chapStyle="1"/>
          <w:cols w:space="720"/>
          <w:docGrid w:linePitch="360"/>
        </w:sectPr>
      </w:pPr>
    </w:p>
    <w:tbl>
      <w:tblPr>
        <w:tblW w:w="940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4A0" w:firstRow="1" w:lastRow="0" w:firstColumn="1" w:lastColumn="0" w:noHBand="0" w:noVBand="1"/>
      </w:tblPr>
      <w:tblGrid>
        <w:gridCol w:w="331"/>
        <w:gridCol w:w="9069"/>
      </w:tblGrid>
      <w:tr w:rsidR="005230BB" w14:paraId="485E9D4F" w14:textId="77777777" w:rsidTr="005230BB">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30E5DE20" w14:textId="77777777" w:rsidR="005230BB" w:rsidRDefault="005230BB" w:rsidP="00D727BF">
            <w:pPr>
              <w:tabs>
                <w:tab w:val="left" w:pos="720"/>
              </w:tabs>
              <w:spacing w:line="256" w:lineRule="auto"/>
              <w:rPr>
                <w:rFonts w:cs="Times New Roman"/>
                <w:szCs w:val="24"/>
              </w:rPr>
            </w:pPr>
          </w:p>
        </w:tc>
        <w:tc>
          <w:tcPr>
            <w:tcW w:w="9069" w:type="dxa"/>
            <w:tcBorders>
              <w:top w:val="nil"/>
              <w:left w:val="nil"/>
              <w:bottom w:val="nil"/>
              <w:right w:val="nil"/>
            </w:tcBorders>
            <w:shd w:val="clear" w:color="auto" w:fill="FFFFFF"/>
            <w:tcMar>
              <w:top w:w="50" w:type="dxa"/>
              <w:left w:w="50" w:type="dxa"/>
              <w:bottom w:w="50" w:type="dxa"/>
              <w:right w:w="50" w:type="dxa"/>
            </w:tcMar>
            <w:vAlign w:val="center"/>
            <w:hideMark/>
          </w:tcPr>
          <w:p w14:paraId="7D873DE6" w14:textId="77777777" w:rsidR="005230BB" w:rsidRDefault="005230BB" w:rsidP="00D727BF">
            <w:pPr>
              <w:tabs>
                <w:tab w:val="left" w:pos="720"/>
              </w:tabs>
              <w:spacing w:line="256" w:lineRule="auto"/>
              <w:rPr>
                <w:rFonts w:ascii="Arial" w:hAnsi="Arial" w:cs="Arial"/>
                <w:color w:val="245086"/>
                <w:sz w:val="18"/>
                <w:szCs w:val="18"/>
              </w:rPr>
            </w:pPr>
            <w:r>
              <w:rPr>
                <w:b/>
                <w:bCs/>
                <w:color w:val="245086"/>
                <w:sz w:val="18"/>
                <w:szCs w:val="18"/>
              </w:rPr>
              <w:t>Standard Disclaimer:</w:t>
            </w:r>
          </w:p>
        </w:tc>
      </w:tr>
      <w:tr w:rsidR="005230BB" w14:paraId="6EE9D817" w14:textId="77777777" w:rsidTr="005230BB">
        <w:tc>
          <w:tcPr>
            <w:tcW w:w="940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70C5CA2B" w14:textId="77777777" w:rsidR="005230BB" w:rsidRDefault="005230BB" w:rsidP="00D727BF">
            <w:pPr>
              <w:tabs>
                <w:tab w:val="left" w:pos="720"/>
              </w:tabs>
              <w:spacing w:line="256" w:lineRule="auto"/>
              <w:rPr>
                <w:rFonts w:ascii="Times" w:hAnsi="Times" w:cs="Times"/>
                <w:color w:val="FFFFFF"/>
                <w:sz w:val="20"/>
                <w:szCs w:val="20"/>
              </w:rPr>
            </w:pPr>
            <w:r>
              <w:rPr>
                <w:rFonts w:ascii="Times" w:hAnsi="Times" w:cs="Times"/>
                <w:color w:val="FFFFFF"/>
                <w:sz w:val="20"/>
                <w:szCs w:val="20"/>
              </w:rPr>
              <w:t>.</w:t>
            </w:r>
          </w:p>
        </w:tc>
      </w:tr>
      <w:tr w:rsidR="005230BB" w14:paraId="6524F226" w14:textId="77777777" w:rsidTr="005230BB">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1C13EFF5" w14:textId="77777777" w:rsidR="005230BB" w:rsidRDefault="005230BB" w:rsidP="00D727BF">
            <w:pPr>
              <w:tabs>
                <w:tab w:val="left" w:pos="720"/>
              </w:tabs>
              <w:spacing w:line="256" w:lineRule="auto"/>
              <w:rPr>
                <w:rFonts w:cs="Times New Roman"/>
                <w:szCs w:val="24"/>
              </w:rPr>
            </w:pPr>
          </w:p>
        </w:tc>
        <w:tc>
          <w:tcPr>
            <w:tcW w:w="9069" w:type="dxa"/>
            <w:tcBorders>
              <w:top w:val="nil"/>
              <w:left w:val="nil"/>
              <w:bottom w:val="nil"/>
              <w:right w:val="nil"/>
            </w:tcBorders>
            <w:shd w:val="clear" w:color="auto" w:fill="FFFFFF"/>
            <w:tcMar>
              <w:top w:w="50" w:type="dxa"/>
              <w:left w:w="50" w:type="dxa"/>
              <w:bottom w:w="50" w:type="dxa"/>
              <w:right w:w="50" w:type="dxa"/>
            </w:tcMar>
            <w:vAlign w:val="center"/>
            <w:hideMark/>
          </w:tcPr>
          <w:p w14:paraId="43E93862" w14:textId="6B44B76C" w:rsidR="005230BB" w:rsidRDefault="005230BB" w:rsidP="00D727BF">
            <w:pPr>
              <w:tabs>
                <w:tab w:val="left" w:pos="720"/>
              </w:tabs>
              <w:spacing w:line="256" w:lineRule="auto"/>
              <w:rPr>
                <w:rFonts w:ascii="Arial" w:hAnsi="Arial" w:cs="Arial"/>
                <w:color w:val="000000"/>
                <w:sz w:val="18"/>
                <w:szCs w:val="18"/>
              </w:rPr>
            </w:pPr>
            <w:r>
              <w:rPr>
                <w:sz w:val="18"/>
                <w:szCs w:val="18"/>
              </w:rPr>
              <w:t xml:space="preserve">This volume is a product of the staff of the International Bank for Reconstruction and Development/ </w:t>
            </w:r>
            <w:r w:rsidR="00B740D8">
              <w:rPr>
                <w:sz w:val="18"/>
                <w:szCs w:val="18"/>
              </w:rPr>
              <w:t>t</w:t>
            </w:r>
            <w:r>
              <w:rPr>
                <w:sz w:val="18"/>
                <w:szCs w:val="18"/>
              </w:rPr>
              <w:t xml:space="preserve">he World Bank. The findings, interpretations, and conclusions expressed in this paper do not necessarily reflect the views of the Executive Directors of </w:t>
            </w:r>
            <w:r w:rsidR="00B740D8">
              <w:rPr>
                <w:sz w:val="18"/>
                <w:szCs w:val="18"/>
              </w:rPr>
              <w:t>t</w:t>
            </w:r>
            <w:r>
              <w:rPr>
                <w:sz w:val="18"/>
                <w:szCs w:val="18"/>
              </w:rPr>
              <w:t xml:space="preserve">he World Bank or the governments they represent. The World Bank does not guarantee the accuracy of the data included in this work. The boundaries, colors, denominations, and other information shown on any map in this work do not imply any judgment on the part of </w:t>
            </w:r>
            <w:r w:rsidR="00B740D8">
              <w:rPr>
                <w:sz w:val="18"/>
                <w:szCs w:val="18"/>
              </w:rPr>
              <w:t>t</w:t>
            </w:r>
            <w:r>
              <w:rPr>
                <w:sz w:val="18"/>
                <w:szCs w:val="18"/>
              </w:rPr>
              <w:t>he World Bank concerning the legal status of any territory or the endorsement or acceptance of such boundaries.</w:t>
            </w:r>
          </w:p>
        </w:tc>
      </w:tr>
      <w:tr w:rsidR="005230BB" w14:paraId="71DF3936" w14:textId="77777777" w:rsidTr="005230BB">
        <w:tc>
          <w:tcPr>
            <w:tcW w:w="940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556A80E2" w14:textId="77777777" w:rsidR="005230BB" w:rsidRDefault="005230BB" w:rsidP="00D727BF">
            <w:pPr>
              <w:tabs>
                <w:tab w:val="left" w:pos="720"/>
              </w:tabs>
              <w:spacing w:line="256" w:lineRule="auto"/>
              <w:rPr>
                <w:rFonts w:ascii="Times" w:hAnsi="Times" w:cs="Times"/>
                <w:color w:val="FFFFFF"/>
                <w:sz w:val="20"/>
                <w:szCs w:val="20"/>
              </w:rPr>
            </w:pPr>
            <w:r>
              <w:rPr>
                <w:rFonts w:ascii="Times" w:hAnsi="Times" w:cs="Times"/>
                <w:color w:val="FFFFFF"/>
                <w:sz w:val="20"/>
                <w:szCs w:val="20"/>
              </w:rPr>
              <w:t>.</w:t>
            </w:r>
          </w:p>
        </w:tc>
      </w:tr>
      <w:tr w:rsidR="005230BB" w14:paraId="12F4CEA1" w14:textId="77777777" w:rsidTr="005230BB">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1BA2C807" w14:textId="77777777" w:rsidR="005230BB" w:rsidRDefault="005230BB" w:rsidP="00D727BF">
            <w:pPr>
              <w:tabs>
                <w:tab w:val="left" w:pos="720"/>
              </w:tabs>
              <w:spacing w:line="256" w:lineRule="auto"/>
              <w:rPr>
                <w:rFonts w:cs="Times New Roman"/>
                <w:szCs w:val="24"/>
              </w:rPr>
            </w:pPr>
          </w:p>
        </w:tc>
        <w:tc>
          <w:tcPr>
            <w:tcW w:w="9069" w:type="dxa"/>
            <w:tcBorders>
              <w:top w:val="nil"/>
              <w:left w:val="nil"/>
              <w:bottom w:val="nil"/>
              <w:right w:val="nil"/>
            </w:tcBorders>
            <w:shd w:val="clear" w:color="auto" w:fill="FFFFFF"/>
            <w:tcMar>
              <w:top w:w="50" w:type="dxa"/>
              <w:left w:w="50" w:type="dxa"/>
              <w:bottom w:w="50" w:type="dxa"/>
              <w:right w:w="50" w:type="dxa"/>
            </w:tcMar>
            <w:vAlign w:val="center"/>
            <w:hideMark/>
          </w:tcPr>
          <w:p w14:paraId="4EE06E50" w14:textId="77777777" w:rsidR="005230BB" w:rsidRDefault="005230BB" w:rsidP="00D727BF">
            <w:pPr>
              <w:tabs>
                <w:tab w:val="left" w:pos="720"/>
              </w:tabs>
              <w:spacing w:line="256" w:lineRule="auto"/>
              <w:rPr>
                <w:rFonts w:ascii="Arial" w:hAnsi="Arial" w:cs="Arial"/>
                <w:color w:val="245086"/>
                <w:sz w:val="18"/>
                <w:szCs w:val="18"/>
              </w:rPr>
            </w:pPr>
            <w:r>
              <w:rPr>
                <w:b/>
                <w:bCs/>
                <w:color w:val="245086"/>
                <w:sz w:val="18"/>
                <w:szCs w:val="18"/>
              </w:rPr>
              <w:t>Copyright Statement:</w:t>
            </w:r>
          </w:p>
        </w:tc>
      </w:tr>
      <w:tr w:rsidR="005230BB" w14:paraId="3EFC7CBB" w14:textId="77777777" w:rsidTr="005230BB">
        <w:tc>
          <w:tcPr>
            <w:tcW w:w="940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54A7A89D" w14:textId="77777777" w:rsidR="005230BB" w:rsidRDefault="005230BB" w:rsidP="00D727BF">
            <w:pPr>
              <w:tabs>
                <w:tab w:val="left" w:pos="720"/>
              </w:tabs>
              <w:spacing w:line="256" w:lineRule="auto"/>
              <w:rPr>
                <w:rFonts w:ascii="Times" w:hAnsi="Times" w:cs="Times"/>
                <w:color w:val="FFFFFF"/>
                <w:sz w:val="20"/>
                <w:szCs w:val="20"/>
              </w:rPr>
            </w:pPr>
            <w:r>
              <w:rPr>
                <w:rFonts w:ascii="Times" w:hAnsi="Times" w:cs="Times"/>
                <w:color w:val="FFFFFF"/>
                <w:sz w:val="20"/>
                <w:szCs w:val="20"/>
              </w:rPr>
              <w:t>.</w:t>
            </w:r>
          </w:p>
        </w:tc>
      </w:tr>
      <w:tr w:rsidR="005230BB" w14:paraId="658E5E5D" w14:textId="77777777" w:rsidTr="005230BB">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7749E8C6" w14:textId="77777777" w:rsidR="005230BB" w:rsidRDefault="005230BB" w:rsidP="00D727BF">
            <w:pPr>
              <w:tabs>
                <w:tab w:val="left" w:pos="720"/>
              </w:tabs>
              <w:spacing w:line="256" w:lineRule="auto"/>
              <w:rPr>
                <w:rFonts w:cs="Times New Roman"/>
                <w:szCs w:val="24"/>
              </w:rPr>
            </w:pPr>
          </w:p>
        </w:tc>
        <w:tc>
          <w:tcPr>
            <w:tcW w:w="9069" w:type="dxa"/>
            <w:tcBorders>
              <w:top w:val="nil"/>
              <w:left w:val="nil"/>
              <w:bottom w:val="nil"/>
              <w:right w:val="nil"/>
            </w:tcBorders>
            <w:shd w:val="clear" w:color="auto" w:fill="FFFFFF"/>
            <w:tcMar>
              <w:top w:w="50" w:type="dxa"/>
              <w:left w:w="50" w:type="dxa"/>
              <w:bottom w:w="50" w:type="dxa"/>
              <w:right w:w="50" w:type="dxa"/>
            </w:tcMar>
            <w:vAlign w:val="center"/>
          </w:tcPr>
          <w:p w14:paraId="6973E1C6" w14:textId="468F7E8F" w:rsidR="005230BB" w:rsidRDefault="005230BB" w:rsidP="00D727BF">
            <w:pPr>
              <w:tabs>
                <w:tab w:val="left" w:pos="720"/>
              </w:tabs>
              <w:spacing w:line="240" w:lineRule="atLeast"/>
              <w:rPr>
                <w:rFonts w:cs="Times New Roman"/>
                <w:color w:val="000000"/>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w:t>
            </w:r>
            <w:r w:rsidR="00B740D8">
              <w:rPr>
                <w:sz w:val="18"/>
                <w:szCs w:val="18"/>
              </w:rPr>
              <w:t>t</w:t>
            </w:r>
            <w:r>
              <w:rPr>
                <w:sz w:val="18"/>
                <w:szCs w:val="18"/>
              </w:rPr>
              <w:t>he World Bank encourages dissemination of its work and will normally grant permission to reproduce portions of the work promptly.</w:t>
            </w:r>
          </w:p>
          <w:p w14:paraId="031CBE1A" w14:textId="77777777" w:rsidR="005230BB" w:rsidRDefault="005230BB" w:rsidP="00D727BF">
            <w:pPr>
              <w:tabs>
                <w:tab w:val="left" w:pos="720"/>
              </w:tabs>
              <w:spacing w:line="240" w:lineRule="atLeast"/>
              <w:rPr>
                <w:rFonts w:cs="Times New Roman"/>
                <w:sz w:val="18"/>
                <w:szCs w:val="18"/>
              </w:rPr>
            </w:pPr>
            <w:r>
              <w:rPr>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3" w:history="1">
              <w:r>
                <w:rPr>
                  <w:rStyle w:val="Hyperlink"/>
                  <w:color w:val="000099"/>
                  <w:sz w:val="18"/>
                  <w:szCs w:val="18"/>
                </w:rPr>
                <w:t>http://www.copyright.com/.</w:t>
              </w:r>
            </w:hyperlink>
          </w:p>
          <w:p w14:paraId="5322CF75" w14:textId="0AFA4D75" w:rsidR="005230BB" w:rsidRDefault="005230BB" w:rsidP="00D727BF">
            <w:pPr>
              <w:tabs>
                <w:tab w:val="left" w:pos="720"/>
              </w:tabs>
              <w:spacing w:line="240" w:lineRule="atLeast"/>
              <w:rPr>
                <w:rFonts w:cs="Times New Roman"/>
                <w:sz w:val="18"/>
                <w:szCs w:val="18"/>
              </w:rPr>
            </w:pPr>
            <w:r>
              <w:rPr>
                <w:sz w:val="18"/>
                <w:szCs w:val="18"/>
              </w:rPr>
              <w:t>All other queries on rights and licenses, including subsidiary rights, should be addressed to the Office of the Publisher, The World Bank, 1818 H Street NW, Washington, DC 20433, USA, fax 202-522-2422, e-mail</w:t>
            </w:r>
            <w:r w:rsidR="005F06ED">
              <w:rPr>
                <w:sz w:val="18"/>
                <w:szCs w:val="18"/>
              </w:rPr>
              <w:t>:</w:t>
            </w:r>
            <w:r>
              <w:rPr>
                <w:sz w:val="18"/>
                <w:szCs w:val="18"/>
              </w:rPr>
              <w:t xml:space="preserve"> </w:t>
            </w:r>
            <w:hyperlink r:id="rId14" w:history="1">
              <w:r>
                <w:rPr>
                  <w:rStyle w:val="Hyperlink"/>
                  <w:color w:val="000099"/>
                  <w:sz w:val="18"/>
                  <w:szCs w:val="18"/>
                </w:rPr>
                <w:t>pubrights@worldbank.org.</w:t>
              </w:r>
            </w:hyperlink>
          </w:p>
          <w:p w14:paraId="797DAE23" w14:textId="77777777" w:rsidR="005230BB" w:rsidRDefault="005230BB" w:rsidP="00D727BF">
            <w:pPr>
              <w:tabs>
                <w:tab w:val="left" w:pos="720"/>
              </w:tabs>
              <w:spacing w:line="240" w:lineRule="atLeast"/>
              <w:rPr>
                <w:rFonts w:cs="Times New Roman"/>
                <w:sz w:val="18"/>
                <w:szCs w:val="18"/>
              </w:rPr>
            </w:pPr>
          </w:p>
        </w:tc>
      </w:tr>
    </w:tbl>
    <w:p w14:paraId="30408246" w14:textId="77777777" w:rsidR="00980BAD" w:rsidRDefault="00980BAD" w:rsidP="00D727BF">
      <w:pPr>
        <w:pStyle w:val="CoverOptionAReportandDate"/>
        <w:tabs>
          <w:tab w:val="left" w:pos="720"/>
        </w:tabs>
        <w:ind w:hanging="20"/>
        <w:sectPr w:rsidR="00980BAD" w:rsidSect="00697ED7">
          <w:pgSz w:w="16983" w:h="15840"/>
          <w:pgMar w:top="1440" w:right="6183" w:bottom="1440" w:left="1440" w:header="720" w:footer="720" w:gutter="0"/>
          <w:cols w:space="720"/>
          <w:docGrid w:linePitch="360"/>
        </w:sectPr>
      </w:pPr>
    </w:p>
    <w:p w14:paraId="168F62DE" w14:textId="20F7A337" w:rsidR="007E5D82" w:rsidRPr="001845F3" w:rsidRDefault="007E5D82" w:rsidP="00D727BF">
      <w:pPr>
        <w:tabs>
          <w:tab w:val="left" w:pos="720"/>
        </w:tabs>
        <w:rPr>
          <w:rFonts w:ascii="Times New Roman Bold" w:hAnsi="Times New Roman Bold"/>
          <w:b/>
          <w:color w:val="0550AE" w:themeColor="text1" w:themeTint="BF"/>
          <w:spacing w:val="30"/>
          <w:sz w:val="32"/>
          <w:szCs w:val="32"/>
        </w:rPr>
      </w:pPr>
      <w:bookmarkStart w:id="1" w:name="_Toc414533444"/>
      <w:r w:rsidRPr="001845F3">
        <w:rPr>
          <w:rFonts w:ascii="Times New Roman Bold" w:hAnsi="Times New Roman Bold"/>
          <w:b/>
          <w:color w:val="0550AE" w:themeColor="text1" w:themeTint="BF"/>
          <w:spacing w:val="30"/>
          <w:sz w:val="32"/>
          <w:szCs w:val="32"/>
        </w:rPr>
        <w:lastRenderedPageBreak/>
        <w:t>Table of Content</w:t>
      </w:r>
      <w:r w:rsidR="00B740D8">
        <w:rPr>
          <w:rFonts w:ascii="Times New Roman Bold" w:hAnsi="Times New Roman Bold"/>
          <w:b/>
          <w:color w:val="0550AE" w:themeColor="text1" w:themeTint="BF"/>
          <w:spacing w:val="30"/>
          <w:sz w:val="32"/>
          <w:szCs w:val="32"/>
        </w:rPr>
        <w:t>s</w:t>
      </w:r>
    </w:p>
    <w:p w14:paraId="6FDDA106" w14:textId="09F706AC" w:rsidR="0062726D" w:rsidRPr="006F6842" w:rsidRDefault="007E5D82" w:rsidP="00D727BF">
      <w:pPr>
        <w:pStyle w:val="TOC1"/>
        <w:tabs>
          <w:tab w:val="left" w:pos="720"/>
        </w:tabs>
        <w:rPr>
          <w:rFonts w:eastAsiaTheme="minorEastAsia"/>
          <w:sz w:val="20"/>
          <w:szCs w:val="20"/>
        </w:rPr>
      </w:pPr>
      <w:r w:rsidRPr="0062726D">
        <w:rPr>
          <w:szCs w:val="24"/>
        </w:rPr>
        <w:fldChar w:fldCharType="begin"/>
      </w:r>
      <w:r w:rsidRPr="0062726D">
        <w:rPr>
          <w:szCs w:val="24"/>
        </w:rPr>
        <w:instrText xml:space="preserve"> TOC \o "1-2" \h \z \u </w:instrText>
      </w:r>
      <w:r w:rsidRPr="0062726D">
        <w:rPr>
          <w:szCs w:val="24"/>
        </w:rPr>
        <w:fldChar w:fldCharType="separate"/>
      </w:r>
      <w:hyperlink w:anchor="_Toc445450262" w:history="1">
        <w:r w:rsidR="0062726D" w:rsidRPr="006F6842">
          <w:rPr>
            <w:rStyle w:val="Hyperlink"/>
            <w:sz w:val="20"/>
            <w:szCs w:val="20"/>
          </w:rPr>
          <w:t>Abbreviations and Acronyms</w:t>
        </w:r>
        <w:r w:rsidR="0062726D" w:rsidRPr="006F6842">
          <w:rPr>
            <w:webHidden/>
            <w:sz w:val="20"/>
            <w:szCs w:val="20"/>
          </w:rPr>
          <w:tab/>
        </w:r>
        <w:r w:rsidR="0062726D" w:rsidRPr="006F6842">
          <w:rPr>
            <w:webHidden/>
            <w:sz w:val="20"/>
            <w:szCs w:val="20"/>
          </w:rPr>
          <w:fldChar w:fldCharType="begin"/>
        </w:r>
        <w:r w:rsidR="0062726D" w:rsidRPr="006F6842">
          <w:rPr>
            <w:webHidden/>
            <w:sz w:val="20"/>
            <w:szCs w:val="20"/>
          </w:rPr>
          <w:instrText xml:space="preserve"> PAGEREF _Toc445450262 \h </w:instrText>
        </w:r>
        <w:r w:rsidR="0062726D" w:rsidRPr="006F6842">
          <w:rPr>
            <w:webHidden/>
            <w:sz w:val="20"/>
            <w:szCs w:val="20"/>
          </w:rPr>
        </w:r>
        <w:r w:rsidR="0062726D" w:rsidRPr="006F6842">
          <w:rPr>
            <w:webHidden/>
            <w:sz w:val="20"/>
            <w:szCs w:val="20"/>
          </w:rPr>
          <w:fldChar w:fldCharType="separate"/>
        </w:r>
        <w:r w:rsidR="008A3BBD" w:rsidRPr="006F6842">
          <w:rPr>
            <w:webHidden/>
            <w:sz w:val="20"/>
            <w:szCs w:val="20"/>
          </w:rPr>
          <w:t>10</w:t>
        </w:r>
        <w:r w:rsidR="0062726D" w:rsidRPr="006F6842">
          <w:rPr>
            <w:webHidden/>
            <w:sz w:val="20"/>
            <w:szCs w:val="20"/>
          </w:rPr>
          <w:fldChar w:fldCharType="end"/>
        </w:r>
      </w:hyperlink>
    </w:p>
    <w:p w14:paraId="24775393" w14:textId="64C7BC57" w:rsidR="0062726D" w:rsidRPr="006F6842" w:rsidRDefault="00B71057" w:rsidP="00D727BF">
      <w:pPr>
        <w:pStyle w:val="TOC1"/>
        <w:tabs>
          <w:tab w:val="left" w:pos="720"/>
        </w:tabs>
        <w:rPr>
          <w:rFonts w:eastAsiaTheme="minorEastAsia"/>
          <w:sz w:val="20"/>
          <w:szCs w:val="20"/>
        </w:rPr>
      </w:pPr>
      <w:hyperlink w:anchor="_Toc445450263" w:history="1">
        <w:r w:rsidR="0062726D" w:rsidRPr="006F6842">
          <w:rPr>
            <w:rStyle w:val="Hyperlink"/>
            <w:sz w:val="20"/>
            <w:szCs w:val="20"/>
          </w:rPr>
          <w:t>Acknowledgements</w:t>
        </w:r>
        <w:r w:rsidR="0062726D" w:rsidRPr="006F6842">
          <w:rPr>
            <w:webHidden/>
            <w:sz w:val="20"/>
            <w:szCs w:val="20"/>
          </w:rPr>
          <w:tab/>
        </w:r>
        <w:r w:rsidR="0062726D" w:rsidRPr="006F6842">
          <w:rPr>
            <w:webHidden/>
            <w:sz w:val="20"/>
            <w:szCs w:val="20"/>
          </w:rPr>
          <w:fldChar w:fldCharType="begin"/>
        </w:r>
        <w:r w:rsidR="0062726D" w:rsidRPr="006F6842">
          <w:rPr>
            <w:webHidden/>
            <w:sz w:val="20"/>
            <w:szCs w:val="20"/>
          </w:rPr>
          <w:instrText xml:space="preserve"> PAGEREF _Toc445450263 \h </w:instrText>
        </w:r>
        <w:r w:rsidR="0062726D" w:rsidRPr="006F6842">
          <w:rPr>
            <w:webHidden/>
            <w:sz w:val="20"/>
            <w:szCs w:val="20"/>
          </w:rPr>
        </w:r>
        <w:r w:rsidR="0062726D" w:rsidRPr="006F6842">
          <w:rPr>
            <w:webHidden/>
            <w:sz w:val="20"/>
            <w:szCs w:val="20"/>
          </w:rPr>
          <w:fldChar w:fldCharType="separate"/>
        </w:r>
        <w:r w:rsidR="008A3BBD" w:rsidRPr="006F6842">
          <w:rPr>
            <w:webHidden/>
            <w:sz w:val="20"/>
            <w:szCs w:val="20"/>
          </w:rPr>
          <w:t>12</w:t>
        </w:r>
        <w:r w:rsidR="0062726D" w:rsidRPr="006F6842">
          <w:rPr>
            <w:webHidden/>
            <w:sz w:val="20"/>
            <w:szCs w:val="20"/>
          </w:rPr>
          <w:fldChar w:fldCharType="end"/>
        </w:r>
      </w:hyperlink>
    </w:p>
    <w:p w14:paraId="10CDF390" w14:textId="5D9136DC" w:rsidR="0062726D" w:rsidRPr="006F6842" w:rsidRDefault="00B71057" w:rsidP="00D727BF">
      <w:pPr>
        <w:pStyle w:val="TOC1"/>
        <w:tabs>
          <w:tab w:val="left" w:pos="720"/>
        </w:tabs>
        <w:rPr>
          <w:rFonts w:eastAsiaTheme="minorEastAsia"/>
          <w:sz w:val="20"/>
          <w:szCs w:val="20"/>
        </w:rPr>
      </w:pPr>
      <w:hyperlink w:anchor="_Toc445450264" w:history="1">
        <w:r w:rsidR="0062726D" w:rsidRPr="006F6842">
          <w:rPr>
            <w:rStyle w:val="Hyperlink"/>
            <w:sz w:val="20"/>
            <w:szCs w:val="20"/>
          </w:rPr>
          <w:t>Executive Summary</w:t>
        </w:r>
        <w:r w:rsidR="0062726D" w:rsidRPr="006F6842">
          <w:rPr>
            <w:webHidden/>
            <w:sz w:val="20"/>
            <w:szCs w:val="20"/>
          </w:rPr>
          <w:tab/>
        </w:r>
        <w:r w:rsidR="0062726D" w:rsidRPr="006F6842">
          <w:rPr>
            <w:webHidden/>
            <w:sz w:val="20"/>
            <w:szCs w:val="20"/>
          </w:rPr>
          <w:fldChar w:fldCharType="begin"/>
        </w:r>
        <w:r w:rsidR="0062726D" w:rsidRPr="006F6842">
          <w:rPr>
            <w:webHidden/>
            <w:sz w:val="20"/>
            <w:szCs w:val="20"/>
          </w:rPr>
          <w:instrText xml:space="preserve"> PAGEREF _Toc445450264 \h </w:instrText>
        </w:r>
        <w:r w:rsidR="0062726D" w:rsidRPr="006F6842">
          <w:rPr>
            <w:webHidden/>
            <w:sz w:val="20"/>
            <w:szCs w:val="20"/>
          </w:rPr>
        </w:r>
        <w:r w:rsidR="0062726D" w:rsidRPr="006F6842">
          <w:rPr>
            <w:webHidden/>
            <w:sz w:val="20"/>
            <w:szCs w:val="20"/>
          </w:rPr>
          <w:fldChar w:fldCharType="separate"/>
        </w:r>
        <w:r w:rsidR="008A3BBD" w:rsidRPr="006F6842">
          <w:rPr>
            <w:webHidden/>
            <w:sz w:val="20"/>
            <w:szCs w:val="20"/>
          </w:rPr>
          <w:t>14</w:t>
        </w:r>
        <w:r w:rsidR="0062726D" w:rsidRPr="006F6842">
          <w:rPr>
            <w:webHidden/>
            <w:sz w:val="20"/>
            <w:szCs w:val="20"/>
          </w:rPr>
          <w:fldChar w:fldCharType="end"/>
        </w:r>
      </w:hyperlink>
    </w:p>
    <w:p w14:paraId="4805A7E4" w14:textId="508D3CE6" w:rsidR="0062726D" w:rsidRPr="006F6842" w:rsidRDefault="00F950E6" w:rsidP="00D727BF">
      <w:pPr>
        <w:pStyle w:val="TOC2"/>
        <w:rPr>
          <w:rFonts w:eastAsiaTheme="minorEastAsia"/>
          <w:sz w:val="20"/>
          <w:szCs w:val="20"/>
        </w:rPr>
      </w:pPr>
      <w:r w:rsidRPr="006F6842">
        <w:rPr>
          <w:sz w:val="20"/>
          <w:szCs w:val="20"/>
        </w:rPr>
        <w:t>1.</w:t>
      </w:r>
      <w:r w:rsidRPr="006F6842">
        <w:rPr>
          <w:sz w:val="20"/>
          <w:szCs w:val="20"/>
        </w:rPr>
        <w:tab/>
      </w:r>
      <w:hyperlink w:anchor="_Toc445450265" w:history="1">
        <w:r w:rsidR="0062726D" w:rsidRPr="006F6842">
          <w:rPr>
            <w:rStyle w:val="Hyperlink"/>
            <w:rFonts w:cs="Times New Roman"/>
            <w:noProof/>
            <w:sz w:val="20"/>
            <w:szCs w:val="20"/>
          </w:rPr>
          <w:t>Employment in Nigeria</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_Toc445450265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15</w:t>
        </w:r>
        <w:r w:rsidR="0062726D" w:rsidRPr="006F6842">
          <w:rPr>
            <w:noProof/>
            <w:webHidden/>
            <w:sz w:val="20"/>
            <w:szCs w:val="20"/>
          </w:rPr>
          <w:fldChar w:fldCharType="end"/>
        </w:r>
      </w:hyperlink>
    </w:p>
    <w:p w14:paraId="1C06A1BC" w14:textId="7EF0A91A" w:rsidR="0062726D" w:rsidRPr="006F6842" w:rsidRDefault="00F950E6">
      <w:pPr>
        <w:pStyle w:val="TOC2"/>
        <w:rPr>
          <w:rFonts w:eastAsiaTheme="minorEastAsia"/>
          <w:noProof/>
          <w:sz w:val="20"/>
          <w:szCs w:val="20"/>
        </w:rPr>
      </w:pPr>
      <w:r w:rsidRPr="006F6842">
        <w:rPr>
          <w:sz w:val="20"/>
          <w:szCs w:val="20"/>
        </w:rPr>
        <w:t>2.</w:t>
      </w:r>
      <w:r w:rsidRPr="006F6842">
        <w:rPr>
          <w:sz w:val="20"/>
          <w:szCs w:val="20"/>
        </w:rPr>
        <w:tab/>
      </w:r>
      <w:hyperlink w:anchor="_Toc445450266" w:history="1">
        <w:r w:rsidR="0062726D" w:rsidRPr="006F6842">
          <w:rPr>
            <w:rStyle w:val="Hyperlink"/>
            <w:rFonts w:cs="Times New Roman"/>
            <w:noProof/>
            <w:sz w:val="20"/>
            <w:szCs w:val="20"/>
          </w:rPr>
          <w:t xml:space="preserve">Constraints of the </w:t>
        </w:r>
        <w:r w:rsidR="00B740D8" w:rsidRPr="006F6842">
          <w:rPr>
            <w:rStyle w:val="Hyperlink"/>
            <w:rFonts w:cs="Times New Roman"/>
            <w:noProof/>
            <w:sz w:val="20"/>
            <w:szCs w:val="20"/>
          </w:rPr>
          <w:t>P</w:t>
        </w:r>
        <w:r w:rsidR="0062726D" w:rsidRPr="006F6842">
          <w:rPr>
            <w:rStyle w:val="Hyperlink"/>
            <w:rFonts w:cs="Times New Roman"/>
            <w:noProof/>
            <w:sz w:val="20"/>
            <w:szCs w:val="20"/>
          </w:rPr>
          <w:t xml:space="preserve">rivate </w:t>
        </w:r>
        <w:r w:rsidR="00B740D8" w:rsidRPr="006F6842">
          <w:rPr>
            <w:rStyle w:val="Hyperlink"/>
            <w:rFonts w:cs="Times New Roman"/>
            <w:noProof/>
            <w:sz w:val="20"/>
            <w:szCs w:val="20"/>
          </w:rPr>
          <w:t>S</w:t>
        </w:r>
        <w:r w:rsidR="0062726D" w:rsidRPr="006F6842">
          <w:rPr>
            <w:rStyle w:val="Hyperlink"/>
            <w:rFonts w:cs="Times New Roman"/>
            <w:noProof/>
            <w:sz w:val="20"/>
            <w:szCs w:val="20"/>
          </w:rPr>
          <w:t>ector</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_Toc445450266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19</w:t>
        </w:r>
        <w:r w:rsidR="0062726D" w:rsidRPr="006F6842">
          <w:rPr>
            <w:noProof/>
            <w:webHidden/>
            <w:sz w:val="20"/>
            <w:szCs w:val="20"/>
          </w:rPr>
          <w:fldChar w:fldCharType="end"/>
        </w:r>
      </w:hyperlink>
    </w:p>
    <w:p w14:paraId="45775CD9" w14:textId="0BFB1730" w:rsidR="0062726D" w:rsidRPr="006F6842" w:rsidRDefault="00F950E6">
      <w:pPr>
        <w:pStyle w:val="TOC2"/>
        <w:rPr>
          <w:rFonts w:eastAsiaTheme="minorEastAsia"/>
          <w:noProof/>
          <w:sz w:val="20"/>
          <w:szCs w:val="20"/>
        </w:rPr>
      </w:pPr>
      <w:r w:rsidRPr="006F6842">
        <w:rPr>
          <w:sz w:val="20"/>
          <w:szCs w:val="20"/>
        </w:rPr>
        <w:t>3.</w:t>
      </w:r>
      <w:r w:rsidRPr="006F6842">
        <w:rPr>
          <w:sz w:val="20"/>
          <w:szCs w:val="20"/>
        </w:rPr>
        <w:tab/>
      </w:r>
      <w:hyperlink w:anchor="_Toc445450267" w:history="1">
        <w:r w:rsidR="0062726D" w:rsidRPr="006F6842">
          <w:rPr>
            <w:rStyle w:val="Hyperlink"/>
            <w:rFonts w:cs="Times New Roman"/>
            <w:noProof/>
            <w:sz w:val="20"/>
            <w:szCs w:val="20"/>
          </w:rPr>
          <w:t>Conclusion</w:t>
        </w:r>
        <w:r w:rsidR="00C952D1" w:rsidRPr="006F6842">
          <w:rPr>
            <w:rStyle w:val="Hyperlink"/>
            <w:rFonts w:cs="Times New Roman"/>
            <w:noProof/>
            <w:sz w:val="20"/>
            <w:szCs w:val="20"/>
          </w:rPr>
          <w:t>s</w:t>
        </w:r>
        <w:r w:rsidR="0062726D" w:rsidRPr="006F6842">
          <w:rPr>
            <w:rStyle w:val="Hyperlink"/>
            <w:rFonts w:cs="Times New Roman"/>
            <w:noProof/>
            <w:sz w:val="20"/>
            <w:szCs w:val="20"/>
          </w:rPr>
          <w:t xml:space="preserve"> and Recommendations</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_Toc445450267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30</w:t>
        </w:r>
        <w:r w:rsidR="0062726D" w:rsidRPr="006F6842">
          <w:rPr>
            <w:noProof/>
            <w:webHidden/>
            <w:sz w:val="20"/>
            <w:szCs w:val="20"/>
          </w:rPr>
          <w:fldChar w:fldCharType="end"/>
        </w:r>
      </w:hyperlink>
    </w:p>
    <w:p w14:paraId="0F31C97A" w14:textId="3AB5344D" w:rsidR="0062726D" w:rsidRPr="006F6842" w:rsidRDefault="00B71057" w:rsidP="00D727BF">
      <w:pPr>
        <w:pStyle w:val="TOC1"/>
        <w:tabs>
          <w:tab w:val="left" w:pos="720"/>
        </w:tabs>
        <w:rPr>
          <w:rFonts w:eastAsiaTheme="minorEastAsia"/>
          <w:sz w:val="20"/>
          <w:szCs w:val="20"/>
        </w:rPr>
      </w:pPr>
      <w:hyperlink w:anchor="_Toc445450268" w:history="1">
        <w:r w:rsidR="0062726D" w:rsidRPr="006F6842">
          <w:rPr>
            <w:rStyle w:val="Hyperlink"/>
            <w:sz w:val="20"/>
            <w:szCs w:val="20"/>
          </w:rPr>
          <w:t>Chapter 1: Introduction</w:t>
        </w:r>
        <w:r w:rsidR="0062726D" w:rsidRPr="006F6842">
          <w:rPr>
            <w:webHidden/>
            <w:sz w:val="20"/>
            <w:szCs w:val="20"/>
          </w:rPr>
          <w:tab/>
        </w:r>
        <w:r w:rsidR="0062726D" w:rsidRPr="006F6842">
          <w:rPr>
            <w:webHidden/>
            <w:sz w:val="20"/>
            <w:szCs w:val="20"/>
          </w:rPr>
          <w:fldChar w:fldCharType="begin"/>
        </w:r>
        <w:r w:rsidR="0062726D" w:rsidRPr="006F6842">
          <w:rPr>
            <w:webHidden/>
            <w:sz w:val="20"/>
            <w:szCs w:val="20"/>
          </w:rPr>
          <w:instrText xml:space="preserve"> PAGEREF _Toc445450268 \h </w:instrText>
        </w:r>
        <w:r w:rsidR="0062726D" w:rsidRPr="006F6842">
          <w:rPr>
            <w:webHidden/>
            <w:sz w:val="20"/>
            <w:szCs w:val="20"/>
          </w:rPr>
        </w:r>
        <w:r w:rsidR="0062726D" w:rsidRPr="006F6842">
          <w:rPr>
            <w:webHidden/>
            <w:sz w:val="20"/>
            <w:szCs w:val="20"/>
          </w:rPr>
          <w:fldChar w:fldCharType="separate"/>
        </w:r>
        <w:r w:rsidR="008A3BBD" w:rsidRPr="006F6842">
          <w:rPr>
            <w:webHidden/>
            <w:sz w:val="20"/>
            <w:szCs w:val="20"/>
          </w:rPr>
          <w:t>32</w:t>
        </w:r>
        <w:r w:rsidR="0062726D" w:rsidRPr="006F6842">
          <w:rPr>
            <w:webHidden/>
            <w:sz w:val="20"/>
            <w:szCs w:val="20"/>
          </w:rPr>
          <w:fldChar w:fldCharType="end"/>
        </w:r>
      </w:hyperlink>
    </w:p>
    <w:p w14:paraId="040AFC3B" w14:textId="54A439B9" w:rsidR="0062726D" w:rsidRPr="006F6842" w:rsidRDefault="00B71057" w:rsidP="00D727BF">
      <w:pPr>
        <w:pStyle w:val="TOC2"/>
        <w:rPr>
          <w:rFonts w:eastAsiaTheme="minorEastAsia"/>
          <w:sz w:val="20"/>
          <w:szCs w:val="20"/>
        </w:rPr>
      </w:pPr>
      <w:hyperlink w:anchor="_Toc445450269" w:history="1">
        <w:r w:rsidR="0062726D" w:rsidRPr="006F6842">
          <w:rPr>
            <w:rStyle w:val="Hyperlink"/>
            <w:rFonts w:cs="Times New Roman"/>
            <w:noProof/>
            <w:sz w:val="20"/>
            <w:szCs w:val="20"/>
          </w:rPr>
          <w:t>1.</w:t>
        </w:r>
        <w:r w:rsidR="0062726D" w:rsidRPr="006F6842">
          <w:rPr>
            <w:rFonts w:eastAsiaTheme="minorEastAsia"/>
            <w:noProof/>
            <w:sz w:val="20"/>
            <w:szCs w:val="20"/>
          </w:rPr>
          <w:tab/>
        </w:r>
        <w:r w:rsidR="0062726D" w:rsidRPr="006F6842">
          <w:rPr>
            <w:rStyle w:val="Hyperlink"/>
            <w:rFonts w:cs="Times New Roman"/>
            <w:noProof/>
            <w:sz w:val="20"/>
            <w:szCs w:val="20"/>
          </w:rPr>
          <w:t>Objective</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_Toc445450269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32</w:t>
        </w:r>
        <w:r w:rsidR="0062726D" w:rsidRPr="006F6842">
          <w:rPr>
            <w:noProof/>
            <w:webHidden/>
            <w:sz w:val="20"/>
            <w:szCs w:val="20"/>
          </w:rPr>
          <w:fldChar w:fldCharType="end"/>
        </w:r>
      </w:hyperlink>
    </w:p>
    <w:p w14:paraId="347B0BAC" w14:textId="3B47608C" w:rsidR="0062726D" w:rsidRPr="006F6842" w:rsidRDefault="00B71057">
      <w:pPr>
        <w:pStyle w:val="TOC2"/>
        <w:rPr>
          <w:rFonts w:eastAsiaTheme="minorEastAsia"/>
          <w:noProof/>
          <w:sz w:val="20"/>
          <w:szCs w:val="20"/>
        </w:rPr>
      </w:pPr>
      <w:hyperlink w:anchor="_Toc445450270" w:history="1">
        <w:r w:rsidR="0062726D" w:rsidRPr="006F6842">
          <w:rPr>
            <w:rStyle w:val="Hyperlink"/>
            <w:rFonts w:cs="Times New Roman"/>
            <w:noProof/>
            <w:sz w:val="20"/>
            <w:szCs w:val="20"/>
          </w:rPr>
          <w:t>2.</w:t>
        </w:r>
        <w:r w:rsidR="0062726D" w:rsidRPr="006F6842">
          <w:rPr>
            <w:rFonts w:eastAsiaTheme="minorEastAsia"/>
            <w:noProof/>
            <w:sz w:val="20"/>
            <w:szCs w:val="20"/>
          </w:rPr>
          <w:tab/>
        </w:r>
        <w:r w:rsidR="0062726D" w:rsidRPr="006F6842">
          <w:rPr>
            <w:rStyle w:val="Hyperlink"/>
            <w:rFonts w:cs="Times New Roman"/>
            <w:noProof/>
            <w:sz w:val="20"/>
            <w:szCs w:val="20"/>
          </w:rPr>
          <w:t>Structure of the Report</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_Toc445450270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32</w:t>
        </w:r>
        <w:r w:rsidR="0062726D" w:rsidRPr="006F6842">
          <w:rPr>
            <w:noProof/>
            <w:webHidden/>
            <w:sz w:val="20"/>
            <w:szCs w:val="20"/>
          </w:rPr>
          <w:fldChar w:fldCharType="end"/>
        </w:r>
      </w:hyperlink>
    </w:p>
    <w:p w14:paraId="6F7B8DB6" w14:textId="3C4FBBBE" w:rsidR="0062726D" w:rsidRPr="006F6842" w:rsidRDefault="00B71057">
      <w:pPr>
        <w:pStyle w:val="TOC2"/>
        <w:rPr>
          <w:rFonts w:eastAsiaTheme="minorEastAsia"/>
          <w:noProof/>
          <w:sz w:val="20"/>
          <w:szCs w:val="20"/>
        </w:rPr>
      </w:pPr>
      <w:hyperlink w:anchor="_Toc445450271" w:history="1">
        <w:r w:rsidR="0062726D" w:rsidRPr="006F6842">
          <w:rPr>
            <w:rStyle w:val="Hyperlink"/>
            <w:rFonts w:cs="Times New Roman"/>
            <w:noProof/>
            <w:sz w:val="20"/>
            <w:szCs w:val="20"/>
          </w:rPr>
          <w:t>3.</w:t>
        </w:r>
        <w:r w:rsidR="0062726D" w:rsidRPr="006F6842">
          <w:rPr>
            <w:rFonts w:eastAsiaTheme="minorEastAsia"/>
            <w:noProof/>
            <w:sz w:val="20"/>
            <w:szCs w:val="20"/>
          </w:rPr>
          <w:tab/>
        </w:r>
        <w:r w:rsidR="0062726D" w:rsidRPr="006F6842">
          <w:rPr>
            <w:rStyle w:val="Hyperlink"/>
            <w:rFonts w:cs="Times New Roman"/>
            <w:noProof/>
            <w:sz w:val="20"/>
            <w:szCs w:val="20"/>
          </w:rPr>
          <w:t>Macroeconomic Context</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_Toc445450271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32</w:t>
        </w:r>
        <w:r w:rsidR="0062726D" w:rsidRPr="006F6842">
          <w:rPr>
            <w:noProof/>
            <w:webHidden/>
            <w:sz w:val="20"/>
            <w:szCs w:val="20"/>
          </w:rPr>
          <w:fldChar w:fldCharType="end"/>
        </w:r>
      </w:hyperlink>
    </w:p>
    <w:p w14:paraId="71F88337" w14:textId="59E23C8B" w:rsidR="0062726D" w:rsidRPr="006F6842" w:rsidRDefault="00B71057">
      <w:pPr>
        <w:pStyle w:val="TOC2"/>
        <w:rPr>
          <w:rFonts w:eastAsiaTheme="minorEastAsia"/>
          <w:noProof/>
          <w:sz w:val="20"/>
          <w:szCs w:val="20"/>
        </w:rPr>
      </w:pPr>
      <w:hyperlink w:anchor="_Toc445450272" w:history="1">
        <w:r w:rsidR="0062726D" w:rsidRPr="006F6842">
          <w:rPr>
            <w:rStyle w:val="Hyperlink"/>
            <w:rFonts w:cs="Times New Roman"/>
            <w:noProof/>
            <w:sz w:val="20"/>
            <w:szCs w:val="20"/>
          </w:rPr>
          <w:t>4.</w:t>
        </w:r>
        <w:r w:rsidR="0062726D" w:rsidRPr="006F6842">
          <w:rPr>
            <w:rFonts w:eastAsiaTheme="minorEastAsia"/>
            <w:noProof/>
            <w:sz w:val="20"/>
            <w:szCs w:val="20"/>
          </w:rPr>
          <w:tab/>
        </w:r>
        <w:r w:rsidR="0062726D" w:rsidRPr="006F6842">
          <w:rPr>
            <w:rStyle w:val="Hyperlink"/>
            <w:rFonts w:cs="Times New Roman"/>
            <w:noProof/>
            <w:sz w:val="20"/>
            <w:szCs w:val="20"/>
          </w:rPr>
          <w:t>Rationale for Report and Relevance to Government</w:t>
        </w:r>
        <w:r w:rsidR="00863D16" w:rsidRPr="006F6842">
          <w:rPr>
            <w:rStyle w:val="Hyperlink"/>
            <w:rFonts w:cs="Times New Roman"/>
            <w:noProof/>
            <w:sz w:val="20"/>
            <w:szCs w:val="20"/>
          </w:rPr>
          <w:t>’</w:t>
        </w:r>
        <w:r w:rsidR="0062726D" w:rsidRPr="006F6842">
          <w:rPr>
            <w:rStyle w:val="Hyperlink"/>
            <w:rFonts w:cs="Times New Roman"/>
            <w:noProof/>
            <w:sz w:val="20"/>
            <w:szCs w:val="20"/>
          </w:rPr>
          <w:t>s Priorities</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_Toc445450272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34</w:t>
        </w:r>
        <w:r w:rsidR="0062726D" w:rsidRPr="006F6842">
          <w:rPr>
            <w:noProof/>
            <w:webHidden/>
            <w:sz w:val="20"/>
            <w:szCs w:val="20"/>
          </w:rPr>
          <w:fldChar w:fldCharType="end"/>
        </w:r>
      </w:hyperlink>
    </w:p>
    <w:p w14:paraId="65CEB7CF" w14:textId="57397623" w:rsidR="0062726D" w:rsidRPr="006F6842" w:rsidRDefault="00B71057">
      <w:pPr>
        <w:pStyle w:val="TOC2"/>
        <w:rPr>
          <w:rFonts w:eastAsiaTheme="minorEastAsia"/>
          <w:noProof/>
          <w:sz w:val="20"/>
          <w:szCs w:val="20"/>
        </w:rPr>
      </w:pPr>
      <w:hyperlink w:anchor="_Toc445450273" w:history="1">
        <w:r w:rsidR="0062726D" w:rsidRPr="006F6842">
          <w:rPr>
            <w:rStyle w:val="Hyperlink"/>
            <w:rFonts w:cs="Times New Roman"/>
            <w:noProof/>
            <w:sz w:val="20"/>
            <w:szCs w:val="20"/>
          </w:rPr>
          <w:t>5.</w:t>
        </w:r>
        <w:r w:rsidR="0062726D" w:rsidRPr="006F6842">
          <w:rPr>
            <w:rFonts w:eastAsiaTheme="minorEastAsia"/>
            <w:noProof/>
            <w:sz w:val="20"/>
            <w:szCs w:val="20"/>
          </w:rPr>
          <w:tab/>
        </w:r>
        <w:r w:rsidR="0062726D" w:rsidRPr="006F6842">
          <w:rPr>
            <w:rStyle w:val="Hyperlink"/>
            <w:rFonts w:cs="Times New Roman"/>
            <w:noProof/>
            <w:sz w:val="20"/>
            <w:szCs w:val="20"/>
          </w:rPr>
          <w:t>Lessons Learned So Far</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_Toc445450273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37</w:t>
        </w:r>
        <w:r w:rsidR="0062726D" w:rsidRPr="006F6842">
          <w:rPr>
            <w:noProof/>
            <w:webHidden/>
            <w:sz w:val="20"/>
            <w:szCs w:val="20"/>
          </w:rPr>
          <w:fldChar w:fldCharType="end"/>
        </w:r>
      </w:hyperlink>
    </w:p>
    <w:p w14:paraId="466E7084" w14:textId="52760E28" w:rsidR="0062726D" w:rsidRPr="006F6842" w:rsidRDefault="00B71057">
      <w:pPr>
        <w:pStyle w:val="TOC2"/>
        <w:rPr>
          <w:rFonts w:eastAsiaTheme="minorEastAsia"/>
          <w:noProof/>
          <w:sz w:val="20"/>
          <w:szCs w:val="20"/>
        </w:rPr>
      </w:pPr>
      <w:hyperlink w:anchor="_Toc445450274" w:history="1">
        <w:r w:rsidR="0062726D" w:rsidRPr="006F6842">
          <w:rPr>
            <w:rStyle w:val="Hyperlink"/>
            <w:rFonts w:cs="Times New Roman"/>
            <w:noProof/>
            <w:sz w:val="20"/>
            <w:szCs w:val="20"/>
          </w:rPr>
          <w:t>6.</w:t>
        </w:r>
        <w:r w:rsidR="0062726D" w:rsidRPr="006F6842">
          <w:rPr>
            <w:rFonts w:eastAsiaTheme="minorEastAsia"/>
            <w:noProof/>
            <w:sz w:val="20"/>
            <w:szCs w:val="20"/>
          </w:rPr>
          <w:tab/>
        </w:r>
        <w:r w:rsidR="0062726D" w:rsidRPr="006F6842">
          <w:rPr>
            <w:rStyle w:val="Hyperlink"/>
            <w:rFonts w:cs="Times New Roman"/>
            <w:noProof/>
            <w:sz w:val="20"/>
            <w:szCs w:val="20"/>
          </w:rPr>
          <w:t>Scope, Methodology</w:t>
        </w:r>
        <w:r w:rsidR="00162782" w:rsidRPr="006F6842">
          <w:rPr>
            <w:rStyle w:val="Hyperlink"/>
            <w:rFonts w:cs="Times New Roman"/>
            <w:noProof/>
            <w:sz w:val="20"/>
            <w:szCs w:val="20"/>
          </w:rPr>
          <w:t>,</w:t>
        </w:r>
        <w:r w:rsidR="0062726D" w:rsidRPr="006F6842">
          <w:rPr>
            <w:rStyle w:val="Hyperlink"/>
            <w:rFonts w:cs="Times New Roman"/>
            <w:noProof/>
            <w:sz w:val="20"/>
            <w:szCs w:val="20"/>
          </w:rPr>
          <w:t xml:space="preserve"> and Data</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_Toc445450274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38</w:t>
        </w:r>
        <w:r w:rsidR="0062726D" w:rsidRPr="006F6842">
          <w:rPr>
            <w:noProof/>
            <w:webHidden/>
            <w:sz w:val="20"/>
            <w:szCs w:val="20"/>
          </w:rPr>
          <w:fldChar w:fldCharType="end"/>
        </w:r>
      </w:hyperlink>
    </w:p>
    <w:p w14:paraId="15DF5C83" w14:textId="1609EE86" w:rsidR="0062726D" w:rsidRPr="006F6842" w:rsidRDefault="00B71057" w:rsidP="00D727BF">
      <w:pPr>
        <w:pStyle w:val="TOC1"/>
        <w:tabs>
          <w:tab w:val="left" w:pos="720"/>
        </w:tabs>
        <w:rPr>
          <w:rFonts w:eastAsiaTheme="minorEastAsia"/>
          <w:sz w:val="20"/>
          <w:szCs w:val="20"/>
        </w:rPr>
      </w:pPr>
      <w:hyperlink w:anchor="_Toc445450275" w:history="1">
        <w:r w:rsidR="0062726D" w:rsidRPr="006F6842">
          <w:rPr>
            <w:rStyle w:val="Hyperlink"/>
            <w:sz w:val="20"/>
            <w:szCs w:val="20"/>
          </w:rPr>
          <w:t>Chapter 2: A Brief Overview of the Private Sector in Nigeria</w:t>
        </w:r>
        <w:r w:rsidR="0062726D" w:rsidRPr="006F6842">
          <w:rPr>
            <w:webHidden/>
            <w:sz w:val="20"/>
            <w:szCs w:val="20"/>
          </w:rPr>
          <w:tab/>
        </w:r>
        <w:r w:rsidR="0062726D" w:rsidRPr="006F6842">
          <w:rPr>
            <w:webHidden/>
            <w:sz w:val="20"/>
            <w:szCs w:val="20"/>
          </w:rPr>
          <w:fldChar w:fldCharType="begin"/>
        </w:r>
        <w:r w:rsidR="0062726D" w:rsidRPr="006F6842">
          <w:rPr>
            <w:webHidden/>
            <w:sz w:val="20"/>
            <w:szCs w:val="20"/>
          </w:rPr>
          <w:instrText xml:space="preserve"> PAGEREF _Toc445450275 \h </w:instrText>
        </w:r>
        <w:r w:rsidR="0062726D" w:rsidRPr="006F6842">
          <w:rPr>
            <w:webHidden/>
            <w:sz w:val="20"/>
            <w:szCs w:val="20"/>
          </w:rPr>
        </w:r>
        <w:r w:rsidR="0062726D" w:rsidRPr="006F6842">
          <w:rPr>
            <w:webHidden/>
            <w:sz w:val="20"/>
            <w:szCs w:val="20"/>
          </w:rPr>
          <w:fldChar w:fldCharType="separate"/>
        </w:r>
        <w:r w:rsidR="008A3BBD" w:rsidRPr="006F6842">
          <w:rPr>
            <w:webHidden/>
            <w:sz w:val="20"/>
            <w:szCs w:val="20"/>
          </w:rPr>
          <w:t>42</w:t>
        </w:r>
        <w:r w:rsidR="0062726D" w:rsidRPr="006F6842">
          <w:rPr>
            <w:webHidden/>
            <w:sz w:val="20"/>
            <w:szCs w:val="20"/>
          </w:rPr>
          <w:fldChar w:fldCharType="end"/>
        </w:r>
      </w:hyperlink>
    </w:p>
    <w:p w14:paraId="34ECB7ED" w14:textId="161043EE" w:rsidR="0062726D" w:rsidRPr="006F6842" w:rsidRDefault="00B71057" w:rsidP="00D727BF">
      <w:pPr>
        <w:pStyle w:val="TOC2"/>
        <w:rPr>
          <w:rFonts w:eastAsiaTheme="minorEastAsia"/>
          <w:sz w:val="20"/>
          <w:szCs w:val="20"/>
        </w:rPr>
      </w:pPr>
      <w:hyperlink w:anchor="_Toc445450276" w:history="1">
        <w:r w:rsidR="0062726D" w:rsidRPr="006F6842">
          <w:rPr>
            <w:rStyle w:val="Hyperlink"/>
            <w:rFonts w:cs="Times New Roman"/>
            <w:noProof/>
            <w:sz w:val="20"/>
            <w:szCs w:val="20"/>
          </w:rPr>
          <w:t>1.</w:t>
        </w:r>
        <w:r w:rsidR="0062726D" w:rsidRPr="006F6842">
          <w:rPr>
            <w:rFonts w:eastAsiaTheme="minorEastAsia"/>
            <w:noProof/>
            <w:sz w:val="20"/>
            <w:szCs w:val="20"/>
          </w:rPr>
          <w:tab/>
        </w:r>
        <w:r w:rsidR="0062726D" w:rsidRPr="006F6842">
          <w:rPr>
            <w:rStyle w:val="Hyperlink"/>
            <w:rFonts w:cs="Times New Roman"/>
            <w:noProof/>
            <w:sz w:val="20"/>
            <w:szCs w:val="20"/>
          </w:rPr>
          <w:t>Introduction</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_Toc445450276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42</w:t>
        </w:r>
        <w:r w:rsidR="0062726D" w:rsidRPr="006F6842">
          <w:rPr>
            <w:noProof/>
            <w:webHidden/>
            <w:sz w:val="20"/>
            <w:szCs w:val="20"/>
          </w:rPr>
          <w:fldChar w:fldCharType="end"/>
        </w:r>
      </w:hyperlink>
    </w:p>
    <w:p w14:paraId="7858CA9F" w14:textId="090AAC40" w:rsidR="0062726D" w:rsidRPr="006F6842" w:rsidRDefault="00B71057">
      <w:pPr>
        <w:pStyle w:val="TOC2"/>
        <w:rPr>
          <w:rFonts w:eastAsiaTheme="minorEastAsia"/>
          <w:noProof/>
          <w:sz w:val="20"/>
          <w:szCs w:val="20"/>
        </w:rPr>
      </w:pPr>
      <w:hyperlink w:anchor="_Toc445450277" w:history="1">
        <w:r w:rsidR="0062726D" w:rsidRPr="006F6842">
          <w:rPr>
            <w:rStyle w:val="Hyperlink"/>
            <w:rFonts w:cs="Times New Roman"/>
            <w:noProof/>
            <w:sz w:val="20"/>
            <w:szCs w:val="20"/>
          </w:rPr>
          <w:t>2.</w:t>
        </w:r>
        <w:r w:rsidR="0062726D" w:rsidRPr="006F6842">
          <w:rPr>
            <w:rFonts w:eastAsiaTheme="minorEastAsia"/>
            <w:noProof/>
            <w:sz w:val="20"/>
            <w:szCs w:val="20"/>
          </w:rPr>
          <w:tab/>
        </w:r>
        <w:r w:rsidR="0062726D" w:rsidRPr="006F6842">
          <w:rPr>
            <w:rStyle w:val="Hyperlink"/>
            <w:rFonts w:cs="Times New Roman"/>
            <w:noProof/>
            <w:sz w:val="20"/>
            <w:szCs w:val="20"/>
          </w:rPr>
          <w:t>The Size of the Wage Work Sector in Nigeria</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_Toc445450277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42</w:t>
        </w:r>
        <w:r w:rsidR="0062726D" w:rsidRPr="006F6842">
          <w:rPr>
            <w:noProof/>
            <w:webHidden/>
            <w:sz w:val="20"/>
            <w:szCs w:val="20"/>
          </w:rPr>
          <w:fldChar w:fldCharType="end"/>
        </w:r>
      </w:hyperlink>
    </w:p>
    <w:p w14:paraId="01623991" w14:textId="797EBBDC" w:rsidR="0062726D" w:rsidRPr="006F6842" w:rsidRDefault="00B71057">
      <w:pPr>
        <w:pStyle w:val="TOC2"/>
        <w:rPr>
          <w:rFonts w:eastAsiaTheme="minorEastAsia"/>
          <w:noProof/>
          <w:sz w:val="20"/>
          <w:szCs w:val="20"/>
        </w:rPr>
      </w:pPr>
      <w:hyperlink w:anchor="_Toc445450278" w:history="1">
        <w:r w:rsidR="0062726D" w:rsidRPr="006F6842">
          <w:rPr>
            <w:rStyle w:val="Hyperlink"/>
            <w:rFonts w:cs="Times New Roman"/>
            <w:noProof/>
            <w:sz w:val="20"/>
            <w:szCs w:val="20"/>
          </w:rPr>
          <w:t>3.</w:t>
        </w:r>
        <w:r w:rsidR="0062726D" w:rsidRPr="006F6842">
          <w:rPr>
            <w:rFonts w:eastAsiaTheme="minorEastAsia"/>
            <w:noProof/>
            <w:sz w:val="20"/>
            <w:szCs w:val="20"/>
          </w:rPr>
          <w:tab/>
        </w:r>
        <w:r w:rsidR="0062726D" w:rsidRPr="006F6842">
          <w:rPr>
            <w:rStyle w:val="Hyperlink"/>
            <w:rFonts w:cs="Times New Roman"/>
            <w:noProof/>
            <w:sz w:val="20"/>
            <w:szCs w:val="20"/>
          </w:rPr>
          <w:t>A Brief Description of the Nigerian Private Sector</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_Toc445450278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45</w:t>
        </w:r>
        <w:r w:rsidR="0062726D" w:rsidRPr="006F6842">
          <w:rPr>
            <w:noProof/>
            <w:webHidden/>
            <w:sz w:val="20"/>
            <w:szCs w:val="20"/>
          </w:rPr>
          <w:fldChar w:fldCharType="end"/>
        </w:r>
      </w:hyperlink>
    </w:p>
    <w:p w14:paraId="30471045" w14:textId="43F9ECD7" w:rsidR="0062726D" w:rsidRPr="006F6842" w:rsidRDefault="00B71057" w:rsidP="00D727BF">
      <w:pPr>
        <w:pStyle w:val="TOC1"/>
        <w:tabs>
          <w:tab w:val="left" w:pos="720"/>
        </w:tabs>
        <w:rPr>
          <w:rFonts w:eastAsiaTheme="minorEastAsia"/>
          <w:sz w:val="20"/>
          <w:szCs w:val="20"/>
        </w:rPr>
      </w:pPr>
      <w:hyperlink w:anchor="_Toc445450279" w:history="1">
        <w:r w:rsidR="0062726D" w:rsidRPr="006F6842">
          <w:rPr>
            <w:rStyle w:val="Hyperlink"/>
            <w:sz w:val="20"/>
            <w:szCs w:val="20"/>
          </w:rPr>
          <w:t>Chapter 3: Non-</w:t>
        </w:r>
        <w:r w:rsidR="009E1C1E" w:rsidRPr="006F6842">
          <w:rPr>
            <w:rStyle w:val="Hyperlink"/>
            <w:sz w:val="20"/>
            <w:szCs w:val="20"/>
          </w:rPr>
          <w:t>F</w:t>
        </w:r>
        <w:r w:rsidR="0062726D" w:rsidRPr="006F6842">
          <w:rPr>
            <w:rStyle w:val="Hyperlink"/>
            <w:sz w:val="20"/>
            <w:szCs w:val="20"/>
          </w:rPr>
          <w:t>arm Enterprises and the Jobs Agenda</w:t>
        </w:r>
        <w:r w:rsidR="0062726D" w:rsidRPr="006F6842">
          <w:rPr>
            <w:webHidden/>
            <w:sz w:val="20"/>
            <w:szCs w:val="20"/>
          </w:rPr>
          <w:tab/>
        </w:r>
        <w:r w:rsidR="0062726D" w:rsidRPr="006F6842">
          <w:rPr>
            <w:webHidden/>
            <w:sz w:val="20"/>
            <w:szCs w:val="20"/>
          </w:rPr>
          <w:fldChar w:fldCharType="begin"/>
        </w:r>
        <w:r w:rsidR="0062726D" w:rsidRPr="006F6842">
          <w:rPr>
            <w:webHidden/>
            <w:sz w:val="20"/>
            <w:szCs w:val="20"/>
          </w:rPr>
          <w:instrText xml:space="preserve"> PAGEREF _Toc445450279 \h </w:instrText>
        </w:r>
        <w:r w:rsidR="0062726D" w:rsidRPr="006F6842">
          <w:rPr>
            <w:webHidden/>
            <w:sz w:val="20"/>
            <w:szCs w:val="20"/>
          </w:rPr>
        </w:r>
        <w:r w:rsidR="0062726D" w:rsidRPr="006F6842">
          <w:rPr>
            <w:webHidden/>
            <w:sz w:val="20"/>
            <w:szCs w:val="20"/>
          </w:rPr>
          <w:fldChar w:fldCharType="separate"/>
        </w:r>
        <w:r w:rsidR="008A3BBD" w:rsidRPr="006F6842">
          <w:rPr>
            <w:webHidden/>
            <w:sz w:val="20"/>
            <w:szCs w:val="20"/>
          </w:rPr>
          <w:t>52</w:t>
        </w:r>
        <w:r w:rsidR="0062726D" w:rsidRPr="006F6842">
          <w:rPr>
            <w:webHidden/>
            <w:sz w:val="20"/>
            <w:szCs w:val="20"/>
          </w:rPr>
          <w:fldChar w:fldCharType="end"/>
        </w:r>
      </w:hyperlink>
    </w:p>
    <w:p w14:paraId="3148016F" w14:textId="65FFDFB3" w:rsidR="0062726D" w:rsidRPr="006F6842" w:rsidRDefault="00B71057" w:rsidP="00D727BF">
      <w:pPr>
        <w:pStyle w:val="TOC2"/>
        <w:rPr>
          <w:rFonts w:eastAsiaTheme="minorEastAsia"/>
          <w:sz w:val="20"/>
          <w:szCs w:val="20"/>
        </w:rPr>
      </w:pPr>
      <w:hyperlink w:anchor="_Toc445450280" w:history="1">
        <w:r w:rsidR="0062726D" w:rsidRPr="006F6842">
          <w:rPr>
            <w:rStyle w:val="Hyperlink"/>
            <w:rFonts w:cs="Times New Roman"/>
            <w:noProof/>
            <w:sz w:val="20"/>
            <w:szCs w:val="20"/>
          </w:rPr>
          <w:t>1.</w:t>
        </w:r>
        <w:r w:rsidR="0062726D" w:rsidRPr="006F6842">
          <w:rPr>
            <w:rFonts w:eastAsiaTheme="minorEastAsia"/>
            <w:noProof/>
            <w:sz w:val="20"/>
            <w:szCs w:val="20"/>
          </w:rPr>
          <w:tab/>
        </w:r>
        <w:r w:rsidR="0062726D" w:rsidRPr="006F6842">
          <w:rPr>
            <w:rStyle w:val="Hyperlink"/>
            <w:rFonts w:cs="Times New Roman"/>
            <w:noProof/>
            <w:sz w:val="20"/>
            <w:szCs w:val="20"/>
          </w:rPr>
          <w:t>Introduction</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_Toc445450280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52</w:t>
        </w:r>
        <w:r w:rsidR="0062726D" w:rsidRPr="006F6842">
          <w:rPr>
            <w:noProof/>
            <w:webHidden/>
            <w:sz w:val="20"/>
            <w:szCs w:val="20"/>
          </w:rPr>
          <w:fldChar w:fldCharType="end"/>
        </w:r>
      </w:hyperlink>
    </w:p>
    <w:p w14:paraId="326BC08D" w14:textId="2435CFF0" w:rsidR="0062726D" w:rsidRPr="006F6842" w:rsidRDefault="00B71057">
      <w:pPr>
        <w:pStyle w:val="TOC2"/>
        <w:rPr>
          <w:rFonts w:eastAsiaTheme="minorEastAsia"/>
          <w:noProof/>
          <w:sz w:val="20"/>
          <w:szCs w:val="20"/>
        </w:rPr>
      </w:pPr>
      <w:hyperlink w:anchor="_Toc445450281" w:history="1">
        <w:r w:rsidR="0062726D" w:rsidRPr="006F6842">
          <w:rPr>
            <w:rStyle w:val="Hyperlink"/>
            <w:rFonts w:cs="Times New Roman"/>
            <w:noProof/>
            <w:sz w:val="20"/>
            <w:szCs w:val="20"/>
          </w:rPr>
          <w:t>2.</w:t>
        </w:r>
        <w:r w:rsidR="0062726D" w:rsidRPr="006F6842">
          <w:rPr>
            <w:rFonts w:eastAsiaTheme="minorEastAsia"/>
            <w:noProof/>
            <w:sz w:val="20"/>
            <w:szCs w:val="20"/>
          </w:rPr>
          <w:tab/>
        </w:r>
        <w:r w:rsidR="0062726D" w:rsidRPr="006F6842">
          <w:rPr>
            <w:rStyle w:val="Hyperlink"/>
            <w:rFonts w:cs="Times New Roman"/>
            <w:noProof/>
            <w:sz w:val="20"/>
            <w:szCs w:val="20"/>
          </w:rPr>
          <w:t>The NFE Sector, a Dual Economy</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_Toc445450281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54</w:t>
        </w:r>
        <w:r w:rsidR="0062726D" w:rsidRPr="006F6842">
          <w:rPr>
            <w:noProof/>
            <w:webHidden/>
            <w:sz w:val="20"/>
            <w:szCs w:val="20"/>
          </w:rPr>
          <w:fldChar w:fldCharType="end"/>
        </w:r>
      </w:hyperlink>
    </w:p>
    <w:p w14:paraId="6AC6AC69" w14:textId="512D9162" w:rsidR="0062726D" w:rsidRPr="006F6842" w:rsidRDefault="00B71057">
      <w:pPr>
        <w:pStyle w:val="TOC2"/>
        <w:rPr>
          <w:rFonts w:eastAsiaTheme="minorEastAsia"/>
          <w:noProof/>
          <w:sz w:val="20"/>
          <w:szCs w:val="20"/>
        </w:rPr>
      </w:pPr>
      <w:hyperlink w:anchor="_Toc445450282" w:history="1">
        <w:r w:rsidR="0062726D" w:rsidRPr="006F6842">
          <w:rPr>
            <w:rStyle w:val="Hyperlink"/>
            <w:rFonts w:cs="Times New Roman"/>
            <w:noProof/>
            <w:sz w:val="20"/>
            <w:szCs w:val="20"/>
          </w:rPr>
          <w:t>3.</w:t>
        </w:r>
        <w:r w:rsidR="0062726D" w:rsidRPr="006F6842">
          <w:rPr>
            <w:rFonts w:eastAsiaTheme="minorEastAsia"/>
            <w:noProof/>
            <w:sz w:val="20"/>
            <w:szCs w:val="20"/>
          </w:rPr>
          <w:tab/>
        </w:r>
        <w:r w:rsidR="0062726D" w:rsidRPr="006F6842">
          <w:rPr>
            <w:rStyle w:val="Hyperlink"/>
            <w:rFonts w:cs="Times New Roman"/>
            <w:noProof/>
            <w:sz w:val="20"/>
            <w:szCs w:val="20"/>
          </w:rPr>
          <w:t>Explaining Firm-</w:t>
        </w:r>
        <w:r w:rsidR="00162782" w:rsidRPr="006F6842">
          <w:rPr>
            <w:rStyle w:val="Hyperlink"/>
            <w:rFonts w:cs="Times New Roman"/>
            <w:noProof/>
            <w:sz w:val="20"/>
            <w:szCs w:val="20"/>
          </w:rPr>
          <w:t>L</w:t>
        </w:r>
        <w:r w:rsidR="0062726D" w:rsidRPr="006F6842">
          <w:rPr>
            <w:rStyle w:val="Hyperlink"/>
            <w:rFonts w:cs="Times New Roman"/>
            <w:noProof/>
            <w:sz w:val="20"/>
            <w:szCs w:val="20"/>
          </w:rPr>
          <w:t>evel Performance</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_Toc445450282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58</w:t>
        </w:r>
        <w:r w:rsidR="0062726D" w:rsidRPr="006F6842">
          <w:rPr>
            <w:noProof/>
            <w:webHidden/>
            <w:sz w:val="20"/>
            <w:szCs w:val="20"/>
          </w:rPr>
          <w:fldChar w:fldCharType="end"/>
        </w:r>
      </w:hyperlink>
    </w:p>
    <w:p w14:paraId="62D12FC4" w14:textId="5C2F31B8" w:rsidR="0062726D" w:rsidRPr="006F6842" w:rsidRDefault="00B71057">
      <w:pPr>
        <w:pStyle w:val="TOC2"/>
        <w:rPr>
          <w:rFonts w:eastAsiaTheme="minorEastAsia"/>
          <w:noProof/>
          <w:sz w:val="20"/>
          <w:szCs w:val="20"/>
        </w:rPr>
      </w:pPr>
      <w:hyperlink w:anchor="_Toc445450283" w:history="1">
        <w:r w:rsidR="0062726D" w:rsidRPr="006F6842">
          <w:rPr>
            <w:rStyle w:val="Hyperlink"/>
            <w:rFonts w:cs="Times New Roman"/>
            <w:noProof/>
            <w:sz w:val="20"/>
            <w:szCs w:val="20"/>
          </w:rPr>
          <w:t>4.</w:t>
        </w:r>
        <w:r w:rsidR="0062726D" w:rsidRPr="006F6842">
          <w:rPr>
            <w:rFonts w:eastAsiaTheme="minorEastAsia"/>
            <w:noProof/>
            <w:sz w:val="20"/>
            <w:szCs w:val="20"/>
          </w:rPr>
          <w:tab/>
        </w:r>
        <w:r w:rsidR="0062726D" w:rsidRPr="006F6842">
          <w:rPr>
            <w:rStyle w:val="Hyperlink"/>
            <w:rFonts w:cs="Times New Roman"/>
            <w:noProof/>
            <w:sz w:val="20"/>
            <w:szCs w:val="20"/>
          </w:rPr>
          <w:t>Main Findings</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_Toc445450283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65</w:t>
        </w:r>
        <w:r w:rsidR="0062726D" w:rsidRPr="006F6842">
          <w:rPr>
            <w:noProof/>
            <w:webHidden/>
            <w:sz w:val="20"/>
            <w:szCs w:val="20"/>
          </w:rPr>
          <w:fldChar w:fldCharType="end"/>
        </w:r>
      </w:hyperlink>
    </w:p>
    <w:p w14:paraId="0E225EED" w14:textId="199346DF" w:rsidR="0062726D" w:rsidRPr="006F6842" w:rsidRDefault="00B71057" w:rsidP="00D727BF">
      <w:pPr>
        <w:pStyle w:val="TOC1"/>
        <w:tabs>
          <w:tab w:val="left" w:pos="720"/>
        </w:tabs>
        <w:rPr>
          <w:rFonts w:eastAsiaTheme="minorEastAsia"/>
          <w:sz w:val="20"/>
          <w:szCs w:val="20"/>
        </w:rPr>
      </w:pPr>
      <w:hyperlink w:anchor="_Toc445450284" w:history="1">
        <w:r w:rsidR="0062726D" w:rsidRPr="006F6842">
          <w:rPr>
            <w:rStyle w:val="Hyperlink"/>
            <w:sz w:val="20"/>
            <w:szCs w:val="20"/>
          </w:rPr>
          <w:t>Chapter 4: Performance of the Formal Sector and Investment Climate</w:t>
        </w:r>
        <w:r w:rsidR="0062726D" w:rsidRPr="006F6842">
          <w:rPr>
            <w:webHidden/>
            <w:sz w:val="20"/>
            <w:szCs w:val="20"/>
          </w:rPr>
          <w:tab/>
        </w:r>
        <w:r w:rsidR="0062726D" w:rsidRPr="006F6842">
          <w:rPr>
            <w:webHidden/>
            <w:sz w:val="20"/>
            <w:szCs w:val="20"/>
          </w:rPr>
          <w:fldChar w:fldCharType="begin"/>
        </w:r>
        <w:r w:rsidR="0062726D" w:rsidRPr="006F6842">
          <w:rPr>
            <w:webHidden/>
            <w:sz w:val="20"/>
            <w:szCs w:val="20"/>
          </w:rPr>
          <w:instrText xml:space="preserve"> PAGEREF _Toc445450284 \h </w:instrText>
        </w:r>
        <w:r w:rsidR="0062726D" w:rsidRPr="006F6842">
          <w:rPr>
            <w:webHidden/>
            <w:sz w:val="20"/>
            <w:szCs w:val="20"/>
          </w:rPr>
        </w:r>
        <w:r w:rsidR="0062726D" w:rsidRPr="006F6842">
          <w:rPr>
            <w:webHidden/>
            <w:sz w:val="20"/>
            <w:szCs w:val="20"/>
          </w:rPr>
          <w:fldChar w:fldCharType="separate"/>
        </w:r>
        <w:r w:rsidR="008A3BBD" w:rsidRPr="006F6842">
          <w:rPr>
            <w:webHidden/>
            <w:sz w:val="20"/>
            <w:szCs w:val="20"/>
          </w:rPr>
          <w:t>66</w:t>
        </w:r>
        <w:r w:rsidR="0062726D" w:rsidRPr="006F6842">
          <w:rPr>
            <w:webHidden/>
            <w:sz w:val="20"/>
            <w:szCs w:val="20"/>
          </w:rPr>
          <w:fldChar w:fldCharType="end"/>
        </w:r>
      </w:hyperlink>
    </w:p>
    <w:p w14:paraId="57A07314" w14:textId="4212A97C" w:rsidR="0062726D" w:rsidRPr="006F6842" w:rsidRDefault="00B71057" w:rsidP="00D727BF">
      <w:pPr>
        <w:pStyle w:val="TOC2"/>
        <w:rPr>
          <w:rFonts w:eastAsiaTheme="minorEastAsia"/>
          <w:sz w:val="20"/>
          <w:szCs w:val="20"/>
        </w:rPr>
      </w:pPr>
      <w:hyperlink w:anchor="_Toc445450285" w:history="1">
        <w:r w:rsidR="0062726D" w:rsidRPr="006F6842">
          <w:rPr>
            <w:rStyle w:val="Hyperlink"/>
            <w:rFonts w:cs="Times New Roman"/>
            <w:noProof/>
            <w:sz w:val="20"/>
            <w:szCs w:val="20"/>
          </w:rPr>
          <w:t>1.</w:t>
        </w:r>
        <w:r w:rsidR="0062726D" w:rsidRPr="006F6842">
          <w:rPr>
            <w:rFonts w:eastAsiaTheme="minorEastAsia"/>
            <w:noProof/>
            <w:sz w:val="20"/>
            <w:szCs w:val="20"/>
          </w:rPr>
          <w:tab/>
        </w:r>
        <w:r w:rsidR="0062726D" w:rsidRPr="006F6842">
          <w:rPr>
            <w:rStyle w:val="Hyperlink"/>
            <w:rFonts w:cs="Times New Roman"/>
            <w:noProof/>
            <w:sz w:val="20"/>
            <w:szCs w:val="20"/>
          </w:rPr>
          <w:t>Introduction</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_Toc445450285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66</w:t>
        </w:r>
        <w:r w:rsidR="0062726D" w:rsidRPr="006F6842">
          <w:rPr>
            <w:noProof/>
            <w:webHidden/>
            <w:sz w:val="20"/>
            <w:szCs w:val="20"/>
          </w:rPr>
          <w:fldChar w:fldCharType="end"/>
        </w:r>
      </w:hyperlink>
    </w:p>
    <w:p w14:paraId="416B9CF5" w14:textId="5440F585" w:rsidR="0062726D" w:rsidRPr="006F6842" w:rsidRDefault="00B71057">
      <w:pPr>
        <w:pStyle w:val="TOC2"/>
        <w:rPr>
          <w:rFonts w:eastAsiaTheme="minorEastAsia"/>
          <w:noProof/>
          <w:sz w:val="20"/>
          <w:szCs w:val="20"/>
        </w:rPr>
      </w:pPr>
      <w:hyperlink w:anchor="_Toc445450286" w:history="1">
        <w:r w:rsidR="0062726D" w:rsidRPr="006F6842">
          <w:rPr>
            <w:rStyle w:val="Hyperlink"/>
            <w:rFonts w:cs="Times New Roman"/>
            <w:noProof/>
            <w:sz w:val="20"/>
            <w:szCs w:val="20"/>
          </w:rPr>
          <w:t>2.</w:t>
        </w:r>
        <w:r w:rsidR="0062726D" w:rsidRPr="006F6842">
          <w:rPr>
            <w:rFonts w:eastAsiaTheme="minorEastAsia"/>
            <w:noProof/>
            <w:sz w:val="20"/>
            <w:szCs w:val="20"/>
          </w:rPr>
          <w:tab/>
        </w:r>
        <w:r w:rsidR="0062726D" w:rsidRPr="006F6842">
          <w:rPr>
            <w:rStyle w:val="Hyperlink"/>
            <w:rFonts w:cs="Times New Roman"/>
            <w:noProof/>
            <w:sz w:val="20"/>
            <w:szCs w:val="20"/>
          </w:rPr>
          <w:t xml:space="preserve">The </w:t>
        </w:r>
        <w:r w:rsidR="00162782" w:rsidRPr="006F6842">
          <w:rPr>
            <w:rStyle w:val="Hyperlink"/>
            <w:rFonts w:cs="Times New Roman"/>
            <w:noProof/>
            <w:sz w:val="20"/>
            <w:szCs w:val="20"/>
          </w:rPr>
          <w:t>P</w:t>
        </w:r>
        <w:r w:rsidR="0062726D" w:rsidRPr="006F6842">
          <w:rPr>
            <w:rStyle w:val="Hyperlink"/>
            <w:rFonts w:cs="Times New Roman"/>
            <w:noProof/>
            <w:sz w:val="20"/>
            <w:szCs w:val="20"/>
          </w:rPr>
          <w:t xml:space="preserve">rivate </w:t>
        </w:r>
        <w:r w:rsidR="00162782" w:rsidRPr="006F6842">
          <w:rPr>
            <w:rStyle w:val="Hyperlink"/>
            <w:rFonts w:cs="Times New Roman"/>
            <w:noProof/>
            <w:sz w:val="20"/>
            <w:szCs w:val="20"/>
          </w:rPr>
          <w:t>S</w:t>
        </w:r>
        <w:r w:rsidR="0062726D" w:rsidRPr="006F6842">
          <w:rPr>
            <w:rStyle w:val="Hyperlink"/>
            <w:rFonts w:cs="Times New Roman"/>
            <w:noProof/>
            <w:sz w:val="20"/>
            <w:szCs w:val="20"/>
          </w:rPr>
          <w:t xml:space="preserve">ector, </w:t>
        </w:r>
        <w:r w:rsidR="00162782" w:rsidRPr="006F6842">
          <w:rPr>
            <w:rStyle w:val="Hyperlink"/>
            <w:rFonts w:cs="Times New Roman"/>
            <w:noProof/>
            <w:sz w:val="20"/>
            <w:szCs w:val="20"/>
          </w:rPr>
          <w:t>D</w:t>
        </w:r>
        <w:r w:rsidR="0062726D" w:rsidRPr="006F6842">
          <w:rPr>
            <w:rStyle w:val="Hyperlink"/>
            <w:rFonts w:cs="Times New Roman"/>
            <w:noProof/>
            <w:sz w:val="20"/>
            <w:szCs w:val="20"/>
          </w:rPr>
          <w:t xml:space="preserve">eclining but </w:t>
        </w:r>
        <w:r w:rsidR="00162782" w:rsidRPr="006F6842">
          <w:rPr>
            <w:rStyle w:val="Hyperlink"/>
            <w:rFonts w:cs="Times New Roman"/>
            <w:noProof/>
            <w:sz w:val="20"/>
            <w:szCs w:val="20"/>
          </w:rPr>
          <w:t>H</w:t>
        </w:r>
        <w:r w:rsidR="0062726D" w:rsidRPr="006F6842">
          <w:rPr>
            <w:rStyle w:val="Hyperlink"/>
            <w:rFonts w:cs="Times New Roman"/>
            <w:noProof/>
            <w:sz w:val="20"/>
            <w:szCs w:val="20"/>
          </w:rPr>
          <w:t>iring</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_Toc445450286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66</w:t>
        </w:r>
        <w:r w:rsidR="0062726D" w:rsidRPr="006F6842">
          <w:rPr>
            <w:noProof/>
            <w:webHidden/>
            <w:sz w:val="20"/>
            <w:szCs w:val="20"/>
          </w:rPr>
          <w:fldChar w:fldCharType="end"/>
        </w:r>
      </w:hyperlink>
    </w:p>
    <w:p w14:paraId="587142E9" w14:textId="3B02AFE7" w:rsidR="0062726D" w:rsidRPr="006F6842" w:rsidRDefault="00B71057">
      <w:pPr>
        <w:pStyle w:val="TOC2"/>
        <w:rPr>
          <w:rFonts w:eastAsiaTheme="minorEastAsia"/>
          <w:noProof/>
          <w:sz w:val="20"/>
          <w:szCs w:val="20"/>
        </w:rPr>
      </w:pPr>
      <w:hyperlink w:anchor="_Toc445450287" w:history="1">
        <w:r w:rsidR="0062726D" w:rsidRPr="006F6842">
          <w:rPr>
            <w:rStyle w:val="Hyperlink"/>
            <w:rFonts w:cs="Times New Roman"/>
            <w:noProof/>
            <w:sz w:val="20"/>
            <w:szCs w:val="20"/>
          </w:rPr>
          <w:t>3.</w:t>
        </w:r>
        <w:r w:rsidR="0062726D" w:rsidRPr="006F6842">
          <w:rPr>
            <w:rFonts w:eastAsiaTheme="minorEastAsia"/>
            <w:noProof/>
            <w:sz w:val="20"/>
            <w:szCs w:val="20"/>
          </w:rPr>
          <w:tab/>
        </w:r>
        <w:r w:rsidR="0062726D" w:rsidRPr="006F6842">
          <w:rPr>
            <w:rStyle w:val="Hyperlink"/>
            <w:rFonts w:cs="Times New Roman"/>
            <w:noProof/>
            <w:sz w:val="20"/>
            <w:szCs w:val="20"/>
          </w:rPr>
          <w:t xml:space="preserve">The Business </w:t>
        </w:r>
        <w:r w:rsidR="00162782" w:rsidRPr="006F6842">
          <w:rPr>
            <w:rStyle w:val="Hyperlink"/>
            <w:rFonts w:cs="Times New Roman"/>
            <w:noProof/>
            <w:sz w:val="20"/>
            <w:szCs w:val="20"/>
          </w:rPr>
          <w:t>E</w:t>
        </w:r>
        <w:r w:rsidR="0062726D" w:rsidRPr="006F6842">
          <w:rPr>
            <w:rStyle w:val="Hyperlink"/>
            <w:rFonts w:cs="Times New Roman"/>
            <w:noProof/>
            <w:sz w:val="20"/>
            <w:szCs w:val="20"/>
          </w:rPr>
          <w:t>nvironment in Nigeria</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_Toc445450287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68</w:t>
        </w:r>
        <w:r w:rsidR="0062726D" w:rsidRPr="006F6842">
          <w:rPr>
            <w:noProof/>
            <w:webHidden/>
            <w:sz w:val="20"/>
            <w:szCs w:val="20"/>
          </w:rPr>
          <w:fldChar w:fldCharType="end"/>
        </w:r>
      </w:hyperlink>
    </w:p>
    <w:p w14:paraId="0C20D1AB" w14:textId="65FC41B1" w:rsidR="0062726D" w:rsidRPr="006F6842" w:rsidRDefault="00B71057">
      <w:pPr>
        <w:pStyle w:val="TOC2"/>
        <w:rPr>
          <w:rFonts w:eastAsiaTheme="minorEastAsia"/>
          <w:noProof/>
          <w:sz w:val="20"/>
          <w:szCs w:val="20"/>
        </w:rPr>
      </w:pPr>
      <w:hyperlink w:anchor="_Toc445450288" w:history="1">
        <w:r w:rsidR="0062726D" w:rsidRPr="006F6842">
          <w:rPr>
            <w:rStyle w:val="Hyperlink"/>
            <w:rFonts w:cs="Times New Roman"/>
            <w:noProof/>
            <w:sz w:val="20"/>
            <w:szCs w:val="20"/>
          </w:rPr>
          <w:t>4.</w:t>
        </w:r>
        <w:r w:rsidR="0062726D" w:rsidRPr="006F6842">
          <w:rPr>
            <w:rFonts w:eastAsiaTheme="minorEastAsia"/>
            <w:noProof/>
            <w:sz w:val="20"/>
            <w:szCs w:val="20"/>
          </w:rPr>
          <w:tab/>
        </w:r>
        <w:r w:rsidR="0062726D" w:rsidRPr="006F6842">
          <w:rPr>
            <w:rStyle w:val="Hyperlink"/>
            <w:rFonts w:cs="Times New Roman"/>
            <w:noProof/>
            <w:sz w:val="20"/>
            <w:szCs w:val="20"/>
          </w:rPr>
          <w:t xml:space="preserve">A </w:t>
        </w:r>
        <w:r w:rsidR="00162782" w:rsidRPr="006F6842">
          <w:rPr>
            <w:rStyle w:val="Hyperlink"/>
            <w:rFonts w:cs="Times New Roman"/>
            <w:noProof/>
            <w:sz w:val="20"/>
            <w:szCs w:val="20"/>
          </w:rPr>
          <w:t>F</w:t>
        </w:r>
        <w:r w:rsidR="0062726D" w:rsidRPr="006F6842">
          <w:rPr>
            <w:rStyle w:val="Hyperlink"/>
            <w:rFonts w:cs="Times New Roman"/>
            <w:noProof/>
            <w:sz w:val="20"/>
            <w:szCs w:val="20"/>
          </w:rPr>
          <w:t>ocus on Light Manufacturing</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_Toc445450288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80</w:t>
        </w:r>
        <w:r w:rsidR="0062726D" w:rsidRPr="006F6842">
          <w:rPr>
            <w:noProof/>
            <w:webHidden/>
            <w:sz w:val="20"/>
            <w:szCs w:val="20"/>
          </w:rPr>
          <w:fldChar w:fldCharType="end"/>
        </w:r>
      </w:hyperlink>
    </w:p>
    <w:p w14:paraId="62184B9C" w14:textId="19711E8F" w:rsidR="0062726D" w:rsidRPr="006F6842" w:rsidRDefault="00B71057">
      <w:pPr>
        <w:pStyle w:val="TOC2"/>
        <w:rPr>
          <w:rFonts w:eastAsiaTheme="minorEastAsia"/>
          <w:noProof/>
          <w:sz w:val="20"/>
          <w:szCs w:val="20"/>
        </w:rPr>
      </w:pPr>
      <w:hyperlink w:anchor="_Toc445450289" w:history="1">
        <w:r w:rsidR="0062726D" w:rsidRPr="006F6842">
          <w:rPr>
            <w:rStyle w:val="Hyperlink"/>
            <w:rFonts w:cs="Times New Roman"/>
            <w:noProof/>
            <w:sz w:val="20"/>
            <w:szCs w:val="20"/>
          </w:rPr>
          <w:t>5.</w:t>
        </w:r>
        <w:r w:rsidR="0062726D" w:rsidRPr="006F6842">
          <w:rPr>
            <w:rFonts w:eastAsiaTheme="minorEastAsia"/>
            <w:noProof/>
            <w:sz w:val="20"/>
            <w:szCs w:val="20"/>
          </w:rPr>
          <w:tab/>
        </w:r>
        <w:r w:rsidR="0062726D" w:rsidRPr="006F6842">
          <w:rPr>
            <w:rStyle w:val="Hyperlink"/>
            <w:rFonts w:cs="Times New Roman"/>
            <w:noProof/>
            <w:sz w:val="20"/>
            <w:szCs w:val="20"/>
          </w:rPr>
          <w:t>Main Findings</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_Toc445450289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93</w:t>
        </w:r>
        <w:r w:rsidR="0062726D" w:rsidRPr="006F6842">
          <w:rPr>
            <w:noProof/>
            <w:webHidden/>
            <w:sz w:val="20"/>
            <w:szCs w:val="20"/>
          </w:rPr>
          <w:fldChar w:fldCharType="end"/>
        </w:r>
      </w:hyperlink>
    </w:p>
    <w:p w14:paraId="59198C3E" w14:textId="6AF75D5F" w:rsidR="0062726D" w:rsidRPr="006F6842" w:rsidRDefault="00B71057" w:rsidP="00D727BF">
      <w:pPr>
        <w:pStyle w:val="TOC1"/>
        <w:tabs>
          <w:tab w:val="left" w:pos="720"/>
        </w:tabs>
        <w:rPr>
          <w:rFonts w:eastAsiaTheme="minorEastAsia"/>
          <w:sz w:val="20"/>
          <w:szCs w:val="20"/>
        </w:rPr>
      </w:pPr>
      <w:hyperlink w:anchor="_Toc445450290" w:history="1">
        <w:r w:rsidR="0062726D" w:rsidRPr="006F6842">
          <w:rPr>
            <w:rStyle w:val="Hyperlink"/>
            <w:sz w:val="20"/>
            <w:szCs w:val="20"/>
            <w:shd w:val="clear" w:color="auto" w:fill="FFFFFF" w:themeFill="background1"/>
          </w:rPr>
          <w:t>Chapter 5: Understanding Firm-</w:t>
        </w:r>
        <w:r w:rsidR="00162782" w:rsidRPr="006F6842">
          <w:rPr>
            <w:rStyle w:val="Hyperlink"/>
            <w:sz w:val="20"/>
            <w:szCs w:val="20"/>
            <w:shd w:val="clear" w:color="auto" w:fill="FFFFFF" w:themeFill="background1"/>
          </w:rPr>
          <w:t>L</w:t>
        </w:r>
        <w:r w:rsidR="0062726D" w:rsidRPr="006F6842">
          <w:rPr>
            <w:rStyle w:val="Hyperlink"/>
            <w:sz w:val="20"/>
            <w:szCs w:val="20"/>
            <w:shd w:val="clear" w:color="auto" w:fill="FFFFFF" w:themeFill="background1"/>
          </w:rPr>
          <w:t>evel Innovation and Productivity in Nigeria</w:t>
        </w:r>
        <w:r w:rsidR="0062726D" w:rsidRPr="006F6842">
          <w:rPr>
            <w:webHidden/>
            <w:sz w:val="20"/>
            <w:szCs w:val="20"/>
          </w:rPr>
          <w:tab/>
        </w:r>
        <w:r w:rsidR="0062726D" w:rsidRPr="006F6842">
          <w:rPr>
            <w:webHidden/>
            <w:sz w:val="20"/>
            <w:szCs w:val="20"/>
          </w:rPr>
          <w:fldChar w:fldCharType="begin"/>
        </w:r>
        <w:r w:rsidR="0062726D" w:rsidRPr="006F6842">
          <w:rPr>
            <w:webHidden/>
            <w:sz w:val="20"/>
            <w:szCs w:val="20"/>
          </w:rPr>
          <w:instrText xml:space="preserve"> PAGEREF _Toc445450290 \h </w:instrText>
        </w:r>
        <w:r w:rsidR="0062726D" w:rsidRPr="006F6842">
          <w:rPr>
            <w:webHidden/>
            <w:sz w:val="20"/>
            <w:szCs w:val="20"/>
          </w:rPr>
        </w:r>
        <w:r w:rsidR="0062726D" w:rsidRPr="006F6842">
          <w:rPr>
            <w:webHidden/>
            <w:sz w:val="20"/>
            <w:szCs w:val="20"/>
          </w:rPr>
          <w:fldChar w:fldCharType="separate"/>
        </w:r>
        <w:r w:rsidR="008A3BBD" w:rsidRPr="006F6842">
          <w:rPr>
            <w:webHidden/>
            <w:sz w:val="20"/>
            <w:szCs w:val="20"/>
          </w:rPr>
          <w:t>101</w:t>
        </w:r>
        <w:r w:rsidR="0062726D" w:rsidRPr="006F6842">
          <w:rPr>
            <w:webHidden/>
            <w:sz w:val="20"/>
            <w:szCs w:val="20"/>
          </w:rPr>
          <w:fldChar w:fldCharType="end"/>
        </w:r>
      </w:hyperlink>
    </w:p>
    <w:p w14:paraId="442607EE" w14:textId="2EC607BD" w:rsidR="0062726D" w:rsidRPr="006F6842" w:rsidRDefault="00B71057" w:rsidP="00D727BF">
      <w:pPr>
        <w:pStyle w:val="TOC2"/>
        <w:rPr>
          <w:rFonts w:eastAsiaTheme="minorEastAsia"/>
          <w:sz w:val="20"/>
          <w:szCs w:val="20"/>
        </w:rPr>
      </w:pPr>
      <w:hyperlink w:anchor="_Toc445450291" w:history="1">
        <w:r w:rsidR="0062726D" w:rsidRPr="006F6842">
          <w:rPr>
            <w:rStyle w:val="Hyperlink"/>
            <w:rFonts w:cs="Times New Roman"/>
            <w:noProof/>
            <w:sz w:val="20"/>
            <w:szCs w:val="20"/>
          </w:rPr>
          <w:t>1.</w:t>
        </w:r>
        <w:r w:rsidR="0062726D" w:rsidRPr="006F6842">
          <w:rPr>
            <w:rFonts w:eastAsiaTheme="minorEastAsia"/>
            <w:noProof/>
            <w:sz w:val="20"/>
            <w:szCs w:val="20"/>
          </w:rPr>
          <w:tab/>
        </w:r>
        <w:r w:rsidR="0062726D" w:rsidRPr="006F6842">
          <w:rPr>
            <w:rStyle w:val="Hyperlink"/>
            <w:rFonts w:cs="Times New Roman"/>
            <w:noProof/>
            <w:sz w:val="20"/>
            <w:szCs w:val="20"/>
            <w:shd w:val="clear" w:color="auto" w:fill="FFFFFF" w:themeFill="background1"/>
          </w:rPr>
          <w:t>Introduction</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_Toc445450291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101</w:t>
        </w:r>
        <w:r w:rsidR="0062726D" w:rsidRPr="006F6842">
          <w:rPr>
            <w:noProof/>
            <w:webHidden/>
            <w:sz w:val="20"/>
            <w:szCs w:val="20"/>
          </w:rPr>
          <w:fldChar w:fldCharType="end"/>
        </w:r>
      </w:hyperlink>
    </w:p>
    <w:p w14:paraId="020B1466" w14:textId="7E23ABA8" w:rsidR="0062726D" w:rsidRPr="006F6842" w:rsidRDefault="00B71057">
      <w:pPr>
        <w:pStyle w:val="TOC2"/>
        <w:rPr>
          <w:rFonts w:eastAsiaTheme="minorEastAsia"/>
          <w:noProof/>
          <w:sz w:val="20"/>
          <w:szCs w:val="20"/>
        </w:rPr>
      </w:pPr>
      <w:hyperlink w:anchor="_Toc445450292" w:history="1">
        <w:r w:rsidR="0062726D" w:rsidRPr="006F6842">
          <w:rPr>
            <w:rStyle w:val="Hyperlink"/>
            <w:rFonts w:cs="Times New Roman"/>
            <w:noProof/>
            <w:sz w:val="20"/>
            <w:szCs w:val="20"/>
          </w:rPr>
          <w:t>2.</w:t>
        </w:r>
        <w:r w:rsidR="0062726D" w:rsidRPr="006F6842">
          <w:rPr>
            <w:rFonts w:eastAsiaTheme="minorEastAsia"/>
            <w:noProof/>
            <w:sz w:val="20"/>
            <w:szCs w:val="20"/>
          </w:rPr>
          <w:tab/>
        </w:r>
        <w:r w:rsidR="0062726D" w:rsidRPr="006F6842">
          <w:rPr>
            <w:rStyle w:val="Hyperlink"/>
            <w:rFonts w:cs="Times New Roman"/>
            <w:noProof/>
            <w:sz w:val="20"/>
            <w:szCs w:val="20"/>
            <w:shd w:val="clear" w:color="auto" w:fill="FFFFFF" w:themeFill="background1"/>
          </w:rPr>
          <w:t>How Innovative Are Firms in Nigeria?</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_Toc445450292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102</w:t>
        </w:r>
        <w:r w:rsidR="0062726D" w:rsidRPr="006F6842">
          <w:rPr>
            <w:noProof/>
            <w:webHidden/>
            <w:sz w:val="20"/>
            <w:szCs w:val="20"/>
          </w:rPr>
          <w:fldChar w:fldCharType="end"/>
        </w:r>
      </w:hyperlink>
    </w:p>
    <w:p w14:paraId="7E1A45D9" w14:textId="397D4F9B" w:rsidR="0062726D" w:rsidRPr="006F6842" w:rsidRDefault="00B71057">
      <w:pPr>
        <w:pStyle w:val="TOC2"/>
        <w:rPr>
          <w:rFonts w:eastAsiaTheme="minorEastAsia"/>
          <w:noProof/>
          <w:sz w:val="20"/>
          <w:szCs w:val="20"/>
        </w:rPr>
      </w:pPr>
      <w:hyperlink w:anchor="_Toc445450293" w:history="1">
        <w:r w:rsidR="0062726D" w:rsidRPr="006F6842">
          <w:rPr>
            <w:rStyle w:val="Hyperlink"/>
            <w:rFonts w:cs="Times New Roman"/>
            <w:noProof/>
            <w:sz w:val="20"/>
            <w:szCs w:val="20"/>
          </w:rPr>
          <w:t>3.</w:t>
        </w:r>
        <w:r w:rsidR="0062726D" w:rsidRPr="006F6842">
          <w:rPr>
            <w:rFonts w:eastAsiaTheme="minorEastAsia"/>
            <w:noProof/>
            <w:sz w:val="20"/>
            <w:szCs w:val="20"/>
          </w:rPr>
          <w:tab/>
        </w:r>
        <w:r w:rsidR="0062726D" w:rsidRPr="006F6842">
          <w:rPr>
            <w:rStyle w:val="Hyperlink"/>
            <w:rFonts w:cs="Times New Roman"/>
            <w:noProof/>
            <w:sz w:val="20"/>
            <w:szCs w:val="20"/>
            <w:shd w:val="clear" w:color="auto" w:fill="FFFFFF" w:themeFill="background1"/>
          </w:rPr>
          <w:t>The Determinants of Innovation Outcomes</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_Toc445450293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106</w:t>
        </w:r>
        <w:r w:rsidR="0062726D" w:rsidRPr="006F6842">
          <w:rPr>
            <w:noProof/>
            <w:webHidden/>
            <w:sz w:val="20"/>
            <w:szCs w:val="20"/>
          </w:rPr>
          <w:fldChar w:fldCharType="end"/>
        </w:r>
      </w:hyperlink>
    </w:p>
    <w:p w14:paraId="50F689E6" w14:textId="69A25110" w:rsidR="0062726D" w:rsidRPr="006F6842" w:rsidRDefault="00B71057">
      <w:pPr>
        <w:pStyle w:val="TOC2"/>
        <w:rPr>
          <w:rFonts w:eastAsiaTheme="minorEastAsia"/>
          <w:noProof/>
          <w:sz w:val="20"/>
          <w:szCs w:val="20"/>
        </w:rPr>
      </w:pPr>
      <w:hyperlink w:anchor="_Toc445450294" w:history="1">
        <w:r w:rsidR="0062726D" w:rsidRPr="006F6842">
          <w:rPr>
            <w:rStyle w:val="Hyperlink"/>
            <w:rFonts w:cs="Times New Roman"/>
            <w:noProof/>
            <w:sz w:val="20"/>
            <w:szCs w:val="20"/>
          </w:rPr>
          <w:t>4.</w:t>
        </w:r>
        <w:r w:rsidR="0062726D" w:rsidRPr="006F6842">
          <w:rPr>
            <w:rFonts w:eastAsiaTheme="minorEastAsia"/>
            <w:noProof/>
            <w:sz w:val="20"/>
            <w:szCs w:val="20"/>
          </w:rPr>
          <w:tab/>
        </w:r>
        <w:r w:rsidR="0062726D" w:rsidRPr="006F6842">
          <w:rPr>
            <w:rStyle w:val="Hyperlink"/>
            <w:rFonts w:cs="Times New Roman"/>
            <w:noProof/>
            <w:sz w:val="20"/>
            <w:szCs w:val="20"/>
            <w:shd w:val="clear" w:color="auto" w:fill="FFFFFF" w:themeFill="background1"/>
          </w:rPr>
          <w:t>The Impact of Innovations on Firm-</w:t>
        </w:r>
        <w:r w:rsidR="00162782" w:rsidRPr="006F6842">
          <w:rPr>
            <w:rStyle w:val="Hyperlink"/>
            <w:rFonts w:cs="Times New Roman"/>
            <w:noProof/>
            <w:sz w:val="20"/>
            <w:szCs w:val="20"/>
            <w:shd w:val="clear" w:color="auto" w:fill="FFFFFF" w:themeFill="background1"/>
          </w:rPr>
          <w:t>L</w:t>
        </w:r>
        <w:r w:rsidR="0062726D" w:rsidRPr="006F6842">
          <w:rPr>
            <w:rStyle w:val="Hyperlink"/>
            <w:rFonts w:cs="Times New Roman"/>
            <w:noProof/>
            <w:sz w:val="20"/>
            <w:szCs w:val="20"/>
            <w:shd w:val="clear" w:color="auto" w:fill="FFFFFF" w:themeFill="background1"/>
          </w:rPr>
          <w:t>evel Productivity</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_Toc445450294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109</w:t>
        </w:r>
        <w:r w:rsidR="0062726D" w:rsidRPr="006F6842">
          <w:rPr>
            <w:noProof/>
            <w:webHidden/>
            <w:sz w:val="20"/>
            <w:szCs w:val="20"/>
          </w:rPr>
          <w:fldChar w:fldCharType="end"/>
        </w:r>
      </w:hyperlink>
    </w:p>
    <w:p w14:paraId="1D1514E6" w14:textId="130CB1E6" w:rsidR="0062726D" w:rsidRPr="0062726D" w:rsidRDefault="00B71057">
      <w:pPr>
        <w:pStyle w:val="TOC2"/>
        <w:rPr>
          <w:rFonts w:eastAsiaTheme="minorEastAsia"/>
          <w:noProof/>
          <w:sz w:val="22"/>
        </w:rPr>
      </w:pPr>
      <w:hyperlink w:anchor="_Toc445450295" w:history="1">
        <w:r w:rsidR="0062726D" w:rsidRPr="006F6842">
          <w:rPr>
            <w:rStyle w:val="Hyperlink"/>
            <w:rFonts w:cs="Times New Roman"/>
            <w:noProof/>
            <w:sz w:val="20"/>
            <w:szCs w:val="20"/>
          </w:rPr>
          <w:t>5.</w:t>
        </w:r>
        <w:r w:rsidR="0062726D" w:rsidRPr="006F6842">
          <w:rPr>
            <w:rFonts w:eastAsiaTheme="minorEastAsia"/>
            <w:noProof/>
            <w:sz w:val="20"/>
            <w:szCs w:val="20"/>
          </w:rPr>
          <w:tab/>
        </w:r>
        <w:r w:rsidR="0062726D" w:rsidRPr="006F6842">
          <w:rPr>
            <w:rStyle w:val="Hyperlink"/>
            <w:rFonts w:cs="Times New Roman"/>
            <w:noProof/>
            <w:sz w:val="20"/>
            <w:szCs w:val="20"/>
            <w:shd w:val="clear" w:color="auto" w:fill="FFFFFF" w:themeFill="background1"/>
          </w:rPr>
          <w:t>Conclusions and Policy Implications</w:t>
        </w:r>
        <w:r w:rsidR="0062726D" w:rsidRPr="006F6842">
          <w:rPr>
            <w:noProof/>
            <w:webHidden/>
            <w:sz w:val="20"/>
            <w:szCs w:val="20"/>
          </w:rPr>
          <w:tab/>
        </w:r>
        <w:r w:rsidR="0062726D" w:rsidRPr="006F6842">
          <w:rPr>
            <w:noProof/>
            <w:webHidden/>
            <w:sz w:val="20"/>
            <w:szCs w:val="20"/>
          </w:rPr>
          <w:fldChar w:fldCharType="begin"/>
        </w:r>
        <w:r w:rsidR="0062726D" w:rsidRPr="006F6842">
          <w:rPr>
            <w:noProof/>
            <w:webHidden/>
            <w:sz w:val="20"/>
            <w:szCs w:val="20"/>
          </w:rPr>
          <w:instrText xml:space="preserve"> PAGEREF _Toc445450295 \h </w:instrText>
        </w:r>
        <w:r w:rsidR="0062726D" w:rsidRPr="006F6842">
          <w:rPr>
            <w:noProof/>
            <w:webHidden/>
            <w:sz w:val="20"/>
            <w:szCs w:val="20"/>
          </w:rPr>
        </w:r>
        <w:r w:rsidR="0062726D" w:rsidRPr="006F6842">
          <w:rPr>
            <w:noProof/>
            <w:webHidden/>
            <w:sz w:val="20"/>
            <w:szCs w:val="20"/>
          </w:rPr>
          <w:fldChar w:fldCharType="separate"/>
        </w:r>
        <w:r w:rsidR="008A3BBD" w:rsidRPr="006F6842">
          <w:rPr>
            <w:noProof/>
            <w:webHidden/>
            <w:sz w:val="20"/>
            <w:szCs w:val="20"/>
          </w:rPr>
          <w:t>110</w:t>
        </w:r>
        <w:r w:rsidR="0062726D" w:rsidRPr="006F6842">
          <w:rPr>
            <w:noProof/>
            <w:webHidden/>
            <w:sz w:val="20"/>
            <w:szCs w:val="20"/>
          </w:rPr>
          <w:fldChar w:fldCharType="end"/>
        </w:r>
      </w:hyperlink>
    </w:p>
    <w:p w14:paraId="6014C5B5" w14:textId="417453B4" w:rsidR="00FC062E" w:rsidRPr="0062726D" w:rsidRDefault="007E5D82" w:rsidP="00D727BF">
      <w:pPr>
        <w:tabs>
          <w:tab w:val="left" w:pos="720"/>
        </w:tabs>
        <w:spacing w:after="120"/>
        <w:ind w:left="144"/>
        <w:rPr>
          <w:rFonts w:cs="Times New Roman"/>
        </w:rPr>
      </w:pPr>
      <w:r w:rsidRPr="0062726D">
        <w:rPr>
          <w:rFonts w:cs="Times New Roman"/>
          <w:szCs w:val="24"/>
        </w:rPr>
        <w:lastRenderedPageBreak/>
        <w:fldChar w:fldCharType="end"/>
      </w:r>
    </w:p>
    <w:p w14:paraId="7B2FF69C" w14:textId="080EFB78" w:rsidR="004F6EE1" w:rsidRPr="001845F3" w:rsidRDefault="004F6EE1" w:rsidP="00D727BF">
      <w:pPr>
        <w:tabs>
          <w:tab w:val="left" w:pos="720"/>
        </w:tabs>
        <w:rPr>
          <w:rFonts w:ascii="Times New Roman Bold" w:hAnsi="Times New Roman Bold"/>
          <w:b/>
          <w:color w:val="0550AE" w:themeColor="text1" w:themeTint="BF"/>
          <w:spacing w:val="30"/>
          <w:sz w:val="32"/>
          <w:szCs w:val="32"/>
        </w:rPr>
      </w:pPr>
      <w:bookmarkStart w:id="2" w:name="_Toc444877484"/>
      <w:r w:rsidRPr="001845F3">
        <w:rPr>
          <w:rFonts w:ascii="Times New Roman Bold" w:hAnsi="Times New Roman Bold"/>
          <w:b/>
          <w:color w:val="0550AE" w:themeColor="text1" w:themeTint="BF"/>
          <w:spacing w:val="30"/>
          <w:sz w:val="32"/>
          <w:szCs w:val="32"/>
        </w:rPr>
        <w:t>Table of Maps</w:t>
      </w:r>
      <w:bookmarkEnd w:id="2"/>
    </w:p>
    <w:p w14:paraId="338A7023" w14:textId="6C0B28B8" w:rsidR="004F4472" w:rsidRPr="006F6842" w:rsidRDefault="004F6EE1" w:rsidP="00D727BF">
      <w:pPr>
        <w:pStyle w:val="TableofFigures"/>
        <w:tabs>
          <w:tab w:val="left" w:pos="720"/>
          <w:tab w:val="right" w:leader="dot" w:pos="9350"/>
        </w:tabs>
        <w:spacing w:before="120"/>
        <w:rPr>
          <w:rFonts w:asciiTheme="minorHAnsi" w:eastAsiaTheme="minorEastAsia" w:hAnsiTheme="minorHAnsi"/>
          <w:noProof/>
          <w:sz w:val="20"/>
          <w:szCs w:val="20"/>
        </w:rPr>
      </w:pPr>
      <w:r>
        <w:fldChar w:fldCharType="begin"/>
      </w:r>
      <w:r>
        <w:instrText xml:space="preserve"> TOC \h \z \c "Map" </w:instrText>
      </w:r>
      <w:r>
        <w:fldChar w:fldCharType="separate"/>
      </w:r>
      <w:hyperlink w:anchor="_Toc445132402" w:history="1">
        <w:r w:rsidR="004F4472" w:rsidRPr="006F6842">
          <w:rPr>
            <w:rStyle w:val="Hyperlink"/>
            <w:noProof/>
            <w:sz w:val="20"/>
            <w:szCs w:val="20"/>
          </w:rPr>
          <w:t xml:space="preserve">Map 1: Proxy for Economic </w:t>
        </w:r>
        <w:r w:rsidR="00E46367" w:rsidRPr="006F6842">
          <w:rPr>
            <w:rStyle w:val="Hyperlink"/>
            <w:noProof/>
            <w:sz w:val="20"/>
            <w:szCs w:val="20"/>
          </w:rPr>
          <w:t>A</w:t>
        </w:r>
        <w:r w:rsidR="004F4472" w:rsidRPr="006F6842">
          <w:rPr>
            <w:rStyle w:val="Hyperlink"/>
            <w:noProof/>
            <w:sz w:val="20"/>
            <w:szCs w:val="20"/>
          </w:rPr>
          <w:t xml:space="preserve">ctivity </w:t>
        </w:r>
        <w:r w:rsidR="00E46367" w:rsidRPr="006F6842">
          <w:rPr>
            <w:rStyle w:val="Hyperlink"/>
            <w:noProof/>
            <w:sz w:val="20"/>
            <w:szCs w:val="20"/>
          </w:rPr>
          <w:t>G</w:t>
        </w:r>
        <w:r w:rsidR="004F4472" w:rsidRPr="006F6842">
          <w:rPr>
            <w:rStyle w:val="Hyperlink"/>
            <w:noProof/>
            <w:sz w:val="20"/>
            <w:szCs w:val="20"/>
          </w:rPr>
          <w:t>rowth</w:t>
        </w:r>
        <w:r w:rsidR="00E26E98" w:rsidRPr="006F6842">
          <w:rPr>
            <w:rStyle w:val="Hyperlink"/>
            <w:noProof/>
            <w:sz w:val="20"/>
            <w:szCs w:val="20"/>
          </w:rPr>
          <w:t>, o</w:t>
        </w:r>
        <w:r w:rsidR="004F4472" w:rsidRPr="006F6842">
          <w:rPr>
            <w:rStyle w:val="Hyperlink"/>
            <w:noProof/>
            <w:sz w:val="20"/>
            <w:szCs w:val="20"/>
          </w:rPr>
          <w:t xml:space="preserve">ver the </w:t>
        </w:r>
        <w:r w:rsidR="00E46367" w:rsidRPr="006F6842">
          <w:rPr>
            <w:rStyle w:val="Hyperlink"/>
            <w:noProof/>
            <w:sz w:val="20"/>
            <w:szCs w:val="20"/>
          </w:rPr>
          <w:t>P</w:t>
        </w:r>
        <w:r w:rsidR="004F4472" w:rsidRPr="006F6842">
          <w:rPr>
            <w:rStyle w:val="Hyperlink"/>
            <w:noProof/>
            <w:sz w:val="20"/>
            <w:szCs w:val="20"/>
          </w:rPr>
          <w:t>eriod 2003</w:t>
        </w:r>
        <w:r w:rsidR="00E46367" w:rsidRPr="006F6842">
          <w:rPr>
            <w:rStyle w:val="Hyperlink"/>
            <w:rFonts w:ascii="Calibri" w:hAnsi="Calibri"/>
            <w:noProof/>
            <w:sz w:val="20"/>
            <w:szCs w:val="20"/>
          </w:rPr>
          <w:t>‒</w:t>
        </w:r>
        <w:r w:rsidR="004F4472" w:rsidRPr="006F6842">
          <w:rPr>
            <w:rStyle w:val="Hyperlink"/>
            <w:noProof/>
            <w:sz w:val="20"/>
            <w:szCs w:val="20"/>
          </w:rPr>
          <w:t>2012</w:t>
        </w:r>
        <w:r w:rsidR="004F4472" w:rsidRPr="006F6842">
          <w:rPr>
            <w:noProof/>
            <w:webHidden/>
            <w:sz w:val="20"/>
            <w:szCs w:val="20"/>
          </w:rPr>
          <w:tab/>
        </w:r>
        <w:r w:rsidR="004F4472" w:rsidRPr="006F6842">
          <w:rPr>
            <w:noProof/>
            <w:webHidden/>
            <w:sz w:val="20"/>
            <w:szCs w:val="20"/>
          </w:rPr>
          <w:fldChar w:fldCharType="begin"/>
        </w:r>
        <w:r w:rsidR="004F4472" w:rsidRPr="006F6842">
          <w:rPr>
            <w:noProof/>
            <w:webHidden/>
            <w:sz w:val="20"/>
            <w:szCs w:val="20"/>
          </w:rPr>
          <w:instrText xml:space="preserve"> PAGEREF _Toc445132402 \h </w:instrText>
        </w:r>
        <w:r w:rsidR="004F4472" w:rsidRPr="006F6842">
          <w:rPr>
            <w:noProof/>
            <w:webHidden/>
            <w:sz w:val="20"/>
            <w:szCs w:val="20"/>
          </w:rPr>
        </w:r>
        <w:r w:rsidR="004F4472" w:rsidRPr="006F6842">
          <w:rPr>
            <w:noProof/>
            <w:webHidden/>
            <w:sz w:val="20"/>
            <w:szCs w:val="20"/>
          </w:rPr>
          <w:fldChar w:fldCharType="separate"/>
        </w:r>
        <w:r w:rsidR="008A3BBD" w:rsidRPr="006F6842">
          <w:rPr>
            <w:noProof/>
            <w:webHidden/>
            <w:sz w:val="20"/>
            <w:szCs w:val="20"/>
          </w:rPr>
          <w:t>14</w:t>
        </w:r>
        <w:r w:rsidR="004F4472" w:rsidRPr="006F6842">
          <w:rPr>
            <w:noProof/>
            <w:webHidden/>
            <w:sz w:val="20"/>
            <w:szCs w:val="20"/>
          </w:rPr>
          <w:fldChar w:fldCharType="end"/>
        </w:r>
      </w:hyperlink>
    </w:p>
    <w:p w14:paraId="60FCAF90" w14:textId="409E55DA" w:rsidR="004F4472" w:rsidRPr="006F6842" w:rsidRDefault="00B71057" w:rsidP="00D727BF">
      <w:pPr>
        <w:pStyle w:val="TableofFigures"/>
        <w:tabs>
          <w:tab w:val="left" w:pos="720"/>
          <w:tab w:val="right" w:leader="dot" w:pos="9350"/>
        </w:tabs>
        <w:spacing w:before="120"/>
        <w:rPr>
          <w:rFonts w:asciiTheme="minorHAnsi" w:eastAsiaTheme="minorEastAsia" w:hAnsiTheme="minorHAnsi"/>
          <w:noProof/>
          <w:sz w:val="20"/>
          <w:szCs w:val="20"/>
        </w:rPr>
      </w:pPr>
      <w:hyperlink w:anchor="_Toc445132403" w:history="1">
        <w:r w:rsidR="004F4472" w:rsidRPr="006F6842">
          <w:rPr>
            <w:rStyle w:val="Hyperlink"/>
            <w:noProof/>
            <w:sz w:val="20"/>
            <w:szCs w:val="20"/>
          </w:rPr>
          <w:t xml:space="preserve">Map 2: Proxy for Economic </w:t>
        </w:r>
        <w:r w:rsidR="00E46367" w:rsidRPr="006F6842">
          <w:rPr>
            <w:rStyle w:val="Hyperlink"/>
            <w:noProof/>
            <w:sz w:val="20"/>
            <w:szCs w:val="20"/>
          </w:rPr>
          <w:t>A</w:t>
        </w:r>
        <w:r w:rsidR="004F4472" w:rsidRPr="006F6842">
          <w:rPr>
            <w:rStyle w:val="Hyperlink"/>
            <w:noProof/>
            <w:sz w:val="20"/>
            <w:szCs w:val="20"/>
          </w:rPr>
          <w:t xml:space="preserve">ctivity </w:t>
        </w:r>
        <w:r w:rsidR="00E46367" w:rsidRPr="006F6842">
          <w:rPr>
            <w:rStyle w:val="Hyperlink"/>
            <w:noProof/>
            <w:sz w:val="20"/>
            <w:szCs w:val="20"/>
          </w:rPr>
          <w:t>G</w:t>
        </w:r>
        <w:r w:rsidR="004F4472" w:rsidRPr="006F6842">
          <w:rPr>
            <w:rStyle w:val="Hyperlink"/>
            <w:noProof/>
            <w:sz w:val="20"/>
            <w:szCs w:val="20"/>
          </w:rPr>
          <w:t>rowth</w:t>
        </w:r>
        <w:r w:rsidR="00E26E98" w:rsidRPr="006F6842">
          <w:rPr>
            <w:rStyle w:val="Hyperlink"/>
            <w:noProof/>
            <w:sz w:val="20"/>
            <w:szCs w:val="20"/>
          </w:rPr>
          <w:t>, o</w:t>
        </w:r>
        <w:r w:rsidR="004F4472" w:rsidRPr="006F6842">
          <w:rPr>
            <w:rStyle w:val="Hyperlink"/>
            <w:noProof/>
            <w:sz w:val="20"/>
            <w:szCs w:val="20"/>
          </w:rPr>
          <w:t xml:space="preserve">ver the </w:t>
        </w:r>
        <w:r w:rsidR="00E46367" w:rsidRPr="006F6842">
          <w:rPr>
            <w:rStyle w:val="Hyperlink"/>
            <w:noProof/>
            <w:sz w:val="20"/>
            <w:szCs w:val="20"/>
          </w:rPr>
          <w:t>P</w:t>
        </w:r>
        <w:r w:rsidR="004F4472" w:rsidRPr="006F6842">
          <w:rPr>
            <w:rStyle w:val="Hyperlink"/>
            <w:noProof/>
            <w:sz w:val="20"/>
            <w:szCs w:val="20"/>
          </w:rPr>
          <w:t>eriod 2009</w:t>
        </w:r>
        <w:r w:rsidR="00E46367" w:rsidRPr="006F6842">
          <w:rPr>
            <w:rStyle w:val="Hyperlink"/>
            <w:rFonts w:ascii="Calibri" w:hAnsi="Calibri"/>
            <w:noProof/>
            <w:sz w:val="20"/>
            <w:szCs w:val="20"/>
          </w:rPr>
          <w:t>‒</w:t>
        </w:r>
        <w:r w:rsidR="004F4472" w:rsidRPr="006F6842">
          <w:rPr>
            <w:rStyle w:val="Hyperlink"/>
            <w:noProof/>
            <w:sz w:val="20"/>
            <w:szCs w:val="20"/>
          </w:rPr>
          <w:t>2012</w:t>
        </w:r>
        <w:r w:rsidR="004F4472" w:rsidRPr="006F6842">
          <w:rPr>
            <w:noProof/>
            <w:webHidden/>
            <w:sz w:val="20"/>
            <w:szCs w:val="20"/>
          </w:rPr>
          <w:tab/>
        </w:r>
        <w:r w:rsidR="004F4472" w:rsidRPr="006F6842">
          <w:rPr>
            <w:noProof/>
            <w:webHidden/>
            <w:sz w:val="20"/>
            <w:szCs w:val="20"/>
          </w:rPr>
          <w:fldChar w:fldCharType="begin"/>
        </w:r>
        <w:r w:rsidR="004F4472" w:rsidRPr="006F6842">
          <w:rPr>
            <w:noProof/>
            <w:webHidden/>
            <w:sz w:val="20"/>
            <w:szCs w:val="20"/>
          </w:rPr>
          <w:instrText xml:space="preserve"> PAGEREF _Toc445132403 \h </w:instrText>
        </w:r>
        <w:r w:rsidR="004F4472" w:rsidRPr="006F6842">
          <w:rPr>
            <w:noProof/>
            <w:webHidden/>
            <w:sz w:val="20"/>
            <w:szCs w:val="20"/>
          </w:rPr>
        </w:r>
        <w:r w:rsidR="004F4472" w:rsidRPr="006F6842">
          <w:rPr>
            <w:noProof/>
            <w:webHidden/>
            <w:sz w:val="20"/>
            <w:szCs w:val="20"/>
          </w:rPr>
          <w:fldChar w:fldCharType="separate"/>
        </w:r>
        <w:r w:rsidR="008A3BBD" w:rsidRPr="006F6842">
          <w:rPr>
            <w:noProof/>
            <w:webHidden/>
            <w:sz w:val="20"/>
            <w:szCs w:val="20"/>
          </w:rPr>
          <w:t>14</w:t>
        </w:r>
        <w:r w:rsidR="004F4472" w:rsidRPr="006F6842">
          <w:rPr>
            <w:noProof/>
            <w:webHidden/>
            <w:sz w:val="20"/>
            <w:szCs w:val="20"/>
          </w:rPr>
          <w:fldChar w:fldCharType="end"/>
        </w:r>
      </w:hyperlink>
    </w:p>
    <w:p w14:paraId="58E81C63" w14:textId="37FA6B29" w:rsidR="004F4472" w:rsidRPr="006F6842" w:rsidRDefault="00B71057" w:rsidP="00D727BF">
      <w:pPr>
        <w:pStyle w:val="TableofFigures"/>
        <w:tabs>
          <w:tab w:val="left" w:pos="720"/>
          <w:tab w:val="right" w:leader="dot" w:pos="9350"/>
        </w:tabs>
        <w:spacing w:before="120"/>
        <w:rPr>
          <w:rFonts w:asciiTheme="minorHAnsi" w:eastAsiaTheme="minorEastAsia" w:hAnsiTheme="minorHAnsi"/>
          <w:noProof/>
          <w:sz w:val="20"/>
          <w:szCs w:val="20"/>
        </w:rPr>
      </w:pPr>
      <w:hyperlink w:anchor="_Toc445132404" w:history="1">
        <w:r w:rsidR="004F4472" w:rsidRPr="006F6842">
          <w:rPr>
            <w:rStyle w:val="Hyperlink"/>
            <w:noProof/>
            <w:sz w:val="20"/>
            <w:szCs w:val="20"/>
          </w:rPr>
          <w:t xml:space="preserve">Map 3: Proportion of Poor </w:t>
        </w:r>
        <w:r w:rsidR="00E46367" w:rsidRPr="006F6842">
          <w:rPr>
            <w:rStyle w:val="Hyperlink"/>
            <w:noProof/>
            <w:sz w:val="20"/>
            <w:szCs w:val="20"/>
          </w:rPr>
          <w:t>H</w:t>
        </w:r>
        <w:r w:rsidR="004F4472" w:rsidRPr="006F6842">
          <w:rPr>
            <w:rStyle w:val="Hyperlink"/>
            <w:noProof/>
            <w:sz w:val="20"/>
            <w:szCs w:val="20"/>
          </w:rPr>
          <w:t xml:space="preserve">ouseholds by </w:t>
        </w:r>
        <w:r w:rsidR="00E46367" w:rsidRPr="006F6842">
          <w:rPr>
            <w:rStyle w:val="Hyperlink"/>
            <w:noProof/>
            <w:sz w:val="20"/>
            <w:szCs w:val="20"/>
          </w:rPr>
          <w:t>S</w:t>
        </w:r>
        <w:r w:rsidR="004F4472" w:rsidRPr="006F6842">
          <w:rPr>
            <w:rStyle w:val="Hyperlink"/>
            <w:noProof/>
            <w:sz w:val="20"/>
            <w:szCs w:val="20"/>
          </w:rPr>
          <w:t>tate</w:t>
        </w:r>
        <w:r w:rsidR="00E26E98" w:rsidRPr="006F6842">
          <w:rPr>
            <w:rStyle w:val="Hyperlink"/>
            <w:noProof/>
            <w:sz w:val="20"/>
            <w:szCs w:val="20"/>
          </w:rPr>
          <w:t xml:space="preserve">, </w:t>
        </w:r>
        <w:r w:rsidR="004F4472" w:rsidRPr="006F6842">
          <w:rPr>
            <w:rStyle w:val="Hyperlink"/>
            <w:noProof/>
            <w:sz w:val="20"/>
            <w:szCs w:val="20"/>
          </w:rPr>
          <w:t>2012</w:t>
        </w:r>
        <w:r w:rsidR="00E46367" w:rsidRPr="006F6842">
          <w:rPr>
            <w:rStyle w:val="Hyperlink"/>
            <w:rFonts w:ascii="Calibri" w:hAnsi="Calibri"/>
            <w:noProof/>
            <w:sz w:val="20"/>
            <w:szCs w:val="20"/>
          </w:rPr>
          <w:t>‒</w:t>
        </w:r>
        <w:r w:rsidR="00E46367" w:rsidRPr="006F6842">
          <w:rPr>
            <w:rStyle w:val="Hyperlink"/>
            <w:noProof/>
            <w:sz w:val="20"/>
            <w:szCs w:val="20"/>
          </w:rPr>
          <w:t>20</w:t>
        </w:r>
        <w:r w:rsidR="004F4472" w:rsidRPr="006F6842">
          <w:rPr>
            <w:rStyle w:val="Hyperlink"/>
            <w:noProof/>
            <w:sz w:val="20"/>
            <w:szCs w:val="20"/>
          </w:rPr>
          <w:t>13</w:t>
        </w:r>
        <w:r w:rsidR="004F4472" w:rsidRPr="006F6842">
          <w:rPr>
            <w:noProof/>
            <w:webHidden/>
            <w:sz w:val="20"/>
            <w:szCs w:val="20"/>
          </w:rPr>
          <w:tab/>
        </w:r>
        <w:r w:rsidR="004F4472" w:rsidRPr="006F6842">
          <w:rPr>
            <w:noProof/>
            <w:webHidden/>
            <w:sz w:val="20"/>
            <w:szCs w:val="20"/>
          </w:rPr>
          <w:fldChar w:fldCharType="begin"/>
        </w:r>
        <w:r w:rsidR="004F4472" w:rsidRPr="006F6842">
          <w:rPr>
            <w:noProof/>
            <w:webHidden/>
            <w:sz w:val="20"/>
            <w:szCs w:val="20"/>
          </w:rPr>
          <w:instrText xml:space="preserve"> PAGEREF _Toc445132404 \h </w:instrText>
        </w:r>
        <w:r w:rsidR="004F4472" w:rsidRPr="006F6842">
          <w:rPr>
            <w:noProof/>
            <w:webHidden/>
            <w:sz w:val="20"/>
            <w:szCs w:val="20"/>
          </w:rPr>
        </w:r>
        <w:r w:rsidR="004F4472" w:rsidRPr="006F6842">
          <w:rPr>
            <w:noProof/>
            <w:webHidden/>
            <w:sz w:val="20"/>
            <w:szCs w:val="20"/>
          </w:rPr>
          <w:fldChar w:fldCharType="separate"/>
        </w:r>
        <w:r w:rsidR="008A3BBD" w:rsidRPr="006F6842">
          <w:rPr>
            <w:noProof/>
            <w:webHidden/>
            <w:sz w:val="20"/>
            <w:szCs w:val="20"/>
          </w:rPr>
          <w:t>36</w:t>
        </w:r>
        <w:r w:rsidR="004F4472" w:rsidRPr="006F6842">
          <w:rPr>
            <w:noProof/>
            <w:webHidden/>
            <w:sz w:val="20"/>
            <w:szCs w:val="20"/>
          </w:rPr>
          <w:fldChar w:fldCharType="end"/>
        </w:r>
      </w:hyperlink>
    </w:p>
    <w:p w14:paraId="5B95E7DE" w14:textId="6DE175A3" w:rsidR="004F4472" w:rsidRPr="006F6842" w:rsidRDefault="00B71057" w:rsidP="00D727BF">
      <w:pPr>
        <w:pStyle w:val="TableofFigures"/>
        <w:tabs>
          <w:tab w:val="left" w:pos="720"/>
          <w:tab w:val="right" w:leader="dot" w:pos="9350"/>
        </w:tabs>
        <w:spacing w:before="120"/>
        <w:rPr>
          <w:rFonts w:asciiTheme="minorHAnsi" w:eastAsiaTheme="minorEastAsia" w:hAnsiTheme="minorHAnsi"/>
          <w:noProof/>
          <w:sz w:val="20"/>
          <w:szCs w:val="20"/>
        </w:rPr>
      </w:pPr>
      <w:hyperlink w:anchor="_Toc445132405" w:history="1">
        <w:r w:rsidR="004F4472" w:rsidRPr="006F6842">
          <w:rPr>
            <w:rStyle w:val="Hyperlink"/>
            <w:noProof/>
            <w:sz w:val="20"/>
            <w:szCs w:val="20"/>
          </w:rPr>
          <w:t xml:space="preserve">Map 4: Nighttime </w:t>
        </w:r>
        <w:r w:rsidR="00E46367" w:rsidRPr="006F6842">
          <w:rPr>
            <w:rStyle w:val="Hyperlink"/>
            <w:noProof/>
            <w:sz w:val="20"/>
            <w:szCs w:val="20"/>
          </w:rPr>
          <w:t>L</w:t>
        </w:r>
        <w:r w:rsidR="004F4472" w:rsidRPr="006F6842">
          <w:rPr>
            <w:rStyle w:val="Hyperlink"/>
            <w:noProof/>
            <w:sz w:val="20"/>
            <w:szCs w:val="20"/>
          </w:rPr>
          <w:t>ights in 2012</w:t>
        </w:r>
        <w:r w:rsidR="004F4472" w:rsidRPr="006F6842">
          <w:rPr>
            <w:noProof/>
            <w:webHidden/>
            <w:sz w:val="20"/>
            <w:szCs w:val="20"/>
          </w:rPr>
          <w:tab/>
        </w:r>
        <w:r w:rsidR="004F4472" w:rsidRPr="006F6842">
          <w:rPr>
            <w:noProof/>
            <w:webHidden/>
            <w:sz w:val="20"/>
            <w:szCs w:val="20"/>
          </w:rPr>
          <w:fldChar w:fldCharType="begin"/>
        </w:r>
        <w:r w:rsidR="004F4472" w:rsidRPr="006F6842">
          <w:rPr>
            <w:noProof/>
            <w:webHidden/>
            <w:sz w:val="20"/>
            <w:szCs w:val="20"/>
          </w:rPr>
          <w:instrText xml:space="preserve"> PAGEREF _Toc445132405 \h </w:instrText>
        </w:r>
        <w:r w:rsidR="004F4472" w:rsidRPr="006F6842">
          <w:rPr>
            <w:noProof/>
            <w:webHidden/>
            <w:sz w:val="20"/>
            <w:szCs w:val="20"/>
          </w:rPr>
        </w:r>
        <w:r w:rsidR="004F4472" w:rsidRPr="006F6842">
          <w:rPr>
            <w:noProof/>
            <w:webHidden/>
            <w:sz w:val="20"/>
            <w:szCs w:val="20"/>
          </w:rPr>
          <w:fldChar w:fldCharType="separate"/>
        </w:r>
        <w:r w:rsidR="008A3BBD" w:rsidRPr="006F6842">
          <w:rPr>
            <w:noProof/>
            <w:webHidden/>
            <w:sz w:val="20"/>
            <w:szCs w:val="20"/>
          </w:rPr>
          <w:t>36</w:t>
        </w:r>
        <w:r w:rsidR="004F4472" w:rsidRPr="006F6842">
          <w:rPr>
            <w:noProof/>
            <w:webHidden/>
            <w:sz w:val="20"/>
            <w:szCs w:val="20"/>
          </w:rPr>
          <w:fldChar w:fldCharType="end"/>
        </w:r>
      </w:hyperlink>
    </w:p>
    <w:p w14:paraId="20ED0AB0" w14:textId="3CBD3AD8" w:rsidR="004F4472" w:rsidRPr="006F6842" w:rsidRDefault="00B71057" w:rsidP="00D727BF">
      <w:pPr>
        <w:pStyle w:val="TableofFigures"/>
        <w:tabs>
          <w:tab w:val="left" w:pos="720"/>
          <w:tab w:val="right" w:leader="dot" w:pos="9350"/>
        </w:tabs>
        <w:spacing w:before="120"/>
        <w:rPr>
          <w:rFonts w:asciiTheme="minorHAnsi" w:eastAsiaTheme="minorEastAsia" w:hAnsiTheme="minorHAnsi"/>
          <w:noProof/>
          <w:sz w:val="20"/>
          <w:szCs w:val="20"/>
        </w:rPr>
      </w:pPr>
      <w:hyperlink w:anchor="_Toc445132406" w:history="1">
        <w:r w:rsidR="004F4472" w:rsidRPr="006F6842">
          <w:rPr>
            <w:rStyle w:val="Hyperlink"/>
            <w:noProof/>
            <w:sz w:val="20"/>
            <w:szCs w:val="20"/>
          </w:rPr>
          <w:t xml:space="preserve">Map 5: Proxy for Economic </w:t>
        </w:r>
        <w:r w:rsidR="00E46367" w:rsidRPr="006F6842">
          <w:rPr>
            <w:rStyle w:val="Hyperlink"/>
            <w:noProof/>
            <w:sz w:val="20"/>
            <w:szCs w:val="20"/>
          </w:rPr>
          <w:t>A</w:t>
        </w:r>
        <w:r w:rsidR="004F4472" w:rsidRPr="006F6842">
          <w:rPr>
            <w:rStyle w:val="Hyperlink"/>
            <w:noProof/>
            <w:sz w:val="20"/>
            <w:szCs w:val="20"/>
          </w:rPr>
          <w:t xml:space="preserve">ctivity </w:t>
        </w:r>
        <w:r w:rsidR="00E46367" w:rsidRPr="006F6842">
          <w:rPr>
            <w:rStyle w:val="Hyperlink"/>
            <w:noProof/>
            <w:sz w:val="20"/>
            <w:szCs w:val="20"/>
          </w:rPr>
          <w:t>G</w:t>
        </w:r>
        <w:r w:rsidR="004F4472" w:rsidRPr="006F6842">
          <w:rPr>
            <w:rStyle w:val="Hyperlink"/>
            <w:noProof/>
            <w:sz w:val="20"/>
            <w:szCs w:val="20"/>
          </w:rPr>
          <w:t>rowth</w:t>
        </w:r>
        <w:r w:rsidR="00E26E98" w:rsidRPr="006F6842">
          <w:rPr>
            <w:rStyle w:val="Hyperlink"/>
            <w:noProof/>
            <w:sz w:val="20"/>
            <w:szCs w:val="20"/>
          </w:rPr>
          <w:t>, o</w:t>
        </w:r>
        <w:r w:rsidR="004F4472" w:rsidRPr="006F6842">
          <w:rPr>
            <w:rStyle w:val="Hyperlink"/>
            <w:noProof/>
            <w:sz w:val="20"/>
            <w:szCs w:val="20"/>
          </w:rPr>
          <w:t xml:space="preserve">ver the </w:t>
        </w:r>
        <w:r w:rsidR="00E46367" w:rsidRPr="006F6842">
          <w:rPr>
            <w:rStyle w:val="Hyperlink"/>
            <w:noProof/>
            <w:sz w:val="20"/>
            <w:szCs w:val="20"/>
          </w:rPr>
          <w:t>P</w:t>
        </w:r>
        <w:r w:rsidR="004F4472" w:rsidRPr="006F6842">
          <w:rPr>
            <w:rStyle w:val="Hyperlink"/>
            <w:noProof/>
            <w:sz w:val="20"/>
            <w:szCs w:val="20"/>
          </w:rPr>
          <w:t>eriod 2003</w:t>
        </w:r>
        <w:r w:rsidR="00E46367" w:rsidRPr="006F6842">
          <w:rPr>
            <w:rStyle w:val="Hyperlink"/>
            <w:rFonts w:ascii="Calibri" w:hAnsi="Calibri"/>
            <w:noProof/>
            <w:sz w:val="20"/>
            <w:szCs w:val="20"/>
          </w:rPr>
          <w:t>‒</w:t>
        </w:r>
        <w:r w:rsidR="004F4472" w:rsidRPr="006F6842">
          <w:rPr>
            <w:rStyle w:val="Hyperlink"/>
            <w:noProof/>
            <w:sz w:val="20"/>
            <w:szCs w:val="20"/>
          </w:rPr>
          <w:t>2012</w:t>
        </w:r>
        <w:r w:rsidR="004F4472" w:rsidRPr="006F6842">
          <w:rPr>
            <w:noProof/>
            <w:webHidden/>
            <w:sz w:val="20"/>
            <w:szCs w:val="20"/>
          </w:rPr>
          <w:tab/>
        </w:r>
        <w:r w:rsidR="004F4472" w:rsidRPr="006F6842">
          <w:rPr>
            <w:noProof/>
            <w:webHidden/>
            <w:sz w:val="20"/>
            <w:szCs w:val="20"/>
          </w:rPr>
          <w:fldChar w:fldCharType="begin"/>
        </w:r>
        <w:r w:rsidR="004F4472" w:rsidRPr="006F6842">
          <w:rPr>
            <w:noProof/>
            <w:webHidden/>
            <w:sz w:val="20"/>
            <w:szCs w:val="20"/>
          </w:rPr>
          <w:instrText xml:space="preserve"> PAGEREF _Toc445132406 \h </w:instrText>
        </w:r>
        <w:r w:rsidR="004F4472" w:rsidRPr="006F6842">
          <w:rPr>
            <w:noProof/>
            <w:webHidden/>
            <w:sz w:val="20"/>
            <w:szCs w:val="20"/>
          </w:rPr>
        </w:r>
        <w:r w:rsidR="004F4472" w:rsidRPr="006F6842">
          <w:rPr>
            <w:noProof/>
            <w:webHidden/>
            <w:sz w:val="20"/>
            <w:szCs w:val="20"/>
          </w:rPr>
          <w:fldChar w:fldCharType="separate"/>
        </w:r>
        <w:r w:rsidR="008A3BBD" w:rsidRPr="006F6842">
          <w:rPr>
            <w:noProof/>
            <w:webHidden/>
            <w:sz w:val="20"/>
            <w:szCs w:val="20"/>
          </w:rPr>
          <w:t>44</w:t>
        </w:r>
        <w:r w:rsidR="004F4472" w:rsidRPr="006F6842">
          <w:rPr>
            <w:noProof/>
            <w:webHidden/>
            <w:sz w:val="20"/>
            <w:szCs w:val="20"/>
          </w:rPr>
          <w:fldChar w:fldCharType="end"/>
        </w:r>
      </w:hyperlink>
    </w:p>
    <w:p w14:paraId="40BFD003" w14:textId="2FF86D9B" w:rsidR="004F4472" w:rsidRPr="006F6842" w:rsidRDefault="00B71057" w:rsidP="00D727BF">
      <w:pPr>
        <w:pStyle w:val="TableofFigures"/>
        <w:tabs>
          <w:tab w:val="left" w:pos="720"/>
          <w:tab w:val="right" w:leader="dot" w:pos="9350"/>
        </w:tabs>
        <w:spacing w:before="120"/>
        <w:rPr>
          <w:rFonts w:asciiTheme="minorHAnsi" w:eastAsiaTheme="minorEastAsia" w:hAnsiTheme="minorHAnsi"/>
          <w:noProof/>
          <w:sz w:val="20"/>
          <w:szCs w:val="20"/>
        </w:rPr>
      </w:pPr>
      <w:hyperlink w:anchor="_Toc445132407" w:history="1">
        <w:r w:rsidR="004F4472" w:rsidRPr="006F6842">
          <w:rPr>
            <w:rStyle w:val="Hyperlink"/>
            <w:noProof/>
            <w:sz w:val="20"/>
            <w:szCs w:val="20"/>
          </w:rPr>
          <w:t xml:space="preserve">Map 6: Proxy for Economic </w:t>
        </w:r>
        <w:r w:rsidR="00E46367" w:rsidRPr="006F6842">
          <w:rPr>
            <w:rStyle w:val="Hyperlink"/>
            <w:noProof/>
            <w:sz w:val="20"/>
            <w:szCs w:val="20"/>
          </w:rPr>
          <w:t>A</w:t>
        </w:r>
        <w:r w:rsidR="004F4472" w:rsidRPr="006F6842">
          <w:rPr>
            <w:rStyle w:val="Hyperlink"/>
            <w:noProof/>
            <w:sz w:val="20"/>
            <w:szCs w:val="20"/>
          </w:rPr>
          <w:t xml:space="preserve">ctivity </w:t>
        </w:r>
        <w:r w:rsidR="00E46367" w:rsidRPr="006F6842">
          <w:rPr>
            <w:rStyle w:val="Hyperlink"/>
            <w:noProof/>
            <w:sz w:val="20"/>
            <w:szCs w:val="20"/>
          </w:rPr>
          <w:t>G</w:t>
        </w:r>
        <w:r w:rsidR="004F4472" w:rsidRPr="006F6842">
          <w:rPr>
            <w:rStyle w:val="Hyperlink"/>
            <w:noProof/>
            <w:sz w:val="20"/>
            <w:szCs w:val="20"/>
          </w:rPr>
          <w:t>rowth</w:t>
        </w:r>
        <w:r w:rsidR="00E26E98" w:rsidRPr="006F6842">
          <w:rPr>
            <w:rStyle w:val="Hyperlink"/>
            <w:noProof/>
            <w:sz w:val="20"/>
            <w:szCs w:val="20"/>
          </w:rPr>
          <w:t>, o</w:t>
        </w:r>
        <w:r w:rsidR="004F4472" w:rsidRPr="006F6842">
          <w:rPr>
            <w:rStyle w:val="Hyperlink"/>
            <w:noProof/>
            <w:sz w:val="20"/>
            <w:szCs w:val="20"/>
          </w:rPr>
          <w:t xml:space="preserve">ver the </w:t>
        </w:r>
        <w:r w:rsidR="00E46367" w:rsidRPr="006F6842">
          <w:rPr>
            <w:rStyle w:val="Hyperlink"/>
            <w:noProof/>
            <w:sz w:val="20"/>
            <w:szCs w:val="20"/>
          </w:rPr>
          <w:t>P</w:t>
        </w:r>
        <w:r w:rsidR="004F4472" w:rsidRPr="006F6842">
          <w:rPr>
            <w:rStyle w:val="Hyperlink"/>
            <w:noProof/>
            <w:sz w:val="20"/>
            <w:szCs w:val="20"/>
          </w:rPr>
          <w:t>eriod 2009</w:t>
        </w:r>
        <w:r w:rsidR="00E46367" w:rsidRPr="006F6842">
          <w:rPr>
            <w:rStyle w:val="Hyperlink"/>
            <w:rFonts w:ascii="Calibri" w:hAnsi="Calibri"/>
            <w:noProof/>
            <w:sz w:val="20"/>
            <w:szCs w:val="20"/>
          </w:rPr>
          <w:t>‒</w:t>
        </w:r>
        <w:r w:rsidR="004F4472" w:rsidRPr="006F6842">
          <w:rPr>
            <w:rStyle w:val="Hyperlink"/>
            <w:noProof/>
            <w:sz w:val="20"/>
            <w:szCs w:val="20"/>
          </w:rPr>
          <w:t>2012</w:t>
        </w:r>
        <w:r w:rsidR="004F4472" w:rsidRPr="006F6842">
          <w:rPr>
            <w:noProof/>
            <w:webHidden/>
            <w:sz w:val="20"/>
            <w:szCs w:val="20"/>
          </w:rPr>
          <w:tab/>
        </w:r>
        <w:r w:rsidR="004F4472" w:rsidRPr="006F6842">
          <w:rPr>
            <w:noProof/>
            <w:webHidden/>
            <w:sz w:val="20"/>
            <w:szCs w:val="20"/>
          </w:rPr>
          <w:fldChar w:fldCharType="begin"/>
        </w:r>
        <w:r w:rsidR="004F4472" w:rsidRPr="006F6842">
          <w:rPr>
            <w:noProof/>
            <w:webHidden/>
            <w:sz w:val="20"/>
            <w:szCs w:val="20"/>
          </w:rPr>
          <w:instrText xml:space="preserve"> PAGEREF _Toc445132407 \h </w:instrText>
        </w:r>
        <w:r w:rsidR="004F4472" w:rsidRPr="006F6842">
          <w:rPr>
            <w:noProof/>
            <w:webHidden/>
            <w:sz w:val="20"/>
            <w:szCs w:val="20"/>
          </w:rPr>
        </w:r>
        <w:r w:rsidR="004F4472" w:rsidRPr="006F6842">
          <w:rPr>
            <w:noProof/>
            <w:webHidden/>
            <w:sz w:val="20"/>
            <w:szCs w:val="20"/>
          </w:rPr>
          <w:fldChar w:fldCharType="separate"/>
        </w:r>
        <w:r w:rsidR="008A3BBD" w:rsidRPr="006F6842">
          <w:rPr>
            <w:noProof/>
            <w:webHidden/>
            <w:sz w:val="20"/>
            <w:szCs w:val="20"/>
          </w:rPr>
          <w:t>44</w:t>
        </w:r>
        <w:r w:rsidR="004F4472" w:rsidRPr="006F6842">
          <w:rPr>
            <w:noProof/>
            <w:webHidden/>
            <w:sz w:val="20"/>
            <w:szCs w:val="20"/>
          </w:rPr>
          <w:fldChar w:fldCharType="end"/>
        </w:r>
      </w:hyperlink>
    </w:p>
    <w:p w14:paraId="68881CEA" w14:textId="20AA0D80" w:rsidR="007E5D82" w:rsidRDefault="004F6EE1" w:rsidP="00D727BF">
      <w:pPr>
        <w:tabs>
          <w:tab w:val="left" w:pos="720"/>
        </w:tabs>
        <w:spacing w:before="120" w:after="0"/>
      </w:pPr>
      <w:r>
        <w:fldChar w:fldCharType="end"/>
      </w:r>
    </w:p>
    <w:p w14:paraId="36D4AFE2" w14:textId="77777777" w:rsidR="007E5D82" w:rsidRDefault="007E5D82" w:rsidP="00D727BF">
      <w:pPr>
        <w:tabs>
          <w:tab w:val="left" w:pos="720"/>
        </w:tabs>
      </w:pPr>
      <w:r>
        <w:br w:type="page"/>
      </w:r>
    </w:p>
    <w:p w14:paraId="3F43A1FC" w14:textId="77777777" w:rsidR="004F6EE1" w:rsidRDefault="004F6EE1" w:rsidP="00D727BF">
      <w:pPr>
        <w:tabs>
          <w:tab w:val="left" w:pos="720"/>
        </w:tabs>
      </w:pPr>
    </w:p>
    <w:p w14:paraId="4B8986E6" w14:textId="28F9F3E9" w:rsidR="00497B34" w:rsidRPr="001845F3" w:rsidRDefault="00892767" w:rsidP="00D727BF">
      <w:pPr>
        <w:tabs>
          <w:tab w:val="left" w:pos="720"/>
        </w:tabs>
        <w:rPr>
          <w:rFonts w:ascii="Times New Roman Bold" w:hAnsi="Times New Roman Bold"/>
          <w:b/>
          <w:color w:val="0550AE" w:themeColor="text1" w:themeTint="BF"/>
          <w:spacing w:val="30"/>
          <w:sz w:val="32"/>
          <w:szCs w:val="32"/>
        </w:rPr>
      </w:pPr>
      <w:bookmarkStart w:id="3" w:name="_Toc444877485"/>
      <w:r w:rsidRPr="001845F3">
        <w:rPr>
          <w:rFonts w:ascii="Times New Roman Bold" w:hAnsi="Times New Roman Bold"/>
          <w:b/>
          <w:color w:val="0550AE" w:themeColor="text1" w:themeTint="BF"/>
          <w:spacing w:val="30"/>
          <w:sz w:val="32"/>
          <w:szCs w:val="32"/>
        </w:rPr>
        <w:t>Table of Figures</w:t>
      </w:r>
      <w:bookmarkEnd w:id="3"/>
    </w:p>
    <w:p w14:paraId="14CC719E" w14:textId="35425848" w:rsidR="00F26471" w:rsidRPr="006F6842" w:rsidRDefault="00892767" w:rsidP="00D727BF">
      <w:pPr>
        <w:pStyle w:val="TableofFigures"/>
        <w:tabs>
          <w:tab w:val="left" w:pos="720"/>
          <w:tab w:val="right" w:leader="dot" w:pos="9350"/>
        </w:tabs>
        <w:spacing w:beforeLines="40" w:before="96"/>
        <w:rPr>
          <w:rStyle w:val="Hyperlink"/>
          <w:rFonts w:cs="Times New Roman"/>
          <w:sz w:val="20"/>
          <w:szCs w:val="20"/>
        </w:rPr>
      </w:pPr>
      <w:r w:rsidRPr="00086B78">
        <w:rPr>
          <w:rFonts w:cs="Times New Roman"/>
          <w:szCs w:val="24"/>
        </w:rPr>
        <w:fldChar w:fldCharType="begin"/>
      </w:r>
      <w:r w:rsidRPr="00086B78">
        <w:rPr>
          <w:rFonts w:cs="Times New Roman"/>
          <w:szCs w:val="24"/>
        </w:rPr>
        <w:instrText xml:space="preserve"> TOC \h \z \c "Figure" </w:instrText>
      </w:r>
      <w:r w:rsidRPr="00086B78">
        <w:rPr>
          <w:rFonts w:cs="Times New Roman"/>
          <w:szCs w:val="24"/>
        </w:rPr>
        <w:fldChar w:fldCharType="separate"/>
      </w:r>
      <w:hyperlink w:anchor="_Toc445449619" w:history="1">
        <w:r w:rsidR="00F26471" w:rsidRPr="006F6842">
          <w:rPr>
            <w:rStyle w:val="Hyperlink"/>
            <w:rFonts w:cs="Times New Roman"/>
            <w:noProof/>
            <w:sz w:val="20"/>
            <w:szCs w:val="20"/>
          </w:rPr>
          <w:t xml:space="preserve">Figure 1: Distribution of </w:t>
        </w:r>
        <w:r w:rsidR="00E46367" w:rsidRPr="006F6842">
          <w:rPr>
            <w:rStyle w:val="Hyperlink"/>
            <w:rFonts w:cs="Times New Roman"/>
            <w:noProof/>
            <w:sz w:val="20"/>
            <w:szCs w:val="20"/>
          </w:rPr>
          <w:t>E</w:t>
        </w:r>
        <w:r w:rsidR="00F26471" w:rsidRPr="006F6842">
          <w:rPr>
            <w:rStyle w:val="Hyperlink"/>
            <w:rFonts w:cs="Times New Roman"/>
            <w:noProof/>
            <w:sz w:val="20"/>
            <w:szCs w:val="20"/>
          </w:rPr>
          <w:t>mployment in Nigeria in 2013</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_Toc445449619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16</w:t>
        </w:r>
        <w:r w:rsidR="00F26471" w:rsidRPr="006F6842">
          <w:rPr>
            <w:rStyle w:val="Hyperlink"/>
            <w:rFonts w:cs="Times New Roman"/>
            <w:webHidden/>
            <w:sz w:val="20"/>
            <w:szCs w:val="20"/>
          </w:rPr>
          <w:fldChar w:fldCharType="end"/>
        </w:r>
      </w:hyperlink>
    </w:p>
    <w:p w14:paraId="022F6BEE" w14:textId="4D419F37"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20" w:history="1">
        <w:r w:rsidR="00F26471" w:rsidRPr="006F6842">
          <w:rPr>
            <w:rStyle w:val="Hyperlink"/>
            <w:rFonts w:cs="Times New Roman"/>
            <w:noProof/>
            <w:sz w:val="20"/>
            <w:szCs w:val="20"/>
          </w:rPr>
          <w:t>Figure 2: Percentage of Firms Reporting Shrinking, Unchanged</w:t>
        </w:r>
        <w:r w:rsidR="00E46367" w:rsidRPr="006F6842">
          <w:rPr>
            <w:rStyle w:val="Hyperlink"/>
            <w:rFonts w:cs="Times New Roman"/>
            <w:noProof/>
            <w:sz w:val="20"/>
            <w:szCs w:val="20"/>
          </w:rPr>
          <w:t>,</w:t>
        </w:r>
        <w:r w:rsidR="00F26471" w:rsidRPr="006F6842">
          <w:rPr>
            <w:rStyle w:val="Hyperlink"/>
            <w:rFonts w:cs="Times New Roman"/>
            <w:noProof/>
            <w:sz w:val="20"/>
            <w:szCs w:val="20"/>
          </w:rPr>
          <w:t xml:space="preserve"> or Growing Workforce during the Last Financial Year (2014)</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_Toc445449620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18</w:t>
        </w:r>
        <w:r w:rsidR="00F26471" w:rsidRPr="006F6842">
          <w:rPr>
            <w:rStyle w:val="Hyperlink"/>
            <w:rFonts w:cs="Times New Roman"/>
            <w:webHidden/>
            <w:sz w:val="20"/>
            <w:szCs w:val="20"/>
          </w:rPr>
          <w:fldChar w:fldCharType="end"/>
        </w:r>
      </w:hyperlink>
    </w:p>
    <w:p w14:paraId="704C3F68" w14:textId="0127E10F"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21" w:history="1">
        <w:r w:rsidR="00F26471" w:rsidRPr="006F6842">
          <w:rPr>
            <w:rStyle w:val="Hyperlink"/>
            <w:rFonts w:cs="Times New Roman"/>
            <w:noProof/>
            <w:sz w:val="20"/>
            <w:szCs w:val="20"/>
          </w:rPr>
          <w:t xml:space="preserve">Figure 3: Number of </w:t>
        </w:r>
        <w:r w:rsidR="00E46367" w:rsidRPr="006F6842">
          <w:rPr>
            <w:rStyle w:val="Hyperlink"/>
            <w:rFonts w:cs="Times New Roman"/>
            <w:noProof/>
            <w:sz w:val="20"/>
            <w:szCs w:val="20"/>
          </w:rPr>
          <w:t>F</w:t>
        </w:r>
        <w:r w:rsidR="00F26471" w:rsidRPr="006F6842">
          <w:rPr>
            <w:rStyle w:val="Hyperlink"/>
            <w:rFonts w:cs="Times New Roman"/>
            <w:noProof/>
            <w:sz w:val="20"/>
            <w:szCs w:val="20"/>
          </w:rPr>
          <w:t xml:space="preserve">ormal </w:t>
        </w:r>
        <w:r w:rsidR="00E46367" w:rsidRPr="006F6842">
          <w:rPr>
            <w:rStyle w:val="Hyperlink"/>
            <w:rFonts w:cs="Times New Roman"/>
            <w:noProof/>
            <w:sz w:val="20"/>
            <w:szCs w:val="20"/>
          </w:rPr>
          <w:t>F</w:t>
        </w:r>
        <w:r w:rsidR="00F26471" w:rsidRPr="006F6842">
          <w:rPr>
            <w:rStyle w:val="Hyperlink"/>
            <w:rFonts w:cs="Times New Roman"/>
            <w:noProof/>
            <w:sz w:val="20"/>
            <w:szCs w:val="20"/>
          </w:rPr>
          <w:t xml:space="preserve">irms in the Nigerian </w:t>
        </w:r>
        <w:r w:rsidR="00E46367" w:rsidRPr="006F6842">
          <w:rPr>
            <w:rStyle w:val="Hyperlink"/>
            <w:rFonts w:cs="Times New Roman"/>
            <w:noProof/>
            <w:sz w:val="20"/>
            <w:szCs w:val="20"/>
          </w:rPr>
          <w:t>S</w:t>
        </w:r>
        <w:r w:rsidR="00F26471" w:rsidRPr="006F6842">
          <w:rPr>
            <w:rStyle w:val="Hyperlink"/>
            <w:rFonts w:cs="Times New Roman"/>
            <w:noProof/>
            <w:sz w:val="20"/>
            <w:szCs w:val="20"/>
          </w:rPr>
          <w:t>tates</w:t>
        </w:r>
        <w:r w:rsidR="00E46367" w:rsidRPr="006F6842">
          <w:rPr>
            <w:rStyle w:val="Hyperlink"/>
            <w:rFonts w:cs="Times New Roman"/>
            <w:noProof/>
            <w:sz w:val="20"/>
            <w:szCs w:val="20"/>
          </w:rPr>
          <w:t>—</w:t>
        </w:r>
        <w:r w:rsidR="00F26471" w:rsidRPr="006F6842">
          <w:rPr>
            <w:rStyle w:val="Hyperlink"/>
            <w:rFonts w:cs="Times New Roman"/>
            <w:noProof/>
            <w:sz w:val="20"/>
            <w:szCs w:val="20"/>
          </w:rPr>
          <w:t>2014</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_Toc445449621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18</w:t>
        </w:r>
        <w:r w:rsidR="00F26471" w:rsidRPr="006F6842">
          <w:rPr>
            <w:rStyle w:val="Hyperlink"/>
            <w:rFonts w:cs="Times New Roman"/>
            <w:webHidden/>
            <w:sz w:val="20"/>
            <w:szCs w:val="20"/>
          </w:rPr>
          <w:fldChar w:fldCharType="end"/>
        </w:r>
      </w:hyperlink>
    </w:p>
    <w:p w14:paraId="38297098" w14:textId="71F1BAC9"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22" w:history="1">
        <w:r w:rsidR="00F26471" w:rsidRPr="006F6842">
          <w:rPr>
            <w:rStyle w:val="Hyperlink"/>
            <w:rFonts w:cs="Times New Roman"/>
            <w:noProof/>
            <w:sz w:val="20"/>
            <w:szCs w:val="20"/>
          </w:rPr>
          <w:t>Figure 4: Percentage of Firms Citing a Major Obstacle in the Investment Climate</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_Toc445449622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20</w:t>
        </w:r>
        <w:r w:rsidR="00F26471" w:rsidRPr="006F6842">
          <w:rPr>
            <w:rStyle w:val="Hyperlink"/>
            <w:rFonts w:cs="Times New Roman"/>
            <w:webHidden/>
            <w:sz w:val="20"/>
            <w:szCs w:val="20"/>
          </w:rPr>
          <w:fldChar w:fldCharType="end"/>
        </w:r>
      </w:hyperlink>
    </w:p>
    <w:p w14:paraId="28D152B5" w14:textId="6197B604"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23" w:history="1">
        <w:r w:rsidR="00F26471" w:rsidRPr="006F6842">
          <w:rPr>
            <w:rStyle w:val="Hyperlink"/>
            <w:rFonts w:cs="Times New Roman"/>
            <w:noProof/>
            <w:sz w:val="20"/>
            <w:szCs w:val="20"/>
          </w:rPr>
          <w:t>Figure 5: Percentage of Firms Citing Obstacles in Different Regions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_Toc445449623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21</w:t>
        </w:r>
        <w:r w:rsidR="00F26471" w:rsidRPr="006F6842">
          <w:rPr>
            <w:rStyle w:val="Hyperlink"/>
            <w:rFonts w:cs="Times New Roman"/>
            <w:webHidden/>
            <w:sz w:val="20"/>
            <w:szCs w:val="20"/>
          </w:rPr>
          <w:fldChar w:fldCharType="end"/>
        </w:r>
      </w:hyperlink>
    </w:p>
    <w:p w14:paraId="015EBB48" w14:textId="142EAC92"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24" w:history="1">
        <w:r w:rsidR="00F26471" w:rsidRPr="006F6842">
          <w:rPr>
            <w:rStyle w:val="Hyperlink"/>
            <w:rFonts w:cs="Times New Roman"/>
            <w:noProof/>
            <w:sz w:val="20"/>
            <w:szCs w:val="20"/>
          </w:rPr>
          <w:t>Figure 6: Percentage of Small, Medium</w:t>
        </w:r>
        <w:r w:rsidR="00E46367" w:rsidRPr="006F6842">
          <w:rPr>
            <w:rStyle w:val="Hyperlink"/>
            <w:rFonts w:cs="Times New Roman"/>
            <w:noProof/>
            <w:sz w:val="20"/>
            <w:szCs w:val="20"/>
          </w:rPr>
          <w:t>,</w:t>
        </w:r>
        <w:r w:rsidR="00F26471" w:rsidRPr="006F6842">
          <w:rPr>
            <w:rStyle w:val="Hyperlink"/>
            <w:rFonts w:cs="Times New Roman"/>
            <w:noProof/>
            <w:sz w:val="20"/>
            <w:szCs w:val="20"/>
          </w:rPr>
          <w:t xml:space="preserve"> and Large Firms Citing Major Obstacles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_Toc445449624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23</w:t>
        </w:r>
        <w:r w:rsidR="00F26471" w:rsidRPr="006F6842">
          <w:rPr>
            <w:rStyle w:val="Hyperlink"/>
            <w:rFonts w:cs="Times New Roman"/>
            <w:webHidden/>
            <w:sz w:val="20"/>
            <w:szCs w:val="20"/>
          </w:rPr>
          <w:fldChar w:fldCharType="end"/>
        </w:r>
      </w:hyperlink>
    </w:p>
    <w:p w14:paraId="2A435E3F" w14:textId="5D9F0CD8"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25" w:history="1">
        <w:r w:rsidR="00F26471" w:rsidRPr="006F6842">
          <w:rPr>
            <w:rStyle w:val="Hyperlink"/>
            <w:rFonts w:cs="Times New Roman"/>
            <w:noProof/>
            <w:sz w:val="20"/>
            <w:szCs w:val="20"/>
          </w:rPr>
          <w:t>Figure 7: TFP for a Median Manufacturing Firm in Nigeria and Comparator Countries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_Toc445449625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24</w:t>
        </w:r>
        <w:r w:rsidR="00F26471" w:rsidRPr="006F6842">
          <w:rPr>
            <w:rStyle w:val="Hyperlink"/>
            <w:rFonts w:cs="Times New Roman"/>
            <w:webHidden/>
            <w:sz w:val="20"/>
            <w:szCs w:val="20"/>
          </w:rPr>
          <w:fldChar w:fldCharType="end"/>
        </w:r>
      </w:hyperlink>
    </w:p>
    <w:p w14:paraId="75836D5A" w14:textId="39BC8FF6"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26" w:history="1">
        <w:r w:rsidR="00F26471" w:rsidRPr="006F6842">
          <w:rPr>
            <w:rStyle w:val="Hyperlink"/>
            <w:rFonts w:cs="Times New Roman"/>
            <w:noProof/>
            <w:sz w:val="20"/>
            <w:szCs w:val="20"/>
          </w:rPr>
          <w:t>Figure 8: TFP for a Median Manufacturing Firm in Lagos and the Other Nigerian Regions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_Toc445449626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25</w:t>
        </w:r>
        <w:r w:rsidR="00F26471" w:rsidRPr="006F6842">
          <w:rPr>
            <w:rStyle w:val="Hyperlink"/>
            <w:rFonts w:cs="Times New Roman"/>
            <w:webHidden/>
            <w:sz w:val="20"/>
            <w:szCs w:val="20"/>
          </w:rPr>
          <w:fldChar w:fldCharType="end"/>
        </w:r>
      </w:hyperlink>
    </w:p>
    <w:p w14:paraId="4E071290" w14:textId="0365F53E"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27" w:history="1">
        <w:r w:rsidR="00F26471" w:rsidRPr="006F6842">
          <w:rPr>
            <w:rStyle w:val="Hyperlink"/>
            <w:rFonts w:cs="Times New Roman"/>
            <w:noProof/>
            <w:sz w:val="20"/>
            <w:szCs w:val="20"/>
          </w:rPr>
          <w:t xml:space="preserve">Figure 9: Unit </w:t>
        </w:r>
        <w:r w:rsidR="00E46367" w:rsidRPr="006F6842">
          <w:rPr>
            <w:rStyle w:val="Hyperlink"/>
            <w:rFonts w:cs="Times New Roman"/>
            <w:noProof/>
            <w:sz w:val="20"/>
            <w:szCs w:val="20"/>
          </w:rPr>
          <w:t>L</w:t>
        </w:r>
        <w:r w:rsidR="00F26471" w:rsidRPr="006F6842">
          <w:rPr>
            <w:rStyle w:val="Hyperlink"/>
            <w:rFonts w:cs="Times New Roman"/>
            <w:noProof/>
            <w:sz w:val="20"/>
            <w:szCs w:val="20"/>
          </w:rPr>
          <w:t xml:space="preserve">abor </w:t>
        </w:r>
        <w:r w:rsidR="00E46367" w:rsidRPr="006F6842">
          <w:rPr>
            <w:rStyle w:val="Hyperlink"/>
            <w:rFonts w:cs="Times New Roman"/>
            <w:noProof/>
            <w:sz w:val="20"/>
            <w:szCs w:val="20"/>
          </w:rPr>
          <w:t>C</w:t>
        </w:r>
        <w:r w:rsidR="00F26471" w:rsidRPr="006F6842">
          <w:rPr>
            <w:rStyle w:val="Hyperlink"/>
            <w:rFonts w:cs="Times New Roman"/>
            <w:noProof/>
            <w:sz w:val="20"/>
            <w:szCs w:val="20"/>
          </w:rPr>
          <w:t xml:space="preserve">osts in </w:t>
        </w:r>
        <w:r w:rsidR="00E46367" w:rsidRPr="006F6842">
          <w:rPr>
            <w:rStyle w:val="Hyperlink"/>
            <w:rFonts w:cs="Times New Roman"/>
            <w:noProof/>
            <w:sz w:val="20"/>
            <w:szCs w:val="20"/>
          </w:rPr>
          <w:t>M</w:t>
        </w:r>
        <w:r w:rsidR="00F26471" w:rsidRPr="006F6842">
          <w:rPr>
            <w:rStyle w:val="Hyperlink"/>
            <w:rFonts w:cs="Times New Roman"/>
            <w:noProof/>
            <w:sz w:val="20"/>
            <w:szCs w:val="20"/>
          </w:rPr>
          <w:t>anufacturing in 2014</w:t>
        </w:r>
        <w:r w:rsidR="00E46367" w:rsidRPr="006F6842">
          <w:rPr>
            <w:rStyle w:val="Hyperlink"/>
            <w:rFonts w:cs="Times New Roman"/>
            <w:noProof/>
            <w:sz w:val="20"/>
            <w:szCs w:val="20"/>
          </w:rPr>
          <w:t>—</w:t>
        </w:r>
        <w:r w:rsidR="00F26471" w:rsidRPr="006F6842">
          <w:rPr>
            <w:rStyle w:val="Hyperlink"/>
            <w:rFonts w:cs="Times New Roman"/>
            <w:noProof/>
            <w:sz w:val="20"/>
            <w:szCs w:val="20"/>
          </w:rPr>
          <w:t xml:space="preserve">Nigeria and its </w:t>
        </w:r>
        <w:r w:rsidR="00E46367" w:rsidRPr="006F6842">
          <w:rPr>
            <w:rStyle w:val="Hyperlink"/>
            <w:rFonts w:cs="Times New Roman"/>
            <w:noProof/>
            <w:sz w:val="20"/>
            <w:szCs w:val="20"/>
          </w:rPr>
          <w:t>C</w:t>
        </w:r>
        <w:r w:rsidR="00F26471" w:rsidRPr="006F6842">
          <w:rPr>
            <w:rStyle w:val="Hyperlink"/>
            <w:rFonts w:cs="Times New Roman"/>
            <w:noProof/>
            <w:sz w:val="20"/>
            <w:szCs w:val="20"/>
          </w:rPr>
          <w:t xml:space="preserve">omparator </w:t>
        </w:r>
        <w:r w:rsidR="00E46367" w:rsidRPr="006F6842">
          <w:rPr>
            <w:rStyle w:val="Hyperlink"/>
            <w:rFonts w:cs="Times New Roman"/>
            <w:noProof/>
            <w:sz w:val="20"/>
            <w:szCs w:val="20"/>
          </w:rPr>
          <w:t>C</w:t>
        </w:r>
        <w:r w:rsidR="00F26471" w:rsidRPr="006F6842">
          <w:rPr>
            <w:rStyle w:val="Hyperlink"/>
            <w:rFonts w:cs="Times New Roman"/>
            <w:noProof/>
            <w:sz w:val="20"/>
            <w:szCs w:val="20"/>
          </w:rPr>
          <w:t>ountries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_Toc445449627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26</w:t>
        </w:r>
        <w:r w:rsidR="00F26471" w:rsidRPr="006F6842">
          <w:rPr>
            <w:rStyle w:val="Hyperlink"/>
            <w:rFonts w:cs="Times New Roman"/>
            <w:webHidden/>
            <w:sz w:val="20"/>
            <w:szCs w:val="20"/>
          </w:rPr>
          <w:fldChar w:fldCharType="end"/>
        </w:r>
      </w:hyperlink>
    </w:p>
    <w:p w14:paraId="00600019" w14:textId="2E7EA5FD"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28" w:history="1">
        <w:r w:rsidR="00F26471" w:rsidRPr="006F6842">
          <w:rPr>
            <w:rStyle w:val="Hyperlink"/>
            <w:rFonts w:cs="Times New Roman"/>
            <w:noProof/>
            <w:sz w:val="20"/>
            <w:szCs w:val="20"/>
          </w:rPr>
          <w:t xml:space="preserve">Figure 10: Unit </w:t>
        </w:r>
        <w:r w:rsidR="00E46367" w:rsidRPr="006F6842">
          <w:rPr>
            <w:rStyle w:val="Hyperlink"/>
            <w:rFonts w:cs="Times New Roman"/>
            <w:noProof/>
            <w:sz w:val="20"/>
            <w:szCs w:val="20"/>
          </w:rPr>
          <w:t>L</w:t>
        </w:r>
        <w:r w:rsidR="00F26471" w:rsidRPr="006F6842">
          <w:rPr>
            <w:rStyle w:val="Hyperlink"/>
            <w:rFonts w:cs="Times New Roman"/>
            <w:noProof/>
            <w:sz w:val="20"/>
            <w:szCs w:val="20"/>
          </w:rPr>
          <w:t xml:space="preserve">abor </w:t>
        </w:r>
        <w:r w:rsidR="00E46367" w:rsidRPr="006F6842">
          <w:rPr>
            <w:rStyle w:val="Hyperlink"/>
            <w:rFonts w:cs="Times New Roman"/>
            <w:noProof/>
            <w:sz w:val="20"/>
            <w:szCs w:val="20"/>
          </w:rPr>
          <w:t>C</w:t>
        </w:r>
        <w:r w:rsidR="00F26471" w:rsidRPr="006F6842">
          <w:rPr>
            <w:rStyle w:val="Hyperlink"/>
            <w:rFonts w:cs="Times New Roman"/>
            <w:noProof/>
            <w:sz w:val="20"/>
            <w:szCs w:val="20"/>
          </w:rPr>
          <w:t xml:space="preserve">osts in </w:t>
        </w:r>
        <w:r w:rsidR="00E46367" w:rsidRPr="006F6842">
          <w:rPr>
            <w:rStyle w:val="Hyperlink"/>
            <w:rFonts w:cs="Times New Roman"/>
            <w:noProof/>
            <w:sz w:val="20"/>
            <w:szCs w:val="20"/>
          </w:rPr>
          <w:t>M</w:t>
        </w:r>
        <w:r w:rsidR="00F26471" w:rsidRPr="006F6842">
          <w:rPr>
            <w:rStyle w:val="Hyperlink"/>
            <w:rFonts w:cs="Times New Roman"/>
            <w:noProof/>
            <w:sz w:val="20"/>
            <w:szCs w:val="20"/>
          </w:rPr>
          <w:t>anufacturing in 2014</w:t>
        </w:r>
        <w:r w:rsidR="00E46367" w:rsidRPr="006F6842">
          <w:rPr>
            <w:rStyle w:val="Hyperlink"/>
            <w:rFonts w:cs="Times New Roman"/>
            <w:noProof/>
            <w:sz w:val="20"/>
            <w:szCs w:val="20"/>
          </w:rPr>
          <w:t>—</w:t>
        </w:r>
        <w:r w:rsidR="00F26471" w:rsidRPr="006F6842">
          <w:rPr>
            <w:rStyle w:val="Hyperlink"/>
            <w:rFonts w:cs="Times New Roman"/>
            <w:noProof/>
            <w:sz w:val="20"/>
            <w:szCs w:val="20"/>
          </w:rPr>
          <w:t xml:space="preserve">Lagos and the </w:t>
        </w:r>
        <w:r w:rsidR="00E46367" w:rsidRPr="006F6842">
          <w:rPr>
            <w:rStyle w:val="Hyperlink"/>
            <w:rFonts w:cs="Times New Roman"/>
            <w:noProof/>
            <w:sz w:val="20"/>
            <w:szCs w:val="20"/>
          </w:rPr>
          <w:t>O</w:t>
        </w:r>
        <w:r w:rsidR="00F26471" w:rsidRPr="006F6842">
          <w:rPr>
            <w:rStyle w:val="Hyperlink"/>
            <w:rFonts w:cs="Times New Roman"/>
            <w:noProof/>
            <w:sz w:val="20"/>
            <w:szCs w:val="20"/>
          </w:rPr>
          <w:t xml:space="preserve">ther Nigerian </w:t>
        </w:r>
        <w:r w:rsidR="00E46367" w:rsidRPr="006F6842">
          <w:rPr>
            <w:rStyle w:val="Hyperlink"/>
            <w:rFonts w:cs="Times New Roman"/>
            <w:noProof/>
            <w:sz w:val="20"/>
            <w:szCs w:val="20"/>
          </w:rPr>
          <w:t>R</w:t>
        </w:r>
        <w:r w:rsidR="00F26471" w:rsidRPr="006F6842">
          <w:rPr>
            <w:rStyle w:val="Hyperlink"/>
            <w:rFonts w:cs="Times New Roman"/>
            <w:noProof/>
            <w:sz w:val="20"/>
            <w:szCs w:val="20"/>
          </w:rPr>
          <w:t>egions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_Toc445449628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26</w:t>
        </w:r>
        <w:r w:rsidR="00F26471" w:rsidRPr="006F6842">
          <w:rPr>
            <w:rStyle w:val="Hyperlink"/>
            <w:rFonts w:cs="Times New Roman"/>
            <w:webHidden/>
            <w:sz w:val="20"/>
            <w:szCs w:val="20"/>
          </w:rPr>
          <w:fldChar w:fldCharType="end"/>
        </w:r>
      </w:hyperlink>
    </w:p>
    <w:p w14:paraId="7DF07421" w14:textId="1FC4B2D5"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29" w:history="1">
        <w:r w:rsidR="00F26471" w:rsidRPr="006F6842">
          <w:rPr>
            <w:rStyle w:val="Hyperlink"/>
            <w:rFonts w:cs="Times New Roman"/>
            <w:noProof/>
            <w:sz w:val="20"/>
            <w:szCs w:val="20"/>
          </w:rPr>
          <w:t>Figure 11: Firm-</w:t>
        </w:r>
        <w:r w:rsidR="00E46367" w:rsidRPr="006F6842">
          <w:rPr>
            <w:rStyle w:val="Hyperlink"/>
            <w:rFonts w:cs="Times New Roman"/>
            <w:noProof/>
            <w:sz w:val="20"/>
            <w:szCs w:val="20"/>
          </w:rPr>
          <w:t>L</w:t>
        </w:r>
        <w:r w:rsidR="00F26471" w:rsidRPr="006F6842">
          <w:rPr>
            <w:rStyle w:val="Hyperlink"/>
            <w:rFonts w:cs="Times New Roman"/>
            <w:noProof/>
            <w:sz w:val="20"/>
            <w:szCs w:val="20"/>
          </w:rPr>
          <w:t>evel Innovation Outcomes in 2014</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_Toc445449629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28</w:t>
        </w:r>
        <w:r w:rsidR="00F26471" w:rsidRPr="006F6842">
          <w:rPr>
            <w:rStyle w:val="Hyperlink"/>
            <w:rFonts w:cs="Times New Roman"/>
            <w:webHidden/>
            <w:sz w:val="20"/>
            <w:szCs w:val="20"/>
          </w:rPr>
          <w:fldChar w:fldCharType="end"/>
        </w:r>
      </w:hyperlink>
    </w:p>
    <w:p w14:paraId="0CA406E9" w14:textId="132C0EA7"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30" w:history="1">
        <w:r w:rsidR="00F26471" w:rsidRPr="006F6842">
          <w:rPr>
            <w:rStyle w:val="Hyperlink"/>
            <w:rFonts w:cs="Times New Roman"/>
            <w:noProof/>
            <w:sz w:val="20"/>
            <w:szCs w:val="20"/>
          </w:rPr>
          <w:t>Figure 12: GDP Growth in Nigeria (</w:t>
        </w:r>
        <w:r w:rsidR="00A2418A" w:rsidRPr="006F6842">
          <w:rPr>
            <w:rStyle w:val="Hyperlink"/>
            <w:rFonts w:cs="Times New Roman"/>
            <w:noProof/>
            <w:sz w:val="20"/>
            <w:szCs w:val="20"/>
          </w:rPr>
          <w:t>P</w:t>
        </w:r>
        <w:r w:rsidR="00F26471" w:rsidRPr="006F6842">
          <w:rPr>
            <w:rStyle w:val="Hyperlink"/>
            <w:rFonts w:cs="Times New Roman"/>
            <w:noProof/>
            <w:sz w:val="20"/>
            <w:szCs w:val="20"/>
          </w:rPr>
          <w:t>ercent)</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_Toc445449630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33</w:t>
        </w:r>
        <w:r w:rsidR="00F26471" w:rsidRPr="006F6842">
          <w:rPr>
            <w:rStyle w:val="Hyperlink"/>
            <w:rFonts w:cs="Times New Roman"/>
            <w:webHidden/>
            <w:sz w:val="20"/>
            <w:szCs w:val="20"/>
          </w:rPr>
          <w:fldChar w:fldCharType="end"/>
        </w:r>
      </w:hyperlink>
    </w:p>
    <w:p w14:paraId="0BA9D052" w14:textId="1C3AD9AA"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31" w:history="1">
        <w:r w:rsidR="00F26471" w:rsidRPr="006F6842">
          <w:rPr>
            <w:rStyle w:val="Hyperlink"/>
            <w:rFonts w:cs="Times New Roman"/>
            <w:noProof/>
            <w:sz w:val="20"/>
            <w:szCs w:val="20"/>
          </w:rPr>
          <w:t>Figure 13: States and Geopolitical Zones in Nigeria</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_Toc445449631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40</w:t>
        </w:r>
        <w:r w:rsidR="00F26471" w:rsidRPr="006F6842">
          <w:rPr>
            <w:rStyle w:val="Hyperlink"/>
            <w:rFonts w:cs="Times New Roman"/>
            <w:webHidden/>
            <w:sz w:val="20"/>
            <w:szCs w:val="20"/>
          </w:rPr>
          <w:fldChar w:fldCharType="end"/>
        </w:r>
      </w:hyperlink>
    </w:p>
    <w:p w14:paraId="0CA98BB2" w14:textId="6533BF79"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32" w:history="1">
        <w:r w:rsidR="00F26471" w:rsidRPr="006F6842">
          <w:rPr>
            <w:rStyle w:val="Hyperlink"/>
            <w:rFonts w:cs="Times New Roman"/>
            <w:noProof/>
            <w:sz w:val="20"/>
            <w:szCs w:val="20"/>
          </w:rPr>
          <w:t>Figure 14: Distribution of Nigeria</w:t>
        </w:r>
        <w:r w:rsidR="00863D16" w:rsidRPr="006F6842">
          <w:rPr>
            <w:rStyle w:val="Hyperlink"/>
            <w:rFonts w:cs="Times New Roman"/>
            <w:noProof/>
            <w:sz w:val="20"/>
            <w:szCs w:val="20"/>
          </w:rPr>
          <w:t>’</w:t>
        </w:r>
        <w:r w:rsidR="00F26471" w:rsidRPr="006F6842">
          <w:rPr>
            <w:rStyle w:val="Hyperlink"/>
            <w:rFonts w:cs="Times New Roman"/>
            <w:noProof/>
            <w:sz w:val="20"/>
            <w:szCs w:val="20"/>
          </w:rPr>
          <w:t>s Working Population (</w:t>
        </w:r>
        <w:r w:rsidR="00C52FBB">
          <w:rPr>
            <w:rStyle w:val="Hyperlink"/>
            <w:rFonts w:cs="Times New Roman"/>
            <w:noProof/>
            <w:sz w:val="20"/>
            <w:szCs w:val="20"/>
          </w:rPr>
          <w:t>Fifteen to Sixty-Four</w:t>
        </w:r>
        <w:r w:rsidR="00F26471" w:rsidRPr="006F6842">
          <w:rPr>
            <w:rStyle w:val="Hyperlink"/>
            <w:rFonts w:cs="Times New Roman"/>
            <w:noProof/>
            <w:sz w:val="20"/>
            <w:szCs w:val="20"/>
          </w:rPr>
          <w:t xml:space="preserve"> </w:t>
        </w:r>
        <w:r w:rsidR="00C52FBB">
          <w:rPr>
            <w:rStyle w:val="Hyperlink"/>
            <w:rFonts w:cs="Times New Roman"/>
            <w:noProof/>
            <w:sz w:val="20"/>
            <w:szCs w:val="20"/>
          </w:rPr>
          <w:t>Y</w:t>
        </w:r>
        <w:r w:rsidR="00F26471" w:rsidRPr="006F6842">
          <w:rPr>
            <w:rStyle w:val="Hyperlink"/>
            <w:rFonts w:cs="Times New Roman"/>
            <w:noProof/>
            <w:sz w:val="20"/>
            <w:szCs w:val="20"/>
          </w:rPr>
          <w:t xml:space="preserve">ears </w:t>
        </w:r>
        <w:r w:rsidR="00C52FBB">
          <w:rPr>
            <w:rStyle w:val="Hyperlink"/>
            <w:rFonts w:cs="Times New Roman"/>
            <w:noProof/>
            <w:sz w:val="20"/>
            <w:szCs w:val="20"/>
          </w:rPr>
          <w:t>O</w:t>
        </w:r>
        <w:r w:rsidR="00F26471" w:rsidRPr="006F6842">
          <w:rPr>
            <w:rStyle w:val="Hyperlink"/>
            <w:rFonts w:cs="Times New Roman"/>
            <w:noProof/>
            <w:sz w:val="20"/>
            <w:szCs w:val="20"/>
          </w:rPr>
          <w:t>ld) in 2013</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_Toc445449632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43</w:t>
        </w:r>
        <w:r w:rsidR="00F26471" w:rsidRPr="006F6842">
          <w:rPr>
            <w:rStyle w:val="Hyperlink"/>
            <w:rFonts w:cs="Times New Roman"/>
            <w:webHidden/>
            <w:sz w:val="20"/>
            <w:szCs w:val="20"/>
          </w:rPr>
          <w:fldChar w:fldCharType="end"/>
        </w:r>
      </w:hyperlink>
    </w:p>
    <w:p w14:paraId="5F60DE17" w14:textId="3FC6F0CB"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33" w:history="1">
        <w:r w:rsidR="00F26471" w:rsidRPr="006F6842">
          <w:rPr>
            <w:rStyle w:val="Hyperlink"/>
            <w:rFonts w:cs="Times New Roman"/>
            <w:noProof/>
            <w:sz w:val="20"/>
            <w:szCs w:val="20"/>
          </w:rPr>
          <w:t xml:space="preserve">Figure 15: Distribution of the </w:t>
        </w:r>
        <w:r w:rsidR="00A2418A" w:rsidRPr="006F6842">
          <w:rPr>
            <w:rStyle w:val="Hyperlink"/>
            <w:rFonts w:cs="Times New Roman"/>
            <w:noProof/>
            <w:sz w:val="20"/>
            <w:szCs w:val="20"/>
          </w:rPr>
          <w:t>L</w:t>
        </w:r>
        <w:r w:rsidR="00F26471" w:rsidRPr="006F6842">
          <w:rPr>
            <w:rStyle w:val="Hyperlink"/>
            <w:rFonts w:cs="Times New Roman"/>
            <w:noProof/>
            <w:sz w:val="20"/>
            <w:szCs w:val="20"/>
          </w:rPr>
          <w:t xml:space="preserve">abor </w:t>
        </w:r>
        <w:r w:rsidR="00A2418A" w:rsidRPr="006F6842">
          <w:rPr>
            <w:rStyle w:val="Hyperlink"/>
            <w:rFonts w:cs="Times New Roman"/>
            <w:noProof/>
            <w:sz w:val="20"/>
            <w:szCs w:val="20"/>
          </w:rPr>
          <w:t>F</w:t>
        </w:r>
        <w:r w:rsidR="00F26471" w:rsidRPr="006F6842">
          <w:rPr>
            <w:rStyle w:val="Hyperlink"/>
            <w:rFonts w:cs="Times New Roman"/>
            <w:noProof/>
            <w:sz w:val="20"/>
            <w:szCs w:val="20"/>
          </w:rPr>
          <w:t xml:space="preserve">orce, by </w:t>
        </w:r>
        <w:r w:rsidR="00A2418A" w:rsidRPr="006F6842">
          <w:rPr>
            <w:rStyle w:val="Hyperlink"/>
            <w:rFonts w:cs="Times New Roman"/>
            <w:noProof/>
            <w:sz w:val="20"/>
            <w:szCs w:val="20"/>
          </w:rPr>
          <w:t>E</w:t>
        </w:r>
        <w:r w:rsidR="00F26471" w:rsidRPr="006F6842">
          <w:rPr>
            <w:rStyle w:val="Hyperlink"/>
            <w:rFonts w:cs="Times New Roman"/>
            <w:noProof/>
            <w:sz w:val="20"/>
            <w:szCs w:val="20"/>
          </w:rPr>
          <w:t>mployer</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_Toc445449633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45</w:t>
        </w:r>
        <w:r w:rsidR="00F26471" w:rsidRPr="006F6842">
          <w:rPr>
            <w:rStyle w:val="Hyperlink"/>
            <w:rFonts w:cs="Times New Roman"/>
            <w:webHidden/>
            <w:sz w:val="20"/>
            <w:szCs w:val="20"/>
          </w:rPr>
          <w:fldChar w:fldCharType="end"/>
        </w:r>
      </w:hyperlink>
    </w:p>
    <w:p w14:paraId="2234FB90" w14:textId="677ED88B"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34" w:history="1">
        <w:r w:rsidR="00F26471" w:rsidRPr="006F6842">
          <w:rPr>
            <w:rStyle w:val="Hyperlink"/>
            <w:rFonts w:cs="Times New Roman"/>
            <w:noProof/>
            <w:sz w:val="20"/>
            <w:szCs w:val="20"/>
          </w:rPr>
          <w:t>Figure 16: Proportion of NFEs by Sector, 2012</w:t>
        </w:r>
        <w:r w:rsidR="00A2418A" w:rsidRPr="006F6842">
          <w:rPr>
            <w:rStyle w:val="Hyperlink"/>
            <w:rFonts w:ascii="Calibri" w:hAnsi="Calibri" w:cs="Times New Roman"/>
            <w:noProof/>
            <w:sz w:val="20"/>
            <w:szCs w:val="20"/>
          </w:rPr>
          <w:t>‒</w:t>
        </w:r>
        <w:r w:rsidR="00A2418A" w:rsidRPr="006F6842">
          <w:rPr>
            <w:rStyle w:val="Hyperlink"/>
            <w:rFonts w:cs="Times New Roman"/>
            <w:noProof/>
            <w:sz w:val="20"/>
            <w:szCs w:val="20"/>
          </w:rPr>
          <w:t>20</w:t>
        </w:r>
        <w:r w:rsidR="00F26471" w:rsidRPr="006F6842">
          <w:rPr>
            <w:rStyle w:val="Hyperlink"/>
            <w:rFonts w:cs="Times New Roman"/>
            <w:noProof/>
            <w:sz w:val="20"/>
            <w:szCs w:val="20"/>
          </w:rPr>
          <w:t>13</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_Toc445449634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47</w:t>
        </w:r>
        <w:r w:rsidR="00F26471" w:rsidRPr="006F6842">
          <w:rPr>
            <w:rStyle w:val="Hyperlink"/>
            <w:rFonts w:cs="Times New Roman"/>
            <w:webHidden/>
            <w:sz w:val="20"/>
            <w:szCs w:val="20"/>
          </w:rPr>
          <w:fldChar w:fldCharType="end"/>
        </w:r>
      </w:hyperlink>
    </w:p>
    <w:p w14:paraId="65A389AB" w14:textId="08C325B1"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35" w:history="1">
        <w:r w:rsidR="00F26471" w:rsidRPr="006F6842">
          <w:rPr>
            <w:rStyle w:val="Hyperlink"/>
            <w:rFonts w:cs="Times New Roman"/>
            <w:noProof/>
            <w:sz w:val="20"/>
            <w:szCs w:val="20"/>
          </w:rPr>
          <w:t>Figure 17: Distribution of Microenterprises in 2012</w:t>
        </w:r>
        <w:r w:rsidR="00A2418A" w:rsidRPr="006F6842">
          <w:rPr>
            <w:rStyle w:val="Hyperlink"/>
            <w:rFonts w:ascii="Calibri" w:hAnsi="Calibri" w:cs="Times New Roman"/>
            <w:noProof/>
            <w:sz w:val="20"/>
            <w:szCs w:val="20"/>
          </w:rPr>
          <w:t>‒</w:t>
        </w:r>
        <w:r w:rsidR="00A2418A" w:rsidRPr="006F6842">
          <w:rPr>
            <w:rStyle w:val="Hyperlink"/>
            <w:rFonts w:cs="Times New Roman"/>
            <w:noProof/>
            <w:sz w:val="20"/>
            <w:szCs w:val="20"/>
          </w:rPr>
          <w:t>20</w:t>
        </w:r>
        <w:r w:rsidR="00F26471" w:rsidRPr="006F6842">
          <w:rPr>
            <w:rStyle w:val="Hyperlink"/>
            <w:rFonts w:cs="Times New Roman"/>
            <w:noProof/>
            <w:sz w:val="20"/>
            <w:szCs w:val="20"/>
          </w:rPr>
          <w:t>13, by Zone</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_Toc445449635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47</w:t>
        </w:r>
        <w:r w:rsidR="00F26471" w:rsidRPr="006F6842">
          <w:rPr>
            <w:rStyle w:val="Hyperlink"/>
            <w:rFonts w:cs="Times New Roman"/>
            <w:webHidden/>
            <w:sz w:val="20"/>
            <w:szCs w:val="20"/>
          </w:rPr>
          <w:fldChar w:fldCharType="end"/>
        </w:r>
      </w:hyperlink>
    </w:p>
    <w:p w14:paraId="4DE55477" w14:textId="57BFF91B"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36" w:history="1">
        <w:r w:rsidR="00F26471" w:rsidRPr="006F6842">
          <w:rPr>
            <w:rStyle w:val="Hyperlink"/>
            <w:rFonts w:cs="Times New Roman"/>
            <w:noProof/>
            <w:sz w:val="20"/>
            <w:szCs w:val="20"/>
          </w:rPr>
          <w:t>Figure 18: Proportion of Microenterprises by Sector, 2012</w:t>
        </w:r>
        <w:r w:rsidR="00A2418A" w:rsidRPr="006F6842">
          <w:rPr>
            <w:rStyle w:val="Hyperlink"/>
            <w:rFonts w:ascii="Calibri" w:hAnsi="Calibri" w:cs="Times New Roman"/>
            <w:noProof/>
            <w:sz w:val="20"/>
            <w:szCs w:val="20"/>
          </w:rPr>
          <w:t>‒</w:t>
        </w:r>
        <w:r w:rsidR="00A2418A" w:rsidRPr="006F6842">
          <w:rPr>
            <w:rStyle w:val="Hyperlink"/>
            <w:rFonts w:cs="Times New Roman"/>
            <w:noProof/>
            <w:sz w:val="20"/>
            <w:szCs w:val="20"/>
          </w:rPr>
          <w:t>20</w:t>
        </w:r>
        <w:r w:rsidR="00F26471" w:rsidRPr="006F6842">
          <w:rPr>
            <w:rStyle w:val="Hyperlink"/>
            <w:rFonts w:cs="Times New Roman"/>
            <w:noProof/>
            <w:sz w:val="20"/>
            <w:szCs w:val="20"/>
          </w:rPr>
          <w:t>13</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_Toc445449636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48</w:t>
        </w:r>
        <w:r w:rsidR="00F26471" w:rsidRPr="006F6842">
          <w:rPr>
            <w:rStyle w:val="Hyperlink"/>
            <w:rFonts w:cs="Times New Roman"/>
            <w:webHidden/>
            <w:sz w:val="20"/>
            <w:szCs w:val="20"/>
          </w:rPr>
          <w:fldChar w:fldCharType="end"/>
        </w:r>
      </w:hyperlink>
    </w:p>
    <w:p w14:paraId="71E62FEB" w14:textId="592FAB7A"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37" w:history="1">
        <w:r w:rsidR="00F26471" w:rsidRPr="006F6842">
          <w:rPr>
            <w:rStyle w:val="Hyperlink"/>
            <w:rFonts w:cs="Times New Roman"/>
            <w:noProof/>
            <w:sz w:val="20"/>
            <w:szCs w:val="20"/>
          </w:rPr>
          <w:t xml:space="preserve">Figure 19: Distribution of Applicants to Round </w:t>
        </w:r>
        <w:r w:rsidR="008064D9" w:rsidRPr="006F6842">
          <w:rPr>
            <w:rStyle w:val="Hyperlink"/>
            <w:rFonts w:cs="Times New Roman"/>
            <w:noProof/>
            <w:sz w:val="20"/>
            <w:szCs w:val="20"/>
          </w:rPr>
          <w:t xml:space="preserve">Three </w:t>
        </w:r>
        <w:r w:rsidR="00F26471" w:rsidRPr="006F6842">
          <w:rPr>
            <w:rStyle w:val="Hyperlink"/>
            <w:rFonts w:cs="Times New Roman"/>
            <w:noProof/>
            <w:sz w:val="20"/>
            <w:szCs w:val="20"/>
          </w:rPr>
          <w:t>of YouWin, by Zone</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_Toc445449637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49</w:t>
        </w:r>
        <w:r w:rsidR="00F26471" w:rsidRPr="006F6842">
          <w:rPr>
            <w:rStyle w:val="Hyperlink"/>
            <w:rFonts w:cs="Times New Roman"/>
            <w:webHidden/>
            <w:sz w:val="20"/>
            <w:szCs w:val="20"/>
          </w:rPr>
          <w:fldChar w:fldCharType="end"/>
        </w:r>
      </w:hyperlink>
    </w:p>
    <w:p w14:paraId="26C950A5" w14:textId="30313980"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38" w:history="1">
        <w:r w:rsidR="00F26471" w:rsidRPr="006F6842">
          <w:rPr>
            <w:rStyle w:val="Hyperlink"/>
            <w:rFonts w:cs="Times New Roman"/>
            <w:noProof/>
            <w:sz w:val="20"/>
            <w:szCs w:val="20"/>
          </w:rPr>
          <w:t xml:space="preserve">Figure 20: Number of </w:t>
        </w:r>
        <w:r w:rsidR="00A2418A" w:rsidRPr="006F6842">
          <w:rPr>
            <w:rStyle w:val="Hyperlink"/>
            <w:rFonts w:cs="Times New Roman"/>
            <w:noProof/>
            <w:sz w:val="20"/>
            <w:szCs w:val="20"/>
          </w:rPr>
          <w:t>F</w:t>
        </w:r>
        <w:r w:rsidR="00F26471" w:rsidRPr="006F6842">
          <w:rPr>
            <w:rStyle w:val="Hyperlink"/>
            <w:rFonts w:cs="Times New Roman"/>
            <w:noProof/>
            <w:sz w:val="20"/>
            <w:szCs w:val="20"/>
          </w:rPr>
          <w:t xml:space="preserve">ormal </w:t>
        </w:r>
        <w:r w:rsidR="00A2418A" w:rsidRPr="006F6842">
          <w:rPr>
            <w:rStyle w:val="Hyperlink"/>
            <w:rFonts w:cs="Times New Roman"/>
            <w:noProof/>
            <w:sz w:val="20"/>
            <w:szCs w:val="20"/>
          </w:rPr>
          <w:t>F</w:t>
        </w:r>
        <w:r w:rsidR="00F26471" w:rsidRPr="006F6842">
          <w:rPr>
            <w:rStyle w:val="Hyperlink"/>
            <w:rFonts w:cs="Times New Roman"/>
            <w:noProof/>
            <w:sz w:val="20"/>
            <w:szCs w:val="20"/>
          </w:rPr>
          <w:t xml:space="preserve">irms in the Nigerian </w:t>
        </w:r>
        <w:r w:rsidR="00A2418A" w:rsidRPr="006F6842">
          <w:rPr>
            <w:rStyle w:val="Hyperlink"/>
            <w:rFonts w:cs="Times New Roman"/>
            <w:noProof/>
            <w:sz w:val="20"/>
            <w:szCs w:val="20"/>
          </w:rPr>
          <w:t>S</w:t>
        </w:r>
        <w:r w:rsidR="00F26471" w:rsidRPr="006F6842">
          <w:rPr>
            <w:rStyle w:val="Hyperlink"/>
            <w:rFonts w:cs="Times New Roman"/>
            <w:noProof/>
            <w:sz w:val="20"/>
            <w:szCs w:val="20"/>
          </w:rPr>
          <w:t>tates</w:t>
        </w:r>
        <w:r w:rsidR="00A2418A" w:rsidRPr="006F6842">
          <w:rPr>
            <w:rStyle w:val="Hyperlink"/>
            <w:rFonts w:cs="Times New Roman"/>
            <w:noProof/>
            <w:sz w:val="20"/>
            <w:szCs w:val="20"/>
          </w:rPr>
          <w:t xml:space="preserve">, </w:t>
        </w:r>
        <w:r w:rsidR="00F26471" w:rsidRPr="006F6842">
          <w:rPr>
            <w:rStyle w:val="Hyperlink"/>
            <w:rFonts w:cs="Times New Roman"/>
            <w:noProof/>
            <w:sz w:val="20"/>
            <w:szCs w:val="20"/>
          </w:rPr>
          <w:t>2014</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_Toc445449638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49</w:t>
        </w:r>
        <w:r w:rsidR="00F26471" w:rsidRPr="006F6842">
          <w:rPr>
            <w:rStyle w:val="Hyperlink"/>
            <w:rFonts w:cs="Times New Roman"/>
            <w:webHidden/>
            <w:sz w:val="20"/>
            <w:szCs w:val="20"/>
          </w:rPr>
          <w:fldChar w:fldCharType="end"/>
        </w:r>
      </w:hyperlink>
    </w:p>
    <w:p w14:paraId="1427909A" w14:textId="6B77A97B"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39" w:history="1">
        <w:r w:rsidR="00F26471" w:rsidRPr="006F6842">
          <w:rPr>
            <w:rStyle w:val="Hyperlink"/>
            <w:rFonts w:cs="Times New Roman"/>
            <w:noProof/>
            <w:sz w:val="20"/>
            <w:szCs w:val="20"/>
          </w:rPr>
          <w:t>Figure 21: Composition of the Formal Private Sector, 2010</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_Toc445449639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50</w:t>
        </w:r>
        <w:r w:rsidR="00F26471" w:rsidRPr="006F6842">
          <w:rPr>
            <w:rStyle w:val="Hyperlink"/>
            <w:rFonts w:cs="Times New Roman"/>
            <w:webHidden/>
            <w:sz w:val="20"/>
            <w:szCs w:val="20"/>
          </w:rPr>
          <w:fldChar w:fldCharType="end"/>
        </w:r>
      </w:hyperlink>
    </w:p>
    <w:p w14:paraId="4CE3226F" w14:textId="68ADC68C"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40" w:history="1">
        <w:r w:rsidR="00F26471" w:rsidRPr="006F6842">
          <w:rPr>
            <w:rStyle w:val="Hyperlink"/>
            <w:rFonts w:cs="Times New Roman"/>
            <w:noProof/>
            <w:sz w:val="20"/>
            <w:szCs w:val="20"/>
          </w:rPr>
          <w:t>Figure 22: Annual Employment and Sales Growth Observed by Zone, 2011–2013</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_Toc445449640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54</w:t>
        </w:r>
        <w:r w:rsidR="00F26471" w:rsidRPr="006F6842">
          <w:rPr>
            <w:rStyle w:val="Hyperlink"/>
            <w:rFonts w:cs="Times New Roman"/>
            <w:webHidden/>
            <w:sz w:val="20"/>
            <w:szCs w:val="20"/>
          </w:rPr>
          <w:fldChar w:fldCharType="end"/>
        </w:r>
      </w:hyperlink>
    </w:p>
    <w:p w14:paraId="40ACE8E5" w14:textId="3428C070"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41" w:history="1">
        <w:r w:rsidR="00F26471" w:rsidRPr="006F6842">
          <w:rPr>
            <w:rStyle w:val="Hyperlink"/>
            <w:rFonts w:cs="Times New Roman"/>
            <w:noProof/>
            <w:sz w:val="20"/>
            <w:szCs w:val="20"/>
          </w:rPr>
          <w:t>Figure 23: Proportion of Firms Growing, Constant</w:t>
        </w:r>
        <w:r w:rsidR="00A2418A" w:rsidRPr="006F6842">
          <w:rPr>
            <w:rStyle w:val="Hyperlink"/>
            <w:rFonts w:cs="Times New Roman"/>
            <w:noProof/>
            <w:sz w:val="20"/>
            <w:szCs w:val="20"/>
          </w:rPr>
          <w:t>,</w:t>
        </w:r>
        <w:r w:rsidR="00F26471" w:rsidRPr="006F6842">
          <w:rPr>
            <w:rStyle w:val="Hyperlink"/>
            <w:rFonts w:cs="Times New Roman"/>
            <w:noProof/>
            <w:sz w:val="20"/>
            <w:szCs w:val="20"/>
          </w:rPr>
          <w:t xml:space="preserve"> or Shrinking, 2011</w:t>
        </w:r>
        <w:r w:rsidR="00A2418A" w:rsidRPr="006F6842">
          <w:rPr>
            <w:rStyle w:val="Hyperlink"/>
            <w:rFonts w:ascii="Calibri" w:hAnsi="Calibri" w:cs="Times New Roman"/>
            <w:noProof/>
            <w:sz w:val="20"/>
            <w:szCs w:val="20"/>
          </w:rPr>
          <w:t>‒</w:t>
        </w:r>
        <w:r w:rsidR="00F26471" w:rsidRPr="006F6842">
          <w:rPr>
            <w:rStyle w:val="Hyperlink"/>
            <w:rFonts w:cs="Times New Roman"/>
            <w:noProof/>
            <w:sz w:val="20"/>
            <w:szCs w:val="20"/>
          </w:rPr>
          <w:t>2013</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_Toc445449641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55</w:t>
        </w:r>
        <w:r w:rsidR="00F26471" w:rsidRPr="006F6842">
          <w:rPr>
            <w:rStyle w:val="Hyperlink"/>
            <w:rFonts w:cs="Times New Roman"/>
            <w:webHidden/>
            <w:sz w:val="20"/>
            <w:szCs w:val="20"/>
          </w:rPr>
          <w:fldChar w:fldCharType="end"/>
        </w:r>
      </w:hyperlink>
    </w:p>
    <w:p w14:paraId="446F7A99" w14:textId="1A6B5CD6"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42" w:history="1">
        <w:r w:rsidR="00F26471" w:rsidRPr="006F6842">
          <w:rPr>
            <w:rStyle w:val="Hyperlink"/>
            <w:rFonts w:cs="Times New Roman"/>
            <w:noProof/>
            <w:sz w:val="20"/>
            <w:szCs w:val="20"/>
          </w:rPr>
          <w:t>Figure 24: TFP and Labor Productivity in Nigerian Zones, Compared to a Median Firm in Lagos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_Toc445449642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59</w:t>
        </w:r>
        <w:r w:rsidR="00F26471" w:rsidRPr="006F6842">
          <w:rPr>
            <w:rStyle w:val="Hyperlink"/>
            <w:rFonts w:cs="Times New Roman"/>
            <w:webHidden/>
            <w:sz w:val="20"/>
            <w:szCs w:val="20"/>
          </w:rPr>
          <w:fldChar w:fldCharType="end"/>
        </w:r>
      </w:hyperlink>
    </w:p>
    <w:p w14:paraId="03BF1E85" w14:textId="23D5308C"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43" w:history="1">
        <w:r w:rsidR="00F26471" w:rsidRPr="006F6842">
          <w:rPr>
            <w:rStyle w:val="Hyperlink"/>
            <w:rFonts w:cs="Times New Roman"/>
            <w:noProof/>
            <w:sz w:val="20"/>
            <w:szCs w:val="20"/>
          </w:rPr>
          <w:t>Figure 25: Log of Real Sales per Paid Worker (US$)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_Toc445449643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59</w:t>
        </w:r>
        <w:r w:rsidR="00F26471" w:rsidRPr="006F6842">
          <w:rPr>
            <w:rStyle w:val="Hyperlink"/>
            <w:rFonts w:cs="Times New Roman"/>
            <w:webHidden/>
            <w:sz w:val="20"/>
            <w:szCs w:val="20"/>
          </w:rPr>
          <w:fldChar w:fldCharType="end"/>
        </w:r>
      </w:hyperlink>
    </w:p>
    <w:p w14:paraId="56028D1C" w14:textId="44B4242E"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44" w:history="1">
        <w:r w:rsidR="00F26471" w:rsidRPr="006F6842">
          <w:rPr>
            <w:rStyle w:val="Hyperlink"/>
            <w:rFonts w:cs="Times New Roman"/>
            <w:noProof/>
            <w:sz w:val="20"/>
            <w:szCs w:val="20"/>
          </w:rPr>
          <w:t>Figure 26: Log of Total Factor Productivity</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_Toc445449644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59</w:t>
        </w:r>
        <w:r w:rsidR="00F26471" w:rsidRPr="006F6842">
          <w:rPr>
            <w:rStyle w:val="Hyperlink"/>
            <w:rFonts w:cs="Times New Roman"/>
            <w:webHidden/>
            <w:sz w:val="20"/>
            <w:szCs w:val="20"/>
          </w:rPr>
          <w:fldChar w:fldCharType="end"/>
        </w:r>
      </w:hyperlink>
    </w:p>
    <w:p w14:paraId="3AEC5F3D" w14:textId="6F877318"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45" w:history="1">
        <w:r w:rsidR="00F26471" w:rsidRPr="006F6842">
          <w:rPr>
            <w:rStyle w:val="Hyperlink"/>
            <w:rFonts w:cs="Times New Roman"/>
            <w:noProof/>
            <w:sz w:val="20"/>
            <w:szCs w:val="20"/>
          </w:rPr>
          <w:t xml:space="preserve">Figure 27: Log of Sales per Paid Worker, by Gender (US$) for </w:t>
        </w:r>
        <w:r w:rsidR="00A2418A" w:rsidRPr="006F6842">
          <w:rPr>
            <w:rStyle w:val="Hyperlink"/>
            <w:rFonts w:cs="Times New Roman"/>
            <w:noProof/>
            <w:sz w:val="20"/>
            <w:szCs w:val="20"/>
          </w:rPr>
          <w:t>B</w:t>
        </w:r>
        <w:r w:rsidR="00F26471" w:rsidRPr="006F6842">
          <w:rPr>
            <w:rStyle w:val="Hyperlink"/>
            <w:rFonts w:cs="Times New Roman"/>
            <w:noProof/>
            <w:sz w:val="20"/>
            <w:szCs w:val="20"/>
          </w:rPr>
          <w:t xml:space="preserve">oth GHS </w:t>
        </w:r>
        <w:r w:rsidR="00A2418A" w:rsidRPr="006F6842">
          <w:rPr>
            <w:rStyle w:val="Hyperlink"/>
            <w:rFonts w:cs="Times New Roman"/>
            <w:noProof/>
            <w:sz w:val="20"/>
            <w:szCs w:val="20"/>
          </w:rPr>
          <w:t>R</w:t>
        </w:r>
        <w:r w:rsidR="00F26471" w:rsidRPr="006F6842">
          <w:rPr>
            <w:rStyle w:val="Hyperlink"/>
            <w:rFonts w:cs="Times New Roman"/>
            <w:noProof/>
            <w:sz w:val="20"/>
            <w:szCs w:val="20"/>
          </w:rPr>
          <w:t>ounds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_Toc445449645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60</w:t>
        </w:r>
        <w:r w:rsidR="00F26471" w:rsidRPr="006F6842">
          <w:rPr>
            <w:rStyle w:val="Hyperlink"/>
            <w:rFonts w:cs="Times New Roman"/>
            <w:webHidden/>
            <w:sz w:val="20"/>
            <w:szCs w:val="20"/>
          </w:rPr>
          <w:fldChar w:fldCharType="end"/>
        </w:r>
      </w:hyperlink>
    </w:p>
    <w:p w14:paraId="190E6880" w14:textId="05134A91"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46" w:history="1">
        <w:r w:rsidR="00F26471" w:rsidRPr="006F6842">
          <w:rPr>
            <w:rStyle w:val="Hyperlink"/>
            <w:rFonts w:cs="Times New Roman"/>
            <w:noProof/>
            <w:sz w:val="20"/>
            <w:szCs w:val="20"/>
          </w:rPr>
          <w:t xml:space="preserve">Figure 28: Log of Total Factor Productivity, by Gender for </w:t>
        </w:r>
        <w:r w:rsidR="00A2418A" w:rsidRPr="006F6842">
          <w:rPr>
            <w:rStyle w:val="Hyperlink"/>
            <w:rFonts w:cs="Times New Roman"/>
            <w:noProof/>
            <w:sz w:val="20"/>
            <w:szCs w:val="20"/>
          </w:rPr>
          <w:t>B</w:t>
        </w:r>
        <w:r w:rsidR="00F26471" w:rsidRPr="006F6842">
          <w:rPr>
            <w:rStyle w:val="Hyperlink"/>
            <w:rFonts w:cs="Times New Roman"/>
            <w:noProof/>
            <w:sz w:val="20"/>
            <w:szCs w:val="20"/>
          </w:rPr>
          <w:t xml:space="preserve">oth GHS </w:t>
        </w:r>
        <w:r w:rsidR="00A2418A" w:rsidRPr="006F6842">
          <w:rPr>
            <w:rStyle w:val="Hyperlink"/>
            <w:rFonts w:cs="Times New Roman"/>
            <w:noProof/>
            <w:sz w:val="20"/>
            <w:szCs w:val="20"/>
          </w:rPr>
          <w:t>R</w:t>
        </w:r>
        <w:r w:rsidR="00F26471" w:rsidRPr="006F6842">
          <w:rPr>
            <w:rStyle w:val="Hyperlink"/>
            <w:rFonts w:cs="Times New Roman"/>
            <w:noProof/>
            <w:sz w:val="20"/>
            <w:szCs w:val="20"/>
          </w:rPr>
          <w:t>ounds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_Toc445449646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60</w:t>
        </w:r>
        <w:r w:rsidR="00F26471" w:rsidRPr="006F6842">
          <w:rPr>
            <w:rStyle w:val="Hyperlink"/>
            <w:rFonts w:cs="Times New Roman"/>
            <w:webHidden/>
            <w:sz w:val="20"/>
            <w:szCs w:val="20"/>
          </w:rPr>
          <w:fldChar w:fldCharType="end"/>
        </w:r>
      </w:hyperlink>
    </w:p>
    <w:p w14:paraId="58CBB8F6" w14:textId="53DF591E"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47" w:history="1">
        <w:r w:rsidR="00F26471" w:rsidRPr="006F6842">
          <w:rPr>
            <w:rStyle w:val="Hyperlink"/>
            <w:rFonts w:cs="Times New Roman"/>
            <w:noProof/>
            <w:sz w:val="20"/>
            <w:szCs w:val="20"/>
          </w:rPr>
          <w:t xml:space="preserve">Figure 29: Log of Sales per Paid Worker, by Type of NFE (US$) for </w:t>
        </w:r>
        <w:r w:rsidR="00A2418A" w:rsidRPr="006F6842">
          <w:rPr>
            <w:rStyle w:val="Hyperlink"/>
            <w:rFonts w:cs="Times New Roman"/>
            <w:noProof/>
            <w:sz w:val="20"/>
            <w:szCs w:val="20"/>
          </w:rPr>
          <w:t>B</w:t>
        </w:r>
        <w:r w:rsidR="00F26471" w:rsidRPr="006F6842">
          <w:rPr>
            <w:rStyle w:val="Hyperlink"/>
            <w:rFonts w:cs="Times New Roman"/>
            <w:noProof/>
            <w:sz w:val="20"/>
            <w:szCs w:val="20"/>
          </w:rPr>
          <w:t xml:space="preserve">oth GHS </w:t>
        </w:r>
        <w:r w:rsidR="00A2418A" w:rsidRPr="006F6842">
          <w:rPr>
            <w:rStyle w:val="Hyperlink"/>
            <w:rFonts w:cs="Times New Roman"/>
            <w:noProof/>
            <w:sz w:val="20"/>
            <w:szCs w:val="20"/>
          </w:rPr>
          <w:t>R</w:t>
        </w:r>
        <w:r w:rsidR="00F26471" w:rsidRPr="006F6842">
          <w:rPr>
            <w:rStyle w:val="Hyperlink"/>
            <w:rFonts w:cs="Times New Roman"/>
            <w:noProof/>
            <w:sz w:val="20"/>
            <w:szCs w:val="20"/>
          </w:rPr>
          <w:t>ounds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_Toc445449647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61</w:t>
        </w:r>
        <w:r w:rsidR="00F26471" w:rsidRPr="006F6842">
          <w:rPr>
            <w:rStyle w:val="Hyperlink"/>
            <w:rFonts w:cs="Times New Roman"/>
            <w:webHidden/>
            <w:sz w:val="20"/>
            <w:szCs w:val="20"/>
          </w:rPr>
          <w:fldChar w:fldCharType="end"/>
        </w:r>
      </w:hyperlink>
    </w:p>
    <w:p w14:paraId="1A8393A1" w14:textId="6180FFA7"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48" w:history="1">
        <w:r w:rsidR="00F26471" w:rsidRPr="006F6842">
          <w:rPr>
            <w:rStyle w:val="Hyperlink"/>
            <w:rFonts w:cs="Times New Roman"/>
            <w:noProof/>
            <w:sz w:val="20"/>
            <w:szCs w:val="20"/>
          </w:rPr>
          <w:t xml:space="preserve">Figure 30: Log of Total Factor Productivity, by Type of NFE for </w:t>
        </w:r>
        <w:r w:rsidR="00A2418A" w:rsidRPr="006F6842">
          <w:rPr>
            <w:rStyle w:val="Hyperlink"/>
            <w:rFonts w:cs="Times New Roman"/>
            <w:noProof/>
            <w:sz w:val="20"/>
            <w:szCs w:val="20"/>
          </w:rPr>
          <w:t>B</w:t>
        </w:r>
        <w:r w:rsidR="00F26471" w:rsidRPr="006F6842">
          <w:rPr>
            <w:rStyle w:val="Hyperlink"/>
            <w:rFonts w:cs="Times New Roman"/>
            <w:noProof/>
            <w:sz w:val="20"/>
            <w:szCs w:val="20"/>
          </w:rPr>
          <w:t xml:space="preserve">oth GHS </w:t>
        </w:r>
        <w:r w:rsidR="00A2418A" w:rsidRPr="006F6842">
          <w:rPr>
            <w:rStyle w:val="Hyperlink"/>
            <w:rFonts w:cs="Times New Roman"/>
            <w:noProof/>
            <w:sz w:val="20"/>
            <w:szCs w:val="20"/>
          </w:rPr>
          <w:t>R</w:t>
        </w:r>
        <w:r w:rsidR="00F26471" w:rsidRPr="006F6842">
          <w:rPr>
            <w:rStyle w:val="Hyperlink"/>
            <w:rFonts w:cs="Times New Roman"/>
            <w:noProof/>
            <w:sz w:val="20"/>
            <w:szCs w:val="20"/>
          </w:rPr>
          <w:t>ounds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_Toc445449648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61</w:t>
        </w:r>
        <w:r w:rsidR="00F26471" w:rsidRPr="006F6842">
          <w:rPr>
            <w:rStyle w:val="Hyperlink"/>
            <w:rFonts w:cs="Times New Roman"/>
            <w:webHidden/>
            <w:sz w:val="20"/>
            <w:szCs w:val="20"/>
          </w:rPr>
          <w:fldChar w:fldCharType="end"/>
        </w:r>
      </w:hyperlink>
    </w:p>
    <w:p w14:paraId="44C34E4C" w14:textId="2CDC84C8"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49" w:history="1">
        <w:r w:rsidR="00F26471" w:rsidRPr="006F6842">
          <w:rPr>
            <w:rStyle w:val="Hyperlink"/>
            <w:rFonts w:cs="Times New Roman"/>
            <w:noProof/>
            <w:sz w:val="20"/>
            <w:szCs w:val="20"/>
          </w:rPr>
          <w:t>Figure 31: Biggest Obstacles Faced by NFEs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_Toc445449649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62</w:t>
        </w:r>
        <w:r w:rsidR="00F26471" w:rsidRPr="006F6842">
          <w:rPr>
            <w:rStyle w:val="Hyperlink"/>
            <w:rFonts w:cs="Times New Roman"/>
            <w:webHidden/>
            <w:sz w:val="20"/>
            <w:szCs w:val="20"/>
          </w:rPr>
          <w:fldChar w:fldCharType="end"/>
        </w:r>
      </w:hyperlink>
    </w:p>
    <w:p w14:paraId="139F860A" w14:textId="22DEC1B4"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50" w:history="1">
        <w:r w:rsidR="00F26471" w:rsidRPr="006F6842">
          <w:rPr>
            <w:rStyle w:val="Hyperlink"/>
            <w:rFonts w:cs="Times New Roman"/>
            <w:noProof/>
            <w:sz w:val="20"/>
            <w:szCs w:val="20"/>
          </w:rPr>
          <w:t>Figure 32: Top Three Obstacles by Zone</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_Toc445449650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62</w:t>
        </w:r>
        <w:r w:rsidR="00F26471" w:rsidRPr="006F6842">
          <w:rPr>
            <w:rStyle w:val="Hyperlink"/>
            <w:rFonts w:cs="Times New Roman"/>
            <w:webHidden/>
            <w:sz w:val="20"/>
            <w:szCs w:val="20"/>
          </w:rPr>
          <w:fldChar w:fldCharType="end"/>
        </w:r>
      </w:hyperlink>
    </w:p>
    <w:p w14:paraId="69E5EB99" w14:textId="56B9D016"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51" w:history="1">
        <w:r w:rsidR="00F26471" w:rsidRPr="006F6842">
          <w:rPr>
            <w:rStyle w:val="Hyperlink"/>
            <w:rFonts w:cs="Times New Roman"/>
            <w:noProof/>
            <w:sz w:val="20"/>
            <w:szCs w:val="20"/>
          </w:rPr>
          <w:t>Figure 33: Access to Electricity and Generator</w:t>
        </w:r>
        <w:r w:rsidR="00A2418A" w:rsidRPr="006F6842">
          <w:rPr>
            <w:rStyle w:val="Hyperlink"/>
            <w:rFonts w:cs="Times New Roman"/>
            <w:noProof/>
            <w:sz w:val="20"/>
            <w:szCs w:val="20"/>
          </w:rPr>
          <w:t>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_Toc445449651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63</w:t>
        </w:r>
        <w:r w:rsidR="00F26471" w:rsidRPr="006F6842">
          <w:rPr>
            <w:rStyle w:val="Hyperlink"/>
            <w:rFonts w:cs="Times New Roman"/>
            <w:webHidden/>
            <w:sz w:val="20"/>
            <w:szCs w:val="20"/>
          </w:rPr>
          <w:fldChar w:fldCharType="end"/>
        </w:r>
      </w:hyperlink>
    </w:p>
    <w:p w14:paraId="348C2EBD" w14:textId="4F204291"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52" w:history="1">
        <w:r w:rsidR="00F26471" w:rsidRPr="006F6842">
          <w:rPr>
            <w:rStyle w:val="Hyperlink"/>
            <w:rFonts w:cs="Times New Roman"/>
            <w:noProof/>
            <w:sz w:val="20"/>
            <w:szCs w:val="20"/>
          </w:rPr>
          <w:t xml:space="preserve">Figure 34: Sales Growth (in </w:t>
        </w:r>
        <w:r w:rsidR="00A2418A" w:rsidRPr="006F6842">
          <w:rPr>
            <w:rStyle w:val="Hyperlink"/>
            <w:rFonts w:cs="Times New Roman"/>
            <w:noProof/>
            <w:sz w:val="20"/>
            <w:szCs w:val="20"/>
          </w:rPr>
          <w:t>R</w:t>
        </w:r>
        <w:r w:rsidR="00F26471" w:rsidRPr="006F6842">
          <w:rPr>
            <w:rStyle w:val="Hyperlink"/>
            <w:rFonts w:cs="Times New Roman"/>
            <w:noProof/>
            <w:sz w:val="20"/>
            <w:szCs w:val="20"/>
          </w:rPr>
          <w:t xml:space="preserve">eal </w:t>
        </w:r>
        <w:r w:rsidR="00A2418A" w:rsidRPr="006F6842">
          <w:rPr>
            <w:rStyle w:val="Hyperlink"/>
            <w:rFonts w:cs="Times New Roman"/>
            <w:noProof/>
            <w:sz w:val="20"/>
            <w:szCs w:val="20"/>
          </w:rPr>
          <w:t>T</w:t>
        </w:r>
        <w:r w:rsidR="00F26471" w:rsidRPr="006F6842">
          <w:rPr>
            <w:rStyle w:val="Hyperlink"/>
            <w:rFonts w:cs="Times New Roman"/>
            <w:noProof/>
            <w:sz w:val="20"/>
            <w:szCs w:val="20"/>
          </w:rPr>
          <w:t>erms) and Employment Growth between 2011</w:t>
        </w:r>
        <w:r w:rsidR="00C52FBB" w:rsidRPr="00D727BF">
          <w:rPr>
            <w:rStyle w:val="Hyperlink"/>
            <w:rFonts w:cs="Times New Roman"/>
            <w:noProof/>
            <w:sz w:val="20"/>
            <w:szCs w:val="20"/>
          </w:rPr>
          <w:t xml:space="preserve"> and </w:t>
        </w:r>
        <w:r w:rsidR="00F26471" w:rsidRPr="006F6842">
          <w:rPr>
            <w:rStyle w:val="Hyperlink"/>
            <w:rFonts w:cs="Times New Roman"/>
            <w:noProof/>
            <w:sz w:val="20"/>
            <w:szCs w:val="20"/>
          </w:rPr>
          <w:t>2014</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_Toc445449652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67</w:t>
        </w:r>
        <w:r w:rsidR="00F26471" w:rsidRPr="006F6842">
          <w:rPr>
            <w:rStyle w:val="Hyperlink"/>
            <w:rFonts w:cs="Times New Roman"/>
            <w:webHidden/>
            <w:sz w:val="20"/>
            <w:szCs w:val="20"/>
          </w:rPr>
          <w:fldChar w:fldCharType="end"/>
        </w:r>
      </w:hyperlink>
    </w:p>
    <w:p w14:paraId="00E9E08E" w14:textId="23A690C4"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53" w:history="1">
        <w:r w:rsidR="00F26471" w:rsidRPr="006F6842">
          <w:rPr>
            <w:rStyle w:val="Hyperlink"/>
            <w:rFonts w:cs="Times New Roman"/>
            <w:noProof/>
            <w:sz w:val="20"/>
            <w:szCs w:val="20"/>
          </w:rPr>
          <w:t>Figure 35: Percentage of Firms Reporting Shrinking, Unchanged</w:t>
        </w:r>
        <w:r w:rsidR="00A2418A" w:rsidRPr="006F6842">
          <w:rPr>
            <w:rStyle w:val="Hyperlink"/>
            <w:rFonts w:cs="Times New Roman"/>
            <w:noProof/>
            <w:sz w:val="20"/>
            <w:szCs w:val="20"/>
          </w:rPr>
          <w:t>,</w:t>
        </w:r>
        <w:r w:rsidR="00F26471" w:rsidRPr="006F6842">
          <w:rPr>
            <w:rStyle w:val="Hyperlink"/>
            <w:rFonts w:cs="Times New Roman"/>
            <w:noProof/>
            <w:sz w:val="20"/>
            <w:szCs w:val="20"/>
          </w:rPr>
          <w:t xml:space="preserve"> or Growing Workforce during the Last Financial Year (2014)</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_Toc445449653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68</w:t>
        </w:r>
        <w:r w:rsidR="00F26471" w:rsidRPr="006F6842">
          <w:rPr>
            <w:rStyle w:val="Hyperlink"/>
            <w:rFonts w:cs="Times New Roman"/>
            <w:webHidden/>
            <w:sz w:val="20"/>
            <w:szCs w:val="20"/>
          </w:rPr>
          <w:fldChar w:fldCharType="end"/>
        </w:r>
      </w:hyperlink>
    </w:p>
    <w:p w14:paraId="27585D89" w14:textId="480C6BBF"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54" w:history="1">
        <w:r w:rsidR="00F26471" w:rsidRPr="006F6842">
          <w:rPr>
            <w:rStyle w:val="Hyperlink"/>
            <w:rFonts w:cs="Times New Roman"/>
            <w:noProof/>
            <w:sz w:val="20"/>
            <w:szCs w:val="20"/>
          </w:rPr>
          <w:t>Figure 36: Percentage of Firms Citing a Major Obstacle in the Investment Climate</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_Toc445449654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70</w:t>
        </w:r>
        <w:r w:rsidR="00F26471" w:rsidRPr="006F6842">
          <w:rPr>
            <w:rStyle w:val="Hyperlink"/>
            <w:rFonts w:cs="Times New Roman"/>
            <w:webHidden/>
            <w:sz w:val="20"/>
            <w:szCs w:val="20"/>
          </w:rPr>
          <w:fldChar w:fldCharType="end"/>
        </w:r>
      </w:hyperlink>
    </w:p>
    <w:p w14:paraId="04092239" w14:textId="1F8E4F3D"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55" w:history="1">
        <w:r w:rsidR="00F26471" w:rsidRPr="006F6842">
          <w:rPr>
            <w:rStyle w:val="Hyperlink"/>
            <w:rFonts w:cs="Times New Roman"/>
            <w:noProof/>
            <w:sz w:val="20"/>
            <w:szCs w:val="20"/>
          </w:rPr>
          <w:t>Figure 37: Percentage of Firms Citing Obstacles in Different Regions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_Toc445449655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70</w:t>
        </w:r>
        <w:r w:rsidR="00F26471" w:rsidRPr="006F6842">
          <w:rPr>
            <w:rStyle w:val="Hyperlink"/>
            <w:rFonts w:cs="Times New Roman"/>
            <w:webHidden/>
            <w:sz w:val="20"/>
            <w:szCs w:val="20"/>
          </w:rPr>
          <w:fldChar w:fldCharType="end"/>
        </w:r>
      </w:hyperlink>
    </w:p>
    <w:p w14:paraId="6D728E54" w14:textId="31828A43"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56" w:history="1">
        <w:r w:rsidR="00F26471" w:rsidRPr="006F6842">
          <w:rPr>
            <w:rStyle w:val="Hyperlink"/>
            <w:rFonts w:cs="Times New Roman"/>
            <w:noProof/>
            <w:sz w:val="20"/>
            <w:szCs w:val="20"/>
          </w:rPr>
          <w:t>Figure 38: Percentage of Small, Medium</w:t>
        </w:r>
        <w:r w:rsidR="00A2418A" w:rsidRPr="006F6842">
          <w:rPr>
            <w:rStyle w:val="Hyperlink"/>
            <w:rFonts w:cs="Times New Roman"/>
            <w:noProof/>
            <w:sz w:val="20"/>
            <w:szCs w:val="20"/>
          </w:rPr>
          <w:t>,</w:t>
        </w:r>
        <w:r w:rsidR="00F26471" w:rsidRPr="006F6842">
          <w:rPr>
            <w:rStyle w:val="Hyperlink"/>
            <w:rFonts w:cs="Times New Roman"/>
            <w:noProof/>
            <w:sz w:val="20"/>
            <w:szCs w:val="20"/>
          </w:rPr>
          <w:t xml:space="preserve"> and Large Firms Citing Major Obstacles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_Toc445449656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71</w:t>
        </w:r>
        <w:r w:rsidR="00F26471" w:rsidRPr="006F6842">
          <w:rPr>
            <w:rStyle w:val="Hyperlink"/>
            <w:rFonts w:cs="Times New Roman"/>
            <w:webHidden/>
            <w:sz w:val="20"/>
            <w:szCs w:val="20"/>
          </w:rPr>
          <w:fldChar w:fldCharType="end"/>
        </w:r>
      </w:hyperlink>
    </w:p>
    <w:p w14:paraId="5ECB15C0" w14:textId="77FF0188"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57" w:history="1">
        <w:r w:rsidR="00F26471" w:rsidRPr="006F6842">
          <w:rPr>
            <w:rStyle w:val="Hyperlink"/>
            <w:rFonts w:cs="Times New Roman"/>
            <w:noProof/>
            <w:sz w:val="20"/>
            <w:szCs w:val="20"/>
          </w:rPr>
          <w:t>Figure 39: Losses Due to Power Outages, Nigeria and Comparator Countries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_Toc445449657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72</w:t>
        </w:r>
        <w:r w:rsidR="00F26471" w:rsidRPr="006F6842">
          <w:rPr>
            <w:rStyle w:val="Hyperlink"/>
            <w:rFonts w:cs="Times New Roman"/>
            <w:webHidden/>
            <w:sz w:val="20"/>
            <w:szCs w:val="20"/>
          </w:rPr>
          <w:fldChar w:fldCharType="end"/>
        </w:r>
      </w:hyperlink>
    </w:p>
    <w:p w14:paraId="300E5845" w14:textId="0CEAAC68"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58" w:history="1">
        <w:r w:rsidR="00F26471" w:rsidRPr="006F6842">
          <w:rPr>
            <w:rStyle w:val="Hyperlink"/>
            <w:rFonts w:cs="Times New Roman"/>
            <w:noProof/>
            <w:sz w:val="20"/>
            <w:szCs w:val="20"/>
          </w:rPr>
          <w:t>Figure 40: Losses Due to Power Outages, by Region</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_Toc445449658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72</w:t>
        </w:r>
        <w:r w:rsidR="00F26471" w:rsidRPr="006F6842">
          <w:rPr>
            <w:rStyle w:val="Hyperlink"/>
            <w:rFonts w:cs="Times New Roman"/>
            <w:webHidden/>
            <w:sz w:val="20"/>
            <w:szCs w:val="20"/>
          </w:rPr>
          <w:fldChar w:fldCharType="end"/>
        </w:r>
      </w:hyperlink>
    </w:p>
    <w:p w14:paraId="315D09A9" w14:textId="21E4B7C6"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59" w:history="1">
        <w:r w:rsidR="00F26471" w:rsidRPr="006F6842">
          <w:rPr>
            <w:rStyle w:val="Hyperlink"/>
            <w:rFonts w:cs="Times New Roman"/>
            <w:noProof/>
            <w:sz w:val="20"/>
            <w:szCs w:val="20"/>
          </w:rPr>
          <w:t>Figure 41: Electricity and Fuel Costs, Nigeria and Comparator Countries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_Toc445449659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73</w:t>
        </w:r>
        <w:r w:rsidR="00F26471" w:rsidRPr="006F6842">
          <w:rPr>
            <w:rStyle w:val="Hyperlink"/>
            <w:rFonts w:cs="Times New Roman"/>
            <w:webHidden/>
            <w:sz w:val="20"/>
            <w:szCs w:val="20"/>
          </w:rPr>
          <w:fldChar w:fldCharType="end"/>
        </w:r>
      </w:hyperlink>
    </w:p>
    <w:p w14:paraId="594873E1" w14:textId="44D0B360"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60" w:history="1">
        <w:r w:rsidR="00F26471" w:rsidRPr="006F6842">
          <w:rPr>
            <w:rStyle w:val="Hyperlink"/>
            <w:rFonts w:cs="Times New Roman"/>
            <w:noProof/>
            <w:sz w:val="20"/>
            <w:szCs w:val="20"/>
          </w:rPr>
          <w:t xml:space="preserve">Figure 42: Firms Saying </w:t>
        </w:r>
        <w:r w:rsidR="00924183" w:rsidRPr="006F6842">
          <w:rPr>
            <w:rStyle w:val="Hyperlink"/>
            <w:rFonts w:cs="Times New Roman"/>
            <w:noProof/>
            <w:sz w:val="20"/>
            <w:szCs w:val="20"/>
          </w:rPr>
          <w:t>T</w:t>
        </w:r>
        <w:r w:rsidR="00F26471" w:rsidRPr="006F6842">
          <w:rPr>
            <w:rStyle w:val="Hyperlink"/>
            <w:rFonts w:cs="Times New Roman"/>
            <w:noProof/>
            <w:sz w:val="20"/>
            <w:szCs w:val="20"/>
          </w:rPr>
          <w:t>hat Bribes Are Needed</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_Toc445449660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74</w:t>
        </w:r>
        <w:r w:rsidR="00F26471" w:rsidRPr="006F6842">
          <w:rPr>
            <w:rStyle w:val="Hyperlink"/>
            <w:rFonts w:cs="Times New Roman"/>
            <w:webHidden/>
            <w:sz w:val="20"/>
            <w:szCs w:val="20"/>
          </w:rPr>
          <w:fldChar w:fldCharType="end"/>
        </w:r>
      </w:hyperlink>
    </w:p>
    <w:p w14:paraId="4B9276A0" w14:textId="157E4165"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61" w:history="1">
        <w:r w:rsidR="00F26471" w:rsidRPr="006F6842">
          <w:rPr>
            <w:rStyle w:val="Hyperlink"/>
            <w:rFonts w:cs="Times New Roman"/>
            <w:noProof/>
            <w:sz w:val="20"/>
            <w:szCs w:val="20"/>
          </w:rPr>
          <w:t>Figure 43: Firms Identifying Corruption as a Problem and Firms Believing They Need to Pay Bribes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_Toc445449661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74</w:t>
        </w:r>
        <w:r w:rsidR="00F26471" w:rsidRPr="006F6842">
          <w:rPr>
            <w:rStyle w:val="Hyperlink"/>
            <w:rFonts w:cs="Times New Roman"/>
            <w:webHidden/>
            <w:sz w:val="20"/>
            <w:szCs w:val="20"/>
          </w:rPr>
          <w:fldChar w:fldCharType="end"/>
        </w:r>
      </w:hyperlink>
    </w:p>
    <w:p w14:paraId="4CDDA394" w14:textId="268E23AA"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62" w:history="1">
        <w:r w:rsidR="00F26471" w:rsidRPr="006F6842">
          <w:rPr>
            <w:rStyle w:val="Hyperlink"/>
            <w:rFonts w:cs="Times New Roman"/>
            <w:noProof/>
            <w:sz w:val="20"/>
            <w:szCs w:val="20"/>
          </w:rPr>
          <w:t>Figure 44: Percentage of Firms with Credit and Firms Credit Constrained</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_Toc445449662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75</w:t>
        </w:r>
        <w:r w:rsidR="00F26471" w:rsidRPr="006F6842">
          <w:rPr>
            <w:rStyle w:val="Hyperlink"/>
            <w:rFonts w:cs="Times New Roman"/>
            <w:webHidden/>
            <w:sz w:val="20"/>
            <w:szCs w:val="20"/>
          </w:rPr>
          <w:fldChar w:fldCharType="end"/>
        </w:r>
      </w:hyperlink>
    </w:p>
    <w:p w14:paraId="6DD93B3B" w14:textId="76BC1053"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63" w:history="1">
        <w:r w:rsidR="00F26471" w:rsidRPr="006F6842">
          <w:rPr>
            <w:rStyle w:val="Hyperlink"/>
            <w:rFonts w:cs="Times New Roman"/>
            <w:noProof/>
            <w:sz w:val="20"/>
            <w:szCs w:val="20"/>
          </w:rPr>
          <w:t>Figure 45: Percentage of Firms with Credit, by Firm Size</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_Toc445449663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76</w:t>
        </w:r>
        <w:r w:rsidR="00F26471" w:rsidRPr="006F6842">
          <w:rPr>
            <w:rStyle w:val="Hyperlink"/>
            <w:rFonts w:cs="Times New Roman"/>
            <w:webHidden/>
            <w:sz w:val="20"/>
            <w:szCs w:val="20"/>
          </w:rPr>
          <w:fldChar w:fldCharType="end"/>
        </w:r>
      </w:hyperlink>
    </w:p>
    <w:p w14:paraId="41C237CD" w14:textId="3BF4EEDB"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64" w:history="1">
        <w:r w:rsidR="00F26471" w:rsidRPr="006F6842">
          <w:rPr>
            <w:rStyle w:val="Hyperlink"/>
            <w:rFonts w:cs="Times New Roman"/>
            <w:noProof/>
            <w:sz w:val="20"/>
            <w:szCs w:val="20"/>
          </w:rPr>
          <w:t>Figure 46: Total Tax Rate</w:t>
        </w:r>
        <w:r w:rsidR="00A2418A" w:rsidRPr="006F6842">
          <w:rPr>
            <w:rStyle w:val="Hyperlink"/>
            <w:rFonts w:cs="Times New Roman"/>
            <w:noProof/>
            <w:sz w:val="20"/>
            <w:szCs w:val="20"/>
          </w:rPr>
          <w:t>—</w:t>
        </w:r>
        <w:r w:rsidR="00F26471" w:rsidRPr="006F6842">
          <w:rPr>
            <w:rStyle w:val="Hyperlink"/>
            <w:rFonts w:cs="Times New Roman"/>
            <w:noProof/>
            <w:sz w:val="20"/>
            <w:szCs w:val="20"/>
          </w:rPr>
          <w:t>Percentage of Profits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_Toc445449664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77</w:t>
        </w:r>
        <w:r w:rsidR="00F26471" w:rsidRPr="006F6842">
          <w:rPr>
            <w:rStyle w:val="Hyperlink"/>
            <w:rFonts w:cs="Times New Roman"/>
            <w:webHidden/>
            <w:sz w:val="20"/>
            <w:szCs w:val="20"/>
          </w:rPr>
          <w:fldChar w:fldCharType="end"/>
        </w:r>
      </w:hyperlink>
    </w:p>
    <w:p w14:paraId="52E38691" w14:textId="3E7C2A2A"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65" w:history="1">
        <w:r w:rsidR="00F26471" w:rsidRPr="006F6842">
          <w:rPr>
            <w:rStyle w:val="Hyperlink"/>
            <w:rFonts w:cs="Times New Roman"/>
            <w:noProof/>
            <w:sz w:val="20"/>
            <w:szCs w:val="20"/>
          </w:rPr>
          <w:t>Figure 47: Hours per Year Spent on Tax Administration</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_Toc445449665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77</w:t>
        </w:r>
        <w:r w:rsidR="00F26471" w:rsidRPr="006F6842">
          <w:rPr>
            <w:rStyle w:val="Hyperlink"/>
            <w:rFonts w:cs="Times New Roman"/>
            <w:webHidden/>
            <w:sz w:val="20"/>
            <w:szCs w:val="20"/>
          </w:rPr>
          <w:fldChar w:fldCharType="end"/>
        </w:r>
      </w:hyperlink>
    </w:p>
    <w:p w14:paraId="7DAE535F" w14:textId="59A43A51"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66" w:history="1">
        <w:r w:rsidR="00F26471" w:rsidRPr="006F6842">
          <w:rPr>
            <w:rStyle w:val="Hyperlink"/>
            <w:rFonts w:cs="Times New Roman"/>
            <w:noProof/>
            <w:sz w:val="20"/>
            <w:szCs w:val="20"/>
          </w:rPr>
          <w:t xml:space="preserve">Figure 48: Breakdown of </w:t>
        </w:r>
        <w:r w:rsidR="00A2418A" w:rsidRPr="006F6842">
          <w:rPr>
            <w:rStyle w:val="Hyperlink"/>
            <w:rFonts w:cs="Times New Roman"/>
            <w:noProof/>
            <w:sz w:val="20"/>
            <w:szCs w:val="20"/>
          </w:rPr>
          <w:t>E</w:t>
        </w:r>
        <w:r w:rsidR="00F26471" w:rsidRPr="006F6842">
          <w:rPr>
            <w:rStyle w:val="Hyperlink"/>
            <w:rFonts w:cs="Times New Roman"/>
            <w:noProof/>
            <w:sz w:val="20"/>
            <w:szCs w:val="20"/>
          </w:rPr>
          <w:t xml:space="preserve">xport </w:t>
        </w:r>
        <w:r w:rsidR="00A2418A" w:rsidRPr="006F6842">
          <w:rPr>
            <w:rStyle w:val="Hyperlink"/>
            <w:rFonts w:cs="Times New Roman"/>
            <w:noProof/>
            <w:sz w:val="20"/>
            <w:szCs w:val="20"/>
          </w:rPr>
          <w:t>C</w:t>
        </w:r>
        <w:r w:rsidR="00F26471" w:rsidRPr="006F6842">
          <w:rPr>
            <w:rStyle w:val="Hyperlink"/>
            <w:rFonts w:cs="Times New Roman"/>
            <w:noProof/>
            <w:sz w:val="20"/>
            <w:szCs w:val="20"/>
          </w:rPr>
          <w:t>osts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_Toc445449666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78</w:t>
        </w:r>
        <w:r w:rsidR="00F26471" w:rsidRPr="006F6842">
          <w:rPr>
            <w:rStyle w:val="Hyperlink"/>
            <w:rFonts w:cs="Times New Roman"/>
            <w:webHidden/>
            <w:sz w:val="20"/>
            <w:szCs w:val="20"/>
          </w:rPr>
          <w:fldChar w:fldCharType="end"/>
        </w:r>
      </w:hyperlink>
    </w:p>
    <w:p w14:paraId="23C15687" w14:textId="038EFD48"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67" w:history="1">
        <w:r w:rsidR="00F26471" w:rsidRPr="006F6842">
          <w:rPr>
            <w:rStyle w:val="Hyperlink"/>
            <w:rFonts w:cs="Times New Roman"/>
            <w:noProof/>
            <w:sz w:val="20"/>
            <w:szCs w:val="20"/>
          </w:rPr>
          <w:t xml:space="preserve">Figure 49: Breakdown of </w:t>
        </w:r>
        <w:r w:rsidR="00A2418A" w:rsidRPr="006F6842">
          <w:rPr>
            <w:rStyle w:val="Hyperlink"/>
            <w:rFonts w:cs="Times New Roman"/>
            <w:noProof/>
            <w:sz w:val="20"/>
            <w:szCs w:val="20"/>
          </w:rPr>
          <w:t>I</w:t>
        </w:r>
        <w:r w:rsidR="00F26471" w:rsidRPr="006F6842">
          <w:rPr>
            <w:rStyle w:val="Hyperlink"/>
            <w:rFonts w:cs="Times New Roman"/>
            <w:noProof/>
            <w:sz w:val="20"/>
            <w:szCs w:val="20"/>
          </w:rPr>
          <w:t xml:space="preserve">mport </w:t>
        </w:r>
        <w:r w:rsidR="00A2418A" w:rsidRPr="006F6842">
          <w:rPr>
            <w:rStyle w:val="Hyperlink"/>
            <w:rFonts w:cs="Times New Roman"/>
            <w:noProof/>
            <w:sz w:val="20"/>
            <w:szCs w:val="20"/>
          </w:rPr>
          <w:t>C</w:t>
        </w:r>
        <w:r w:rsidR="00F26471" w:rsidRPr="006F6842">
          <w:rPr>
            <w:rStyle w:val="Hyperlink"/>
            <w:rFonts w:cs="Times New Roman"/>
            <w:noProof/>
            <w:sz w:val="20"/>
            <w:szCs w:val="20"/>
          </w:rPr>
          <w:t>osts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_Toc445449667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78</w:t>
        </w:r>
        <w:r w:rsidR="00F26471" w:rsidRPr="006F6842">
          <w:rPr>
            <w:rStyle w:val="Hyperlink"/>
            <w:rFonts w:cs="Times New Roman"/>
            <w:webHidden/>
            <w:sz w:val="20"/>
            <w:szCs w:val="20"/>
          </w:rPr>
          <w:fldChar w:fldCharType="end"/>
        </w:r>
      </w:hyperlink>
    </w:p>
    <w:p w14:paraId="4B214BFD" w14:textId="1F976CC7"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68" w:history="1">
        <w:r w:rsidR="00F26471" w:rsidRPr="006F6842">
          <w:rPr>
            <w:rStyle w:val="Hyperlink"/>
            <w:rFonts w:cs="Times New Roman"/>
            <w:noProof/>
            <w:sz w:val="20"/>
            <w:szCs w:val="20"/>
          </w:rPr>
          <w:t>Figure 50: TFP for a Median Manufacturing Firm in Nigeria and Comparator Countries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_Toc445449668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82</w:t>
        </w:r>
        <w:r w:rsidR="00F26471" w:rsidRPr="006F6842">
          <w:rPr>
            <w:rStyle w:val="Hyperlink"/>
            <w:rFonts w:cs="Times New Roman"/>
            <w:webHidden/>
            <w:sz w:val="20"/>
            <w:szCs w:val="20"/>
          </w:rPr>
          <w:fldChar w:fldCharType="end"/>
        </w:r>
      </w:hyperlink>
    </w:p>
    <w:p w14:paraId="576D05AC" w14:textId="0F34DBEC"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69" w:history="1">
        <w:r w:rsidR="00F26471" w:rsidRPr="006F6842">
          <w:rPr>
            <w:rStyle w:val="Hyperlink"/>
            <w:rFonts w:cs="Times New Roman"/>
            <w:noProof/>
            <w:sz w:val="20"/>
            <w:szCs w:val="20"/>
          </w:rPr>
          <w:t>Figure 51: TFP for a Median Manufacturing Firm in Lagos and the Other Nigerian Regions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_Toc445449669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82</w:t>
        </w:r>
        <w:r w:rsidR="00F26471" w:rsidRPr="006F6842">
          <w:rPr>
            <w:rStyle w:val="Hyperlink"/>
            <w:rFonts w:cs="Times New Roman"/>
            <w:webHidden/>
            <w:sz w:val="20"/>
            <w:szCs w:val="20"/>
          </w:rPr>
          <w:fldChar w:fldCharType="end"/>
        </w:r>
      </w:hyperlink>
    </w:p>
    <w:p w14:paraId="0C7F6C62" w14:textId="7779F821"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70" w:history="1">
        <w:r w:rsidR="00F26471" w:rsidRPr="006F6842">
          <w:rPr>
            <w:rStyle w:val="Hyperlink"/>
            <w:rFonts w:cs="Times New Roman"/>
            <w:noProof/>
            <w:sz w:val="20"/>
            <w:szCs w:val="20"/>
          </w:rPr>
          <w:t xml:space="preserve">Figure 52: Unit </w:t>
        </w:r>
        <w:r w:rsidR="00A2418A" w:rsidRPr="006F6842">
          <w:rPr>
            <w:rStyle w:val="Hyperlink"/>
            <w:rFonts w:cs="Times New Roman"/>
            <w:noProof/>
            <w:sz w:val="20"/>
            <w:szCs w:val="20"/>
          </w:rPr>
          <w:t>L</w:t>
        </w:r>
        <w:r w:rsidR="00F26471" w:rsidRPr="006F6842">
          <w:rPr>
            <w:rStyle w:val="Hyperlink"/>
            <w:rFonts w:cs="Times New Roman"/>
            <w:noProof/>
            <w:sz w:val="20"/>
            <w:szCs w:val="20"/>
          </w:rPr>
          <w:t xml:space="preserve">abor </w:t>
        </w:r>
        <w:r w:rsidR="00A2418A" w:rsidRPr="006F6842">
          <w:rPr>
            <w:rStyle w:val="Hyperlink"/>
            <w:rFonts w:cs="Times New Roman"/>
            <w:noProof/>
            <w:sz w:val="20"/>
            <w:szCs w:val="20"/>
          </w:rPr>
          <w:t>C</w:t>
        </w:r>
        <w:r w:rsidR="00F26471" w:rsidRPr="006F6842">
          <w:rPr>
            <w:rStyle w:val="Hyperlink"/>
            <w:rFonts w:cs="Times New Roman"/>
            <w:noProof/>
            <w:sz w:val="20"/>
            <w:szCs w:val="20"/>
          </w:rPr>
          <w:t xml:space="preserve">osts in </w:t>
        </w:r>
        <w:r w:rsidR="00A2418A" w:rsidRPr="006F6842">
          <w:rPr>
            <w:rStyle w:val="Hyperlink"/>
            <w:rFonts w:cs="Times New Roman"/>
            <w:noProof/>
            <w:sz w:val="20"/>
            <w:szCs w:val="20"/>
          </w:rPr>
          <w:t>M</w:t>
        </w:r>
        <w:r w:rsidR="00F26471" w:rsidRPr="006F6842">
          <w:rPr>
            <w:rStyle w:val="Hyperlink"/>
            <w:rFonts w:cs="Times New Roman"/>
            <w:noProof/>
            <w:sz w:val="20"/>
            <w:szCs w:val="20"/>
          </w:rPr>
          <w:t>anufacturing</w:t>
        </w:r>
        <w:r w:rsidR="00A2418A" w:rsidRPr="006F6842">
          <w:rPr>
            <w:rStyle w:val="Hyperlink"/>
            <w:rFonts w:cs="Times New Roman"/>
            <w:noProof/>
            <w:sz w:val="20"/>
            <w:szCs w:val="20"/>
          </w:rPr>
          <w:t>—</w:t>
        </w:r>
        <w:r w:rsidR="00F26471" w:rsidRPr="006F6842">
          <w:rPr>
            <w:rStyle w:val="Hyperlink"/>
            <w:rFonts w:cs="Times New Roman"/>
            <w:noProof/>
            <w:sz w:val="20"/>
            <w:szCs w:val="20"/>
          </w:rPr>
          <w:t xml:space="preserve">Nigeria and </w:t>
        </w:r>
        <w:r w:rsidR="009E1C1E" w:rsidRPr="006F6842">
          <w:rPr>
            <w:rStyle w:val="Hyperlink"/>
            <w:rFonts w:cs="Times New Roman"/>
            <w:noProof/>
            <w:sz w:val="20"/>
            <w:szCs w:val="20"/>
          </w:rPr>
          <w:t>I</w:t>
        </w:r>
        <w:r w:rsidR="00F26471" w:rsidRPr="006F6842">
          <w:rPr>
            <w:rStyle w:val="Hyperlink"/>
            <w:rFonts w:cs="Times New Roman"/>
            <w:noProof/>
            <w:sz w:val="20"/>
            <w:szCs w:val="20"/>
          </w:rPr>
          <w:t xml:space="preserve">ts </w:t>
        </w:r>
        <w:r w:rsidR="00A2418A" w:rsidRPr="006F6842">
          <w:rPr>
            <w:rStyle w:val="Hyperlink"/>
            <w:rFonts w:cs="Times New Roman"/>
            <w:noProof/>
            <w:sz w:val="20"/>
            <w:szCs w:val="20"/>
          </w:rPr>
          <w:t>C</w:t>
        </w:r>
        <w:r w:rsidR="00F26471" w:rsidRPr="006F6842">
          <w:rPr>
            <w:rStyle w:val="Hyperlink"/>
            <w:rFonts w:cs="Times New Roman"/>
            <w:noProof/>
            <w:sz w:val="20"/>
            <w:szCs w:val="20"/>
          </w:rPr>
          <w:t xml:space="preserve">omparator </w:t>
        </w:r>
        <w:r w:rsidR="00A2418A" w:rsidRPr="006F6842">
          <w:rPr>
            <w:rStyle w:val="Hyperlink"/>
            <w:rFonts w:cs="Times New Roman"/>
            <w:noProof/>
            <w:sz w:val="20"/>
            <w:szCs w:val="20"/>
          </w:rPr>
          <w:t>C</w:t>
        </w:r>
        <w:r w:rsidR="00F26471" w:rsidRPr="006F6842">
          <w:rPr>
            <w:rStyle w:val="Hyperlink"/>
            <w:rFonts w:cs="Times New Roman"/>
            <w:noProof/>
            <w:sz w:val="20"/>
            <w:szCs w:val="20"/>
          </w:rPr>
          <w:t>ountries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_Toc445449670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83</w:t>
        </w:r>
        <w:r w:rsidR="00F26471" w:rsidRPr="006F6842">
          <w:rPr>
            <w:rStyle w:val="Hyperlink"/>
            <w:rFonts w:cs="Times New Roman"/>
            <w:webHidden/>
            <w:sz w:val="20"/>
            <w:szCs w:val="20"/>
          </w:rPr>
          <w:fldChar w:fldCharType="end"/>
        </w:r>
      </w:hyperlink>
    </w:p>
    <w:p w14:paraId="0F6D975D" w14:textId="30E0C83D"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71" w:history="1">
        <w:r w:rsidR="00F26471" w:rsidRPr="006F6842">
          <w:rPr>
            <w:rStyle w:val="Hyperlink"/>
            <w:rFonts w:cs="Times New Roman"/>
            <w:noProof/>
            <w:sz w:val="20"/>
            <w:szCs w:val="20"/>
          </w:rPr>
          <w:t xml:space="preserve">Figure 53: Unit </w:t>
        </w:r>
        <w:r w:rsidR="00A2418A" w:rsidRPr="006F6842">
          <w:rPr>
            <w:rStyle w:val="Hyperlink"/>
            <w:rFonts w:cs="Times New Roman"/>
            <w:noProof/>
            <w:sz w:val="20"/>
            <w:szCs w:val="20"/>
          </w:rPr>
          <w:t>L</w:t>
        </w:r>
        <w:r w:rsidR="00F26471" w:rsidRPr="006F6842">
          <w:rPr>
            <w:rStyle w:val="Hyperlink"/>
            <w:rFonts w:cs="Times New Roman"/>
            <w:noProof/>
            <w:sz w:val="20"/>
            <w:szCs w:val="20"/>
          </w:rPr>
          <w:t xml:space="preserve">abor </w:t>
        </w:r>
        <w:r w:rsidR="00A2418A" w:rsidRPr="006F6842">
          <w:rPr>
            <w:rStyle w:val="Hyperlink"/>
            <w:rFonts w:cs="Times New Roman"/>
            <w:noProof/>
            <w:sz w:val="20"/>
            <w:szCs w:val="20"/>
          </w:rPr>
          <w:t>C</w:t>
        </w:r>
        <w:r w:rsidR="00F26471" w:rsidRPr="006F6842">
          <w:rPr>
            <w:rStyle w:val="Hyperlink"/>
            <w:rFonts w:cs="Times New Roman"/>
            <w:noProof/>
            <w:sz w:val="20"/>
            <w:szCs w:val="20"/>
          </w:rPr>
          <w:t xml:space="preserve">osts in </w:t>
        </w:r>
        <w:r w:rsidR="00A2418A" w:rsidRPr="006F6842">
          <w:rPr>
            <w:rStyle w:val="Hyperlink"/>
            <w:rFonts w:cs="Times New Roman"/>
            <w:noProof/>
            <w:sz w:val="20"/>
            <w:szCs w:val="20"/>
          </w:rPr>
          <w:t>M</w:t>
        </w:r>
        <w:r w:rsidR="00F26471" w:rsidRPr="006F6842">
          <w:rPr>
            <w:rStyle w:val="Hyperlink"/>
            <w:rFonts w:cs="Times New Roman"/>
            <w:noProof/>
            <w:sz w:val="20"/>
            <w:szCs w:val="20"/>
          </w:rPr>
          <w:t>anufacturing</w:t>
        </w:r>
        <w:r w:rsidR="00A2418A" w:rsidRPr="006F6842">
          <w:rPr>
            <w:rStyle w:val="Hyperlink"/>
            <w:rFonts w:cs="Times New Roman"/>
            <w:noProof/>
            <w:sz w:val="20"/>
            <w:szCs w:val="20"/>
          </w:rPr>
          <w:t>—</w:t>
        </w:r>
        <w:r w:rsidR="00F26471" w:rsidRPr="006F6842">
          <w:rPr>
            <w:rStyle w:val="Hyperlink"/>
            <w:rFonts w:cs="Times New Roman"/>
            <w:noProof/>
            <w:sz w:val="20"/>
            <w:szCs w:val="20"/>
          </w:rPr>
          <w:t xml:space="preserve">Lagos and the </w:t>
        </w:r>
        <w:r w:rsidR="00A2418A" w:rsidRPr="006F6842">
          <w:rPr>
            <w:rStyle w:val="Hyperlink"/>
            <w:rFonts w:cs="Times New Roman"/>
            <w:noProof/>
            <w:sz w:val="20"/>
            <w:szCs w:val="20"/>
          </w:rPr>
          <w:t>O</w:t>
        </w:r>
        <w:r w:rsidR="00F26471" w:rsidRPr="006F6842">
          <w:rPr>
            <w:rStyle w:val="Hyperlink"/>
            <w:rFonts w:cs="Times New Roman"/>
            <w:noProof/>
            <w:sz w:val="20"/>
            <w:szCs w:val="20"/>
          </w:rPr>
          <w:t xml:space="preserve">ther Nigerian </w:t>
        </w:r>
        <w:r w:rsidR="00A2418A" w:rsidRPr="006F6842">
          <w:rPr>
            <w:rStyle w:val="Hyperlink"/>
            <w:rFonts w:cs="Times New Roman"/>
            <w:noProof/>
            <w:sz w:val="20"/>
            <w:szCs w:val="20"/>
          </w:rPr>
          <w:t>R</w:t>
        </w:r>
        <w:r w:rsidR="00F26471" w:rsidRPr="006F6842">
          <w:rPr>
            <w:rStyle w:val="Hyperlink"/>
            <w:rFonts w:cs="Times New Roman"/>
            <w:noProof/>
            <w:sz w:val="20"/>
            <w:szCs w:val="20"/>
          </w:rPr>
          <w:t>egions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_Toc445449671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84</w:t>
        </w:r>
        <w:r w:rsidR="00F26471" w:rsidRPr="006F6842">
          <w:rPr>
            <w:rStyle w:val="Hyperlink"/>
            <w:rFonts w:cs="Times New Roman"/>
            <w:webHidden/>
            <w:sz w:val="20"/>
            <w:szCs w:val="20"/>
          </w:rPr>
          <w:fldChar w:fldCharType="end"/>
        </w:r>
      </w:hyperlink>
    </w:p>
    <w:p w14:paraId="7A548141" w14:textId="20B0AF91"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72" w:history="1">
        <w:r w:rsidR="00F26471" w:rsidRPr="006F6842">
          <w:rPr>
            <w:rStyle w:val="Hyperlink"/>
            <w:rFonts w:cs="Times New Roman"/>
            <w:noProof/>
            <w:sz w:val="20"/>
            <w:szCs w:val="20"/>
          </w:rPr>
          <w:t xml:space="preserve">Figure 54: Capital </w:t>
        </w:r>
        <w:r w:rsidR="00A2418A" w:rsidRPr="006F6842">
          <w:rPr>
            <w:rStyle w:val="Hyperlink"/>
            <w:rFonts w:cs="Times New Roman"/>
            <w:noProof/>
            <w:sz w:val="20"/>
            <w:szCs w:val="20"/>
          </w:rPr>
          <w:t>P</w:t>
        </w:r>
        <w:r w:rsidR="00F26471" w:rsidRPr="006F6842">
          <w:rPr>
            <w:rStyle w:val="Hyperlink"/>
            <w:rFonts w:cs="Times New Roman"/>
            <w:noProof/>
            <w:sz w:val="20"/>
            <w:szCs w:val="20"/>
          </w:rPr>
          <w:t xml:space="preserve">roductivity is </w:t>
        </w:r>
        <w:r w:rsidR="00924183" w:rsidRPr="006F6842">
          <w:rPr>
            <w:rStyle w:val="Hyperlink"/>
            <w:rFonts w:cs="Times New Roman"/>
            <w:noProof/>
            <w:sz w:val="20"/>
            <w:szCs w:val="20"/>
          </w:rPr>
          <w:t>H</w:t>
        </w:r>
        <w:r w:rsidR="00F26471" w:rsidRPr="006F6842">
          <w:rPr>
            <w:rStyle w:val="Hyperlink"/>
            <w:rFonts w:cs="Times New Roman"/>
            <w:noProof/>
            <w:sz w:val="20"/>
            <w:szCs w:val="20"/>
          </w:rPr>
          <w:t xml:space="preserve">igh </w:t>
        </w:r>
        <w:r w:rsidR="00924183" w:rsidRPr="006F6842">
          <w:rPr>
            <w:rStyle w:val="Hyperlink"/>
            <w:rFonts w:cs="Times New Roman"/>
            <w:noProof/>
            <w:sz w:val="20"/>
            <w:szCs w:val="20"/>
          </w:rPr>
          <w:t>C</w:t>
        </w:r>
        <w:r w:rsidR="00F26471" w:rsidRPr="006F6842">
          <w:rPr>
            <w:rStyle w:val="Hyperlink"/>
            <w:rFonts w:cs="Times New Roman"/>
            <w:noProof/>
            <w:sz w:val="20"/>
            <w:szCs w:val="20"/>
          </w:rPr>
          <w:t xml:space="preserve">ompared to the </w:t>
        </w:r>
        <w:r w:rsidR="00924183" w:rsidRPr="006F6842">
          <w:rPr>
            <w:rStyle w:val="Hyperlink"/>
            <w:rFonts w:cs="Times New Roman"/>
            <w:noProof/>
            <w:sz w:val="20"/>
            <w:szCs w:val="20"/>
          </w:rPr>
          <w:t>C</w:t>
        </w:r>
        <w:r w:rsidR="00F26471" w:rsidRPr="006F6842">
          <w:rPr>
            <w:rStyle w:val="Hyperlink"/>
            <w:rFonts w:cs="Times New Roman"/>
            <w:noProof/>
            <w:sz w:val="20"/>
            <w:szCs w:val="20"/>
          </w:rPr>
          <w:t xml:space="preserve">omparator </w:t>
        </w:r>
        <w:r w:rsidR="00924183" w:rsidRPr="006F6842">
          <w:rPr>
            <w:rStyle w:val="Hyperlink"/>
            <w:rFonts w:cs="Times New Roman"/>
            <w:noProof/>
            <w:sz w:val="20"/>
            <w:szCs w:val="20"/>
          </w:rPr>
          <w:t>C</w:t>
        </w:r>
        <w:r w:rsidR="00F26471" w:rsidRPr="006F6842">
          <w:rPr>
            <w:rStyle w:val="Hyperlink"/>
            <w:rFonts w:cs="Times New Roman"/>
            <w:noProof/>
            <w:sz w:val="20"/>
            <w:szCs w:val="20"/>
          </w:rPr>
          <w:t>ountries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_Toc445449672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85</w:t>
        </w:r>
        <w:r w:rsidR="00F26471" w:rsidRPr="006F6842">
          <w:rPr>
            <w:rStyle w:val="Hyperlink"/>
            <w:rFonts w:cs="Times New Roman"/>
            <w:webHidden/>
            <w:sz w:val="20"/>
            <w:szCs w:val="20"/>
          </w:rPr>
          <w:fldChar w:fldCharType="end"/>
        </w:r>
      </w:hyperlink>
    </w:p>
    <w:p w14:paraId="16EF9CD7" w14:textId="40EEBA2B"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73" w:history="1">
        <w:r w:rsidR="00F26471" w:rsidRPr="006F6842">
          <w:rPr>
            <w:rStyle w:val="Hyperlink"/>
            <w:rFonts w:cs="Times New Roman"/>
            <w:noProof/>
            <w:sz w:val="20"/>
            <w:szCs w:val="20"/>
          </w:rPr>
          <w:t>Figure 55: Biggest Problems in Filling Positions and Average Number of Days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_Toc445449673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99</w:t>
        </w:r>
        <w:r w:rsidR="00F26471" w:rsidRPr="006F6842">
          <w:rPr>
            <w:rStyle w:val="Hyperlink"/>
            <w:rFonts w:cs="Times New Roman"/>
            <w:webHidden/>
            <w:sz w:val="20"/>
            <w:szCs w:val="20"/>
          </w:rPr>
          <w:fldChar w:fldCharType="end"/>
        </w:r>
      </w:hyperlink>
    </w:p>
    <w:p w14:paraId="0160B243" w14:textId="21CA62B4"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74" w:history="1">
        <w:r w:rsidR="00F26471" w:rsidRPr="006F6842">
          <w:rPr>
            <w:rStyle w:val="Hyperlink"/>
            <w:rFonts w:cs="Times New Roman"/>
            <w:noProof/>
            <w:sz w:val="20"/>
            <w:szCs w:val="20"/>
          </w:rPr>
          <w:t>Figure 56: Percentage of Production and Nonproduction Full-</w:t>
        </w:r>
        <w:r w:rsidR="00924183" w:rsidRPr="006F6842">
          <w:rPr>
            <w:rStyle w:val="Hyperlink"/>
            <w:rFonts w:cs="Times New Roman"/>
            <w:noProof/>
            <w:sz w:val="20"/>
            <w:szCs w:val="20"/>
          </w:rPr>
          <w:t>T</w:t>
        </w:r>
        <w:r w:rsidR="00F26471" w:rsidRPr="006F6842">
          <w:rPr>
            <w:rStyle w:val="Hyperlink"/>
            <w:rFonts w:cs="Times New Roman"/>
            <w:noProof/>
            <w:sz w:val="20"/>
            <w:szCs w:val="20"/>
          </w:rPr>
          <w:t>ime Permanent Employees Trained</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_Toc445449674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100</w:t>
        </w:r>
        <w:r w:rsidR="00F26471" w:rsidRPr="006F6842">
          <w:rPr>
            <w:rStyle w:val="Hyperlink"/>
            <w:rFonts w:cs="Times New Roman"/>
            <w:webHidden/>
            <w:sz w:val="20"/>
            <w:szCs w:val="20"/>
          </w:rPr>
          <w:fldChar w:fldCharType="end"/>
        </w:r>
      </w:hyperlink>
    </w:p>
    <w:p w14:paraId="75A352C2" w14:textId="6C636430"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75" w:history="1">
        <w:r w:rsidR="00F26471" w:rsidRPr="006F6842">
          <w:rPr>
            <w:rStyle w:val="Hyperlink"/>
            <w:rFonts w:cs="Times New Roman"/>
            <w:noProof/>
            <w:sz w:val="20"/>
            <w:szCs w:val="20"/>
          </w:rPr>
          <w:t>Figure 57: Firm-</w:t>
        </w:r>
        <w:r w:rsidR="00924183" w:rsidRPr="006F6842">
          <w:rPr>
            <w:rStyle w:val="Hyperlink"/>
            <w:rFonts w:cs="Times New Roman"/>
            <w:noProof/>
            <w:sz w:val="20"/>
            <w:szCs w:val="20"/>
          </w:rPr>
          <w:t>L</w:t>
        </w:r>
        <w:r w:rsidR="00F26471" w:rsidRPr="006F6842">
          <w:rPr>
            <w:rStyle w:val="Hyperlink"/>
            <w:rFonts w:cs="Times New Roman"/>
            <w:noProof/>
            <w:sz w:val="20"/>
            <w:szCs w:val="20"/>
          </w:rPr>
          <w:t>evel Innovation Outcomes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_Toc445449675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105</w:t>
        </w:r>
        <w:r w:rsidR="00F26471" w:rsidRPr="006F6842">
          <w:rPr>
            <w:rStyle w:val="Hyperlink"/>
            <w:rFonts w:cs="Times New Roman"/>
            <w:webHidden/>
            <w:sz w:val="20"/>
            <w:szCs w:val="20"/>
          </w:rPr>
          <w:fldChar w:fldCharType="end"/>
        </w:r>
      </w:hyperlink>
    </w:p>
    <w:p w14:paraId="15AAD2F1" w14:textId="614A9587"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76" w:history="1">
        <w:r w:rsidR="00F26471" w:rsidRPr="006F6842">
          <w:rPr>
            <w:rStyle w:val="Hyperlink"/>
            <w:rFonts w:cs="Times New Roman"/>
            <w:noProof/>
            <w:sz w:val="20"/>
            <w:szCs w:val="20"/>
          </w:rPr>
          <w:t>Figure 58: Level of Product Innovativeness in Nigeria (</w:t>
        </w:r>
        <w:r w:rsidR="00924183" w:rsidRPr="006F6842">
          <w:rPr>
            <w:rStyle w:val="Hyperlink"/>
            <w:rFonts w:cs="Times New Roman"/>
            <w:noProof/>
            <w:sz w:val="20"/>
            <w:szCs w:val="20"/>
          </w:rPr>
          <w:t>P</w:t>
        </w:r>
        <w:r w:rsidR="00F26471" w:rsidRPr="006F6842">
          <w:rPr>
            <w:rStyle w:val="Hyperlink"/>
            <w:rFonts w:cs="Times New Roman"/>
            <w:noProof/>
            <w:sz w:val="20"/>
            <w:szCs w:val="20"/>
          </w:rPr>
          <w:t xml:space="preserve">ercentage of </w:t>
        </w:r>
        <w:r w:rsidR="00924183" w:rsidRPr="006F6842">
          <w:rPr>
            <w:rStyle w:val="Hyperlink"/>
            <w:rFonts w:cs="Times New Roman"/>
            <w:noProof/>
            <w:sz w:val="20"/>
            <w:szCs w:val="20"/>
          </w:rPr>
          <w:t>A</w:t>
        </w:r>
        <w:r w:rsidR="00F26471" w:rsidRPr="006F6842">
          <w:rPr>
            <w:rStyle w:val="Hyperlink"/>
            <w:rFonts w:cs="Times New Roman"/>
            <w:noProof/>
            <w:sz w:val="20"/>
            <w:szCs w:val="20"/>
          </w:rPr>
          <w:t xml:space="preserve">ll </w:t>
        </w:r>
        <w:r w:rsidR="00924183" w:rsidRPr="006F6842">
          <w:rPr>
            <w:rStyle w:val="Hyperlink"/>
            <w:rFonts w:cs="Times New Roman"/>
            <w:noProof/>
            <w:sz w:val="20"/>
            <w:szCs w:val="20"/>
          </w:rPr>
          <w:t>F</w:t>
        </w:r>
        <w:r w:rsidR="00F26471" w:rsidRPr="006F6842">
          <w:rPr>
            <w:rStyle w:val="Hyperlink"/>
            <w:rFonts w:cs="Times New Roman"/>
            <w:noProof/>
            <w:sz w:val="20"/>
            <w:szCs w:val="20"/>
          </w:rPr>
          <w:t>irms)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_Toc445449676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106</w:t>
        </w:r>
        <w:r w:rsidR="00F26471" w:rsidRPr="006F6842">
          <w:rPr>
            <w:rStyle w:val="Hyperlink"/>
            <w:rFonts w:cs="Times New Roman"/>
            <w:webHidden/>
            <w:sz w:val="20"/>
            <w:szCs w:val="20"/>
          </w:rPr>
          <w:fldChar w:fldCharType="end"/>
        </w:r>
      </w:hyperlink>
    </w:p>
    <w:p w14:paraId="556B2D4F" w14:textId="1233F8A1"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677" w:history="1">
        <w:r w:rsidR="00F26471" w:rsidRPr="006F6842">
          <w:rPr>
            <w:rStyle w:val="Hyperlink"/>
            <w:rFonts w:cs="Times New Roman"/>
            <w:noProof/>
            <w:sz w:val="20"/>
            <w:szCs w:val="20"/>
          </w:rPr>
          <w:t>Figure 59: Types of Process Innovation in Nigeria (</w:t>
        </w:r>
        <w:r w:rsidR="00924183" w:rsidRPr="006F6842">
          <w:rPr>
            <w:rStyle w:val="Hyperlink"/>
            <w:rFonts w:cs="Times New Roman"/>
            <w:noProof/>
            <w:sz w:val="20"/>
            <w:szCs w:val="20"/>
          </w:rPr>
          <w:t>P</w:t>
        </w:r>
        <w:r w:rsidR="00F26471" w:rsidRPr="006F6842">
          <w:rPr>
            <w:rStyle w:val="Hyperlink"/>
            <w:rFonts w:cs="Times New Roman"/>
            <w:noProof/>
            <w:sz w:val="20"/>
            <w:szCs w:val="20"/>
          </w:rPr>
          <w:t xml:space="preserve">ercentage of </w:t>
        </w:r>
        <w:r w:rsidR="00924183" w:rsidRPr="006F6842">
          <w:rPr>
            <w:rStyle w:val="Hyperlink"/>
            <w:rFonts w:cs="Times New Roman"/>
            <w:noProof/>
            <w:sz w:val="20"/>
            <w:szCs w:val="20"/>
          </w:rPr>
          <w:t>A</w:t>
        </w:r>
        <w:r w:rsidR="00F26471" w:rsidRPr="006F6842">
          <w:rPr>
            <w:rStyle w:val="Hyperlink"/>
            <w:rFonts w:cs="Times New Roman"/>
            <w:noProof/>
            <w:sz w:val="20"/>
            <w:szCs w:val="20"/>
          </w:rPr>
          <w:t xml:space="preserve">ll </w:t>
        </w:r>
        <w:r w:rsidR="00924183" w:rsidRPr="006F6842">
          <w:rPr>
            <w:rStyle w:val="Hyperlink"/>
            <w:rFonts w:cs="Times New Roman"/>
            <w:noProof/>
            <w:sz w:val="20"/>
            <w:szCs w:val="20"/>
          </w:rPr>
          <w:t>F</w:t>
        </w:r>
        <w:r w:rsidR="00F26471" w:rsidRPr="006F6842">
          <w:rPr>
            <w:rStyle w:val="Hyperlink"/>
            <w:rFonts w:cs="Times New Roman"/>
            <w:noProof/>
            <w:sz w:val="20"/>
            <w:szCs w:val="20"/>
          </w:rPr>
          <w:t>irms)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_Toc445449677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106</w:t>
        </w:r>
        <w:r w:rsidR="00F26471" w:rsidRPr="006F6842">
          <w:rPr>
            <w:rStyle w:val="Hyperlink"/>
            <w:rFonts w:cs="Times New Roman"/>
            <w:webHidden/>
            <w:sz w:val="20"/>
            <w:szCs w:val="20"/>
          </w:rPr>
          <w:fldChar w:fldCharType="end"/>
        </w:r>
      </w:hyperlink>
    </w:p>
    <w:p w14:paraId="0BB60DAA" w14:textId="6ED6019E" w:rsidR="00F26471" w:rsidRPr="00F26471" w:rsidRDefault="00B71057" w:rsidP="00D727BF">
      <w:pPr>
        <w:pStyle w:val="TableofFigures"/>
        <w:tabs>
          <w:tab w:val="left" w:pos="720"/>
          <w:tab w:val="right" w:leader="dot" w:pos="9350"/>
        </w:tabs>
        <w:spacing w:beforeLines="40" w:before="96"/>
        <w:rPr>
          <w:rStyle w:val="Hyperlink"/>
          <w:rFonts w:cs="Times New Roman"/>
          <w:szCs w:val="24"/>
        </w:rPr>
      </w:pPr>
      <w:hyperlink w:anchor="_Toc445449678" w:history="1">
        <w:r w:rsidR="00F26471" w:rsidRPr="006F6842">
          <w:rPr>
            <w:rStyle w:val="Hyperlink"/>
            <w:rFonts w:cs="Times New Roman"/>
            <w:noProof/>
            <w:sz w:val="20"/>
            <w:szCs w:val="20"/>
          </w:rPr>
          <w:t>Figure 60: How Were Product Innovations Developed?</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_Toc445449678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109</w:t>
        </w:r>
        <w:r w:rsidR="00F26471" w:rsidRPr="006F6842">
          <w:rPr>
            <w:rStyle w:val="Hyperlink"/>
            <w:rFonts w:cs="Times New Roman"/>
            <w:webHidden/>
            <w:sz w:val="20"/>
            <w:szCs w:val="20"/>
          </w:rPr>
          <w:fldChar w:fldCharType="end"/>
        </w:r>
      </w:hyperlink>
    </w:p>
    <w:p w14:paraId="3C3DE0D5" w14:textId="534341BF" w:rsidR="00B77702" w:rsidRPr="00086B78" w:rsidRDefault="00892767" w:rsidP="00D727BF">
      <w:pPr>
        <w:tabs>
          <w:tab w:val="left" w:pos="720"/>
        </w:tabs>
        <w:spacing w:beforeLines="40" w:before="96" w:after="0"/>
        <w:rPr>
          <w:rFonts w:cs="Times New Roman"/>
          <w:szCs w:val="24"/>
        </w:rPr>
      </w:pPr>
      <w:r w:rsidRPr="00086B78">
        <w:rPr>
          <w:rFonts w:cs="Times New Roman"/>
          <w:szCs w:val="24"/>
        </w:rPr>
        <w:fldChar w:fldCharType="end"/>
      </w:r>
      <w:r w:rsidR="00B77702" w:rsidRPr="00086B78">
        <w:rPr>
          <w:rFonts w:cs="Times New Roman"/>
          <w:szCs w:val="24"/>
        </w:rPr>
        <w:br w:type="page"/>
      </w:r>
    </w:p>
    <w:p w14:paraId="3E2C2C1D" w14:textId="77777777" w:rsidR="004F6EE1" w:rsidRDefault="004F6EE1" w:rsidP="00D727BF">
      <w:pPr>
        <w:tabs>
          <w:tab w:val="left" w:pos="720"/>
        </w:tabs>
        <w:spacing w:after="0"/>
      </w:pPr>
    </w:p>
    <w:p w14:paraId="2CE720E0" w14:textId="2308EF07" w:rsidR="004F6EE1" w:rsidRPr="001845F3" w:rsidRDefault="004F6EE1" w:rsidP="00D727BF">
      <w:pPr>
        <w:tabs>
          <w:tab w:val="left" w:pos="720"/>
        </w:tabs>
        <w:rPr>
          <w:rFonts w:ascii="Times New Roman Bold" w:hAnsi="Times New Roman Bold"/>
          <w:b/>
          <w:color w:val="0550AE" w:themeColor="text1" w:themeTint="BF"/>
          <w:spacing w:val="30"/>
          <w:sz w:val="32"/>
          <w:szCs w:val="32"/>
        </w:rPr>
      </w:pPr>
      <w:bookmarkStart w:id="4" w:name="_Toc444877486"/>
      <w:r w:rsidRPr="001845F3">
        <w:rPr>
          <w:rFonts w:ascii="Times New Roman Bold" w:hAnsi="Times New Roman Bold"/>
          <w:b/>
          <w:color w:val="0550AE" w:themeColor="text1" w:themeTint="BF"/>
          <w:spacing w:val="30"/>
          <w:sz w:val="32"/>
          <w:szCs w:val="32"/>
        </w:rPr>
        <w:t>Table</w:t>
      </w:r>
      <w:r w:rsidR="00B77702" w:rsidRPr="001845F3">
        <w:rPr>
          <w:rFonts w:ascii="Times New Roman Bold" w:hAnsi="Times New Roman Bold"/>
          <w:b/>
          <w:color w:val="0550AE" w:themeColor="text1" w:themeTint="BF"/>
          <w:spacing w:val="30"/>
          <w:sz w:val="32"/>
          <w:szCs w:val="32"/>
        </w:rPr>
        <w:t xml:space="preserve"> of Tables</w:t>
      </w:r>
      <w:bookmarkEnd w:id="4"/>
    </w:p>
    <w:p w14:paraId="561E0A9D" w14:textId="28C6B749" w:rsidR="00F26471" w:rsidRPr="006F6842" w:rsidRDefault="004F6EE1" w:rsidP="00D727BF">
      <w:pPr>
        <w:pStyle w:val="TableofFigures"/>
        <w:tabs>
          <w:tab w:val="left" w:pos="720"/>
          <w:tab w:val="right" w:leader="dot" w:pos="9350"/>
        </w:tabs>
        <w:spacing w:beforeLines="40" w:before="96"/>
        <w:rPr>
          <w:rStyle w:val="Hyperlink"/>
          <w:rFonts w:cs="Times New Roman"/>
          <w:sz w:val="20"/>
          <w:szCs w:val="20"/>
        </w:rPr>
      </w:pPr>
      <w:r w:rsidRPr="00B77702">
        <w:rPr>
          <w:rFonts w:cs="Times New Roman"/>
          <w:szCs w:val="24"/>
        </w:rPr>
        <w:fldChar w:fldCharType="begin"/>
      </w:r>
      <w:r w:rsidRPr="00C759C4">
        <w:rPr>
          <w:rFonts w:cs="Times New Roman"/>
          <w:szCs w:val="24"/>
        </w:rPr>
        <w:instrText xml:space="preserve"> TOC \h \z \c "Table" </w:instrText>
      </w:r>
      <w:r w:rsidRPr="00B77702">
        <w:rPr>
          <w:rFonts w:cs="Times New Roman"/>
          <w:szCs w:val="24"/>
        </w:rPr>
        <w:fldChar w:fldCharType="separate"/>
      </w:r>
      <w:hyperlink w:anchor="_Toc445449522" w:history="1">
        <w:r w:rsidR="00F26471" w:rsidRPr="006F6842">
          <w:rPr>
            <w:rStyle w:val="Hyperlink"/>
            <w:rFonts w:cs="Times New Roman"/>
            <w:noProof/>
            <w:sz w:val="20"/>
            <w:szCs w:val="20"/>
          </w:rPr>
          <w:t>Table 1: Innovation Rates in Nigeria and Comparator Countries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_Toc445449522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28</w:t>
        </w:r>
        <w:r w:rsidR="00F26471" w:rsidRPr="006F6842">
          <w:rPr>
            <w:rStyle w:val="Hyperlink"/>
            <w:rFonts w:cs="Times New Roman"/>
            <w:webHidden/>
            <w:sz w:val="20"/>
            <w:szCs w:val="20"/>
          </w:rPr>
          <w:fldChar w:fldCharType="end"/>
        </w:r>
      </w:hyperlink>
    </w:p>
    <w:p w14:paraId="598A177A" w14:textId="6A7239E4"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23" w:history="1">
        <w:r w:rsidR="00F26471" w:rsidRPr="006F6842">
          <w:rPr>
            <w:rStyle w:val="Hyperlink"/>
            <w:rFonts w:cs="Times New Roman"/>
            <w:noProof/>
            <w:sz w:val="20"/>
            <w:szCs w:val="20"/>
          </w:rPr>
          <w:t>Table 2: Investment in Research and Development (R&amp;D)</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_Toc445449523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30</w:t>
        </w:r>
        <w:r w:rsidR="00F26471" w:rsidRPr="006F6842">
          <w:rPr>
            <w:rStyle w:val="Hyperlink"/>
            <w:rFonts w:cs="Times New Roman"/>
            <w:webHidden/>
            <w:sz w:val="20"/>
            <w:szCs w:val="20"/>
          </w:rPr>
          <w:fldChar w:fldCharType="end"/>
        </w:r>
      </w:hyperlink>
    </w:p>
    <w:p w14:paraId="21B3997C" w14:textId="6A50A4D6"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24" w:history="1">
        <w:r w:rsidR="00F26471" w:rsidRPr="006F6842">
          <w:rPr>
            <w:rStyle w:val="Hyperlink"/>
            <w:rFonts w:cs="Times New Roman"/>
            <w:noProof/>
            <w:sz w:val="20"/>
            <w:szCs w:val="20"/>
          </w:rPr>
          <w:t>Table 3: Key Statistics on Non-Farm Enterprises in Nigeria, 2012</w:t>
        </w:r>
        <w:r w:rsidR="009E1C1E" w:rsidRPr="006F6842">
          <w:rPr>
            <w:rStyle w:val="Hyperlink"/>
            <w:rFonts w:ascii="Calibri" w:hAnsi="Calibri" w:cs="Times New Roman"/>
            <w:noProof/>
            <w:sz w:val="20"/>
            <w:szCs w:val="20"/>
          </w:rPr>
          <w:t>‒</w:t>
        </w:r>
        <w:r w:rsidR="009E1C1E" w:rsidRPr="006F6842">
          <w:rPr>
            <w:rStyle w:val="Hyperlink"/>
            <w:rFonts w:cs="Times New Roman"/>
            <w:noProof/>
            <w:sz w:val="20"/>
            <w:szCs w:val="20"/>
          </w:rPr>
          <w:t>20</w:t>
        </w:r>
        <w:r w:rsidR="00F26471" w:rsidRPr="006F6842">
          <w:rPr>
            <w:rStyle w:val="Hyperlink"/>
            <w:rFonts w:cs="Times New Roman"/>
            <w:noProof/>
            <w:sz w:val="20"/>
            <w:szCs w:val="20"/>
          </w:rPr>
          <w:t>13</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_Toc445449524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46</w:t>
        </w:r>
        <w:r w:rsidR="00F26471" w:rsidRPr="006F6842">
          <w:rPr>
            <w:rStyle w:val="Hyperlink"/>
            <w:rFonts w:cs="Times New Roman"/>
            <w:webHidden/>
            <w:sz w:val="20"/>
            <w:szCs w:val="20"/>
          </w:rPr>
          <w:fldChar w:fldCharType="end"/>
        </w:r>
      </w:hyperlink>
    </w:p>
    <w:p w14:paraId="0213EEAF" w14:textId="32D08760"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25" w:history="1">
        <w:r w:rsidR="00F26471" w:rsidRPr="006F6842">
          <w:rPr>
            <w:rStyle w:val="Hyperlink"/>
            <w:rFonts w:cs="Times New Roman"/>
            <w:noProof/>
            <w:sz w:val="20"/>
            <w:szCs w:val="20"/>
          </w:rPr>
          <w:t>Table 4: Household and Firm Characteristics for Household Enterprises and Microenterprises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_Toc445449525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56</w:t>
        </w:r>
        <w:r w:rsidR="00F26471" w:rsidRPr="006F6842">
          <w:rPr>
            <w:rStyle w:val="Hyperlink"/>
            <w:rFonts w:cs="Times New Roman"/>
            <w:webHidden/>
            <w:sz w:val="20"/>
            <w:szCs w:val="20"/>
          </w:rPr>
          <w:fldChar w:fldCharType="end"/>
        </w:r>
      </w:hyperlink>
    </w:p>
    <w:p w14:paraId="51B871BC" w14:textId="04E63B5B"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26" w:history="1">
        <w:r w:rsidR="00F26471" w:rsidRPr="006F6842">
          <w:rPr>
            <w:rStyle w:val="Hyperlink"/>
            <w:rFonts w:cs="Times New Roman"/>
            <w:noProof/>
            <w:sz w:val="20"/>
            <w:szCs w:val="20"/>
          </w:rPr>
          <w:t>Table 5: Transitioning from a Household Enterprise to a Microenterprise</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_Toc445449526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57</w:t>
        </w:r>
        <w:r w:rsidR="00F26471" w:rsidRPr="006F6842">
          <w:rPr>
            <w:rStyle w:val="Hyperlink"/>
            <w:rFonts w:cs="Times New Roman"/>
            <w:webHidden/>
            <w:sz w:val="20"/>
            <w:szCs w:val="20"/>
          </w:rPr>
          <w:fldChar w:fldCharType="end"/>
        </w:r>
      </w:hyperlink>
    </w:p>
    <w:p w14:paraId="2BF0220D" w14:textId="6658E8B7"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27" w:history="1">
        <w:r w:rsidR="00F26471" w:rsidRPr="006F6842">
          <w:rPr>
            <w:rStyle w:val="Hyperlink"/>
            <w:rFonts w:cs="Times New Roman"/>
            <w:noProof/>
            <w:sz w:val="20"/>
            <w:szCs w:val="20"/>
          </w:rPr>
          <w:t xml:space="preserve">Table 6: Sales and </w:t>
        </w:r>
        <w:r w:rsidR="009E1C1E" w:rsidRPr="006F6842">
          <w:rPr>
            <w:rStyle w:val="Hyperlink"/>
            <w:rFonts w:cs="Times New Roman"/>
            <w:noProof/>
            <w:sz w:val="20"/>
            <w:szCs w:val="20"/>
          </w:rPr>
          <w:t>E</w:t>
        </w:r>
        <w:r w:rsidR="00F26471" w:rsidRPr="006F6842">
          <w:rPr>
            <w:rStyle w:val="Hyperlink"/>
            <w:rFonts w:cs="Times New Roman"/>
            <w:noProof/>
            <w:sz w:val="20"/>
            <w:szCs w:val="20"/>
          </w:rPr>
          <w:t xml:space="preserve">mployment </w:t>
        </w:r>
        <w:r w:rsidR="009E1C1E" w:rsidRPr="006F6842">
          <w:rPr>
            <w:rStyle w:val="Hyperlink"/>
            <w:rFonts w:cs="Times New Roman"/>
            <w:noProof/>
            <w:sz w:val="20"/>
            <w:szCs w:val="20"/>
          </w:rPr>
          <w:t>G</w:t>
        </w:r>
        <w:r w:rsidR="00F26471" w:rsidRPr="006F6842">
          <w:rPr>
            <w:rStyle w:val="Hyperlink"/>
            <w:rFonts w:cs="Times New Roman"/>
            <w:noProof/>
            <w:sz w:val="20"/>
            <w:szCs w:val="20"/>
          </w:rPr>
          <w:t>rowth across Nigeria.</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_Toc445449527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69</w:t>
        </w:r>
        <w:r w:rsidR="00F26471" w:rsidRPr="006F6842">
          <w:rPr>
            <w:rStyle w:val="Hyperlink"/>
            <w:rFonts w:cs="Times New Roman"/>
            <w:webHidden/>
            <w:sz w:val="20"/>
            <w:szCs w:val="20"/>
          </w:rPr>
          <w:fldChar w:fldCharType="end"/>
        </w:r>
      </w:hyperlink>
    </w:p>
    <w:p w14:paraId="365714A8" w14:textId="7BE4AC36"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28" w:history="1">
        <w:r w:rsidR="00F26471" w:rsidRPr="006F6842">
          <w:rPr>
            <w:rStyle w:val="Hyperlink"/>
            <w:rFonts w:cs="Times New Roman"/>
            <w:noProof/>
            <w:sz w:val="20"/>
            <w:szCs w:val="20"/>
          </w:rPr>
          <w:t>Table 7: Comparison of Investment Climate Variables, 2007 and 2014</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_Toc445449528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79</w:t>
        </w:r>
        <w:r w:rsidR="00F26471" w:rsidRPr="006F6842">
          <w:rPr>
            <w:rStyle w:val="Hyperlink"/>
            <w:rFonts w:cs="Times New Roman"/>
            <w:webHidden/>
            <w:sz w:val="20"/>
            <w:szCs w:val="20"/>
          </w:rPr>
          <w:fldChar w:fldCharType="end"/>
        </w:r>
      </w:hyperlink>
    </w:p>
    <w:p w14:paraId="45C032E5" w14:textId="0EAF9DDD"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29" w:history="1">
        <w:r w:rsidR="00F26471" w:rsidRPr="006F6842">
          <w:rPr>
            <w:rStyle w:val="Hyperlink"/>
            <w:rFonts w:cs="Times New Roman"/>
            <w:noProof/>
            <w:sz w:val="20"/>
            <w:szCs w:val="20"/>
          </w:rPr>
          <w:t>Table 8: Increase in TFP if Nigeria Improved Various Aspects of Its Investment Climate</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_Toc445449529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90</w:t>
        </w:r>
        <w:r w:rsidR="00F26471" w:rsidRPr="006F6842">
          <w:rPr>
            <w:rStyle w:val="Hyperlink"/>
            <w:rFonts w:cs="Times New Roman"/>
            <w:webHidden/>
            <w:sz w:val="20"/>
            <w:szCs w:val="20"/>
          </w:rPr>
          <w:fldChar w:fldCharType="end"/>
        </w:r>
      </w:hyperlink>
    </w:p>
    <w:p w14:paraId="796D4811" w14:textId="0247DFB6"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30" w:history="1">
        <w:r w:rsidR="00F26471" w:rsidRPr="006F6842">
          <w:rPr>
            <w:rStyle w:val="Hyperlink"/>
            <w:rFonts w:cs="Times New Roman"/>
            <w:noProof/>
            <w:sz w:val="20"/>
            <w:szCs w:val="20"/>
          </w:rPr>
          <w:t>Table 9: Drivers of Labor Turnover in Nigeria</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_Toc445449530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98</w:t>
        </w:r>
        <w:r w:rsidR="00F26471" w:rsidRPr="006F6842">
          <w:rPr>
            <w:rStyle w:val="Hyperlink"/>
            <w:rFonts w:cs="Times New Roman"/>
            <w:webHidden/>
            <w:sz w:val="20"/>
            <w:szCs w:val="20"/>
          </w:rPr>
          <w:fldChar w:fldCharType="end"/>
        </w:r>
      </w:hyperlink>
    </w:p>
    <w:p w14:paraId="70729BF3" w14:textId="1A5DF3FB"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31" w:history="1">
        <w:r w:rsidR="00F26471" w:rsidRPr="006F6842">
          <w:rPr>
            <w:rStyle w:val="Hyperlink"/>
            <w:rFonts w:cs="Times New Roman"/>
            <w:noProof/>
            <w:sz w:val="20"/>
            <w:szCs w:val="20"/>
          </w:rPr>
          <w:t>Table 10: Investment in Research and Development (R&amp;D)</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_Toc445449531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102</w:t>
        </w:r>
        <w:r w:rsidR="00F26471" w:rsidRPr="006F6842">
          <w:rPr>
            <w:rStyle w:val="Hyperlink"/>
            <w:rFonts w:cs="Times New Roman"/>
            <w:webHidden/>
            <w:sz w:val="20"/>
            <w:szCs w:val="20"/>
          </w:rPr>
          <w:fldChar w:fldCharType="end"/>
        </w:r>
      </w:hyperlink>
    </w:p>
    <w:p w14:paraId="77D5A924" w14:textId="216593C5"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32" w:history="1">
        <w:r w:rsidR="00F26471" w:rsidRPr="006F6842">
          <w:rPr>
            <w:rStyle w:val="Hyperlink"/>
            <w:rFonts w:cs="Times New Roman"/>
            <w:noProof/>
            <w:sz w:val="20"/>
            <w:szCs w:val="20"/>
          </w:rPr>
          <w:t>Table 11: Investment in Equipment, Training and Intellectual Property</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_Toc445449532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103</w:t>
        </w:r>
        <w:r w:rsidR="00F26471" w:rsidRPr="006F6842">
          <w:rPr>
            <w:rStyle w:val="Hyperlink"/>
            <w:rFonts w:cs="Times New Roman"/>
            <w:webHidden/>
            <w:sz w:val="20"/>
            <w:szCs w:val="20"/>
          </w:rPr>
          <w:fldChar w:fldCharType="end"/>
        </w:r>
      </w:hyperlink>
    </w:p>
    <w:p w14:paraId="5AC6D19F" w14:textId="50E29DCB"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33" w:history="1">
        <w:r w:rsidR="00F26471" w:rsidRPr="006F6842">
          <w:rPr>
            <w:rStyle w:val="Hyperlink"/>
            <w:rFonts w:cs="Times New Roman"/>
            <w:noProof/>
            <w:sz w:val="20"/>
            <w:szCs w:val="20"/>
          </w:rPr>
          <w:t>Table 12: Innovation Rates in Nigeria and Comparator Countries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_Toc445449533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105</w:t>
        </w:r>
        <w:r w:rsidR="00F26471" w:rsidRPr="006F6842">
          <w:rPr>
            <w:rStyle w:val="Hyperlink"/>
            <w:rFonts w:cs="Times New Roman"/>
            <w:webHidden/>
            <w:sz w:val="20"/>
            <w:szCs w:val="20"/>
          </w:rPr>
          <w:fldChar w:fldCharType="end"/>
        </w:r>
      </w:hyperlink>
    </w:p>
    <w:p w14:paraId="1864B13B" w14:textId="20CC5B8D" w:rsidR="00F26471" w:rsidRPr="006F6842" w:rsidRDefault="00B71057" w:rsidP="00D727BF">
      <w:pPr>
        <w:pStyle w:val="TableofFigures"/>
        <w:tabs>
          <w:tab w:val="left" w:pos="720"/>
          <w:tab w:val="right" w:leader="dot" w:pos="9350"/>
        </w:tabs>
        <w:spacing w:beforeLines="40" w:before="96"/>
        <w:rPr>
          <w:rStyle w:val="Hyperlink"/>
          <w:rFonts w:cs="Times New Roman"/>
          <w:sz w:val="20"/>
          <w:szCs w:val="20"/>
        </w:rPr>
      </w:pPr>
      <w:hyperlink w:anchor="_Toc445449534" w:history="1">
        <w:r w:rsidR="00F26471" w:rsidRPr="006F6842">
          <w:rPr>
            <w:rStyle w:val="Hyperlink"/>
            <w:rFonts w:cs="Times New Roman"/>
            <w:noProof/>
            <w:sz w:val="20"/>
            <w:szCs w:val="20"/>
          </w:rPr>
          <w:t>Table 13: Innovation Rates by Sector and Type of Firms</w:t>
        </w:r>
        <w:r w:rsidR="00F26471" w:rsidRPr="006F6842">
          <w:rPr>
            <w:rStyle w:val="Hyperlink"/>
            <w:rFonts w:cs="Times New Roman"/>
            <w:webHidden/>
            <w:sz w:val="20"/>
            <w:szCs w:val="20"/>
          </w:rPr>
          <w:tab/>
        </w:r>
        <w:r w:rsidR="00F26471" w:rsidRPr="006F6842">
          <w:rPr>
            <w:rStyle w:val="Hyperlink"/>
            <w:rFonts w:cs="Times New Roman"/>
            <w:webHidden/>
            <w:sz w:val="20"/>
            <w:szCs w:val="20"/>
          </w:rPr>
          <w:fldChar w:fldCharType="begin"/>
        </w:r>
        <w:r w:rsidR="00F26471" w:rsidRPr="006F6842">
          <w:rPr>
            <w:rStyle w:val="Hyperlink"/>
            <w:rFonts w:cs="Times New Roman"/>
            <w:webHidden/>
            <w:sz w:val="20"/>
            <w:szCs w:val="20"/>
          </w:rPr>
          <w:instrText xml:space="preserve"> PAGEREF _Toc445449534 \h </w:instrText>
        </w:r>
        <w:r w:rsidR="00F26471" w:rsidRPr="006F6842">
          <w:rPr>
            <w:rStyle w:val="Hyperlink"/>
            <w:rFonts w:cs="Times New Roman"/>
            <w:webHidden/>
            <w:sz w:val="20"/>
            <w:szCs w:val="20"/>
          </w:rPr>
        </w:r>
        <w:r w:rsidR="00F26471" w:rsidRPr="006F6842">
          <w:rPr>
            <w:rStyle w:val="Hyperlink"/>
            <w:rFonts w:cs="Times New Roman"/>
            <w:webHidden/>
            <w:sz w:val="20"/>
            <w:szCs w:val="20"/>
          </w:rPr>
          <w:fldChar w:fldCharType="separate"/>
        </w:r>
        <w:r w:rsidR="008A3BBD" w:rsidRPr="006F6842">
          <w:rPr>
            <w:rStyle w:val="Hyperlink"/>
            <w:rFonts w:cs="Times New Roman"/>
            <w:noProof/>
            <w:webHidden/>
            <w:sz w:val="20"/>
            <w:szCs w:val="20"/>
          </w:rPr>
          <w:t>107</w:t>
        </w:r>
        <w:r w:rsidR="00F26471" w:rsidRPr="006F6842">
          <w:rPr>
            <w:rStyle w:val="Hyperlink"/>
            <w:rFonts w:cs="Times New Roman"/>
            <w:webHidden/>
            <w:sz w:val="20"/>
            <w:szCs w:val="20"/>
          </w:rPr>
          <w:fldChar w:fldCharType="end"/>
        </w:r>
      </w:hyperlink>
    </w:p>
    <w:p w14:paraId="4B926E04" w14:textId="77777777" w:rsidR="004F6EE1" w:rsidRPr="00B77702" w:rsidRDefault="004F6EE1" w:rsidP="00D727BF">
      <w:pPr>
        <w:tabs>
          <w:tab w:val="left" w:pos="720"/>
        </w:tabs>
        <w:spacing w:before="120" w:after="0"/>
        <w:rPr>
          <w:rFonts w:cs="Times New Roman"/>
          <w:szCs w:val="24"/>
        </w:rPr>
      </w:pPr>
      <w:r w:rsidRPr="00B77702">
        <w:rPr>
          <w:rFonts w:cs="Times New Roman"/>
          <w:szCs w:val="24"/>
        </w:rPr>
        <w:fldChar w:fldCharType="end"/>
      </w:r>
    </w:p>
    <w:p w14:paraId="760915CB" w14:textId="77777777" w:rsidR="00497B34" w:rsidRDefault="00497B34" w:rsidP="00D727BF">
      <w:pPr>
        <w:tabs>
          <w:tab w:val="left" w:pos="720"/>
        </w:tabs>
        <w:spacing w:after="0"/>
      </w:pPr>
    </w:p>
    <w:p w14:paraId="67F927A4" w14:textId="67A4F0BD" w:rsidR="00980BAD" w:rsidRDefault="00C640EF" w:rsidP="00D727BF">
      <w:pPr>
        <w:pStyle w:val="Heading1"/>
        <w:tabs>
          <w:tab w:val="left" w:pos="720"/>
        </w:tabs>
        <w:ind w:left="20" w:hanging="20"/>
      </w:pPr>
      <w:r>
        <w:br w:type="page"/>
      </w:r>
      <w:bookmarkStart w:id="5" w:name="_Toc444877487"/>
      <w:bookmarkStart w:id="6" w:name="_Toc445450262"/>
      <w:r w:rsidR="004E2FB4">
        <w:lastRenderedPageBreak/>
        <w:t>A</w:t>
      </w:r>
      <w:r w:rsidR="00980BAD">
        <w:t xml:space="preserve">bbreviations and </w:t>
      </w:r>
      <w:r w:rsidR="00980BAD" w:rsidRPr="00C83459">
        <w:t>Acronyms</w:t>
      </w:r>
      <w:bookmarkEnd w:id="1"/>
      <w:bookmarkEnd w:id="5"/>
      <w:bookmarkEnd w:id="6"/>
    </w:p>
    <w:p w14:paraId="5C729F4F" w14:textId="77777777" w:rsidR="00980BAD" w:rsidRDefault="00980BAD" w:rsidP="00D727BF">
      <w:pPr>
        <w:pStyle w:val="Title"/>
        <w:tabs>
          <w:tab w:val="left" w:pos="720"/>
        </w:tabs>
        <w:ind w:left="20" w:hanging="20"/>
      </w:pPr>
    </w:p>
    <w:tbl>
      <w:tblPr>
        <w:tblW w:w="9744" w:type="dxa"/>
        <w:tblInd w:w="98" w:type="dxa"/>
        <w:tblLook w:val="04A0" w:firstRow="1" w:lastRow="0" w:firstColumn="1" w:lastColumn="0" w:noHBand="0" w:noVBand="1"/>
      </w:tblPr>
      <w:tblGrid>
        <w:gridCol w:w="1990"/>
        <w:gridCol w:w="7373"/>
        <w:gridCol w:w="381"/>
      </w:tblGrid>
      <w:tr w:rsidR="00AB05A1" w:rsidRPr="001845F3" w14:paraId="61E33100" w14:textId="77777777" w:rsidTr="00980BAD">
        <w:trPr>
          <w:trHeight w:val="115"/>
        </w:trPr>
        <w:tc>
          <w:tcPr>
            <w:tcW w:w="1990" w:type="dxa"/>
            <w:shd w:val="clear" w:color="auto" w:fill="auto"/>
            <w:noWrap/>
            <w:vAlign w:val="bottom"/>
          </w:tcPr>
          <w:p w14:paraId="345686A5" w14:textId="43AA0F32" w:rsidR="00AB05A1" w:rsidRPr="001845F3" w:rsidRDefault="00AB05A1" w:rsidP="00D727BF">
            <w:pPr>
              <w:pStyle w:val="NoSpacing"/>
              <w:tabs>
                <w:tab w:val="left" w:pos="720"/>
              </w:tabs>
              <w:spacing w:after="0"/>
              <w:ind w:left="14" w:hanging="14"/>
              <w:rPr>
                <w:rFonts w:ascii="Times New Roman" w:hAnsi="Times New Roman"/>
              </w:rPr>
            </w:pPr>
          </w:p>
        </w:tc>
        <w:tc>
          <w:tcPr>
            <w:tcW w:w="7373" w:type="dxa"/>
            <w:shd w:val="clear" w:color="auto" w:fill="auto"/>
            <w:noWrap/>
            <w:vAlign w:val="bottom"/>
          </w:tcPr>
          <w:p w14:paraId="767845D3" w14:textId="77777777" w:rsidR="00AB05A1" w:rsidRPr="001845F3" w:rsidRDefault="00AB05A1" w:rsidP="00D727BF">
            <w:pPr>
              <w:pStyle w:val="NoSpacing"/>
              <w:tabs>
                <w:tab w:val="left" w:pos="720"/>
              </w:tabs>
              <w:spacing w:after="0"/>
              <w:ind w:left="14" w:hanging="14"/>
              <w:rPr>
                <w:rFonts w:ascii="Times New Roman" w:hAnsi="Times New Roman"/>
              </w:rPr>
            </w:pPr>
          </w:p>
        </w:tc>
        <w:tc>
          <w:tcPr>
            <w:tcW w:w="381" w:type="dxa"/>
            <w:shd w:val="clear" w:color="auto" w:fill="auto"/>
            <w:noWrap/>
            <w:vAlign w:val="bottom"/>
            <w:hideMark/>
          </w:tcPr>
          <w:p w14:paraId="7F1BA057"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 </w:t>
            </w:r>
          </w:p>
        </w:tc>
      </w:tr>
      <w:tr w:rsidR="00AB05A1" w:rsidRPr="001845F3" w14:paraId="7998CD64" w14:textId="77777777" w:rsidTr="00F35778">
        <w:trPr>
          <w:trHeight w:val="115"/>
        </w:trPr>
        <w:tc>
          <w:tcPr>
            <w:tcW w:w="1990" w:type="dxa"/>
            <w:shd w:val="clear" w:color="auto" w:fill="auto"/>
            <w:noWrap/>
            <w:vAlign w:val="bottom"/>
          </w:tcPr>
          <w:p w14:paraId="63DBAF87" w14:textId="77777777" w:rsidR="00AB05A1" w:rsidRPr="001845F3" w:rsidRDefault="002E2227" w:rsidP="00D727BF">
            <w:pPr>
              <w:pStyle w:val="NoSpacing"/>
              <w:tabs>
                <w:tab w:val="left" w:pos="720"/>
              </w:tabs>
              <w:spacing w:after="0"/>
              <w:ind w:left="14" w:hanging="14"/>
              <w:rPr>
                <w:rFonts w:ascii="Times New Roman" w:hAnsi="Times New Roman"/>
              </w:rPr>
            </w:pPr>
            <w:r w:rsidRPr="001845F3">
              <w:rPr>
                <w:rFonts w:ascii="Times New Roman" w:hAnsi="Times New Roman"/>
              </w:rPr>
              <w:t>BMGF</w:t>
            </w:r>
          </w:p>
        </w:tc>
        <w:tc>
          <w:tcPr>
            <w:tcW w:w="7373" w:type="dxa"/>
            <w:shd w:val="clear" w:color="auto" w:fill="auto"/>
            <w:noWrap/>
            <w:vAlign w:val="bottom"/>
          </w:tcPr>
          <w:p w14:paraId="7DE9C8C6" w14:textId="77777777" w:rsidR="00AB05A1" w:rsidRPr="001845F3" w:rsidRDefault="002E2227" w:rsidP="00D727BF">
            <w:pPr>
              <w:pStyle w:val="NoSpacing"/>
              <w:tabs>
                <w:tab w:val="left" w:pos="720"/>
              </w:tabs>
              <w:spacing w:after="0"/>
              <w:ind w:left="14" w:hanging="14"/>
              <w:rPr>
                <w:rFonts w:ascii="Times New Roman" w:hAnsi="Times New Roman"/>
              </w:rPr>
            </w:pPr>
            <w:r w:rsidRPr="001845F3">
              <w:rPr>
                <w:rFonts w:ascii="Times New Roman" w:hAnsi="Times New Roman"/>
              </w:rPr>
              <w:t>Bill and Melinda Gates Foundation</w:t>
            </w:r>
          </w:p>
        </w:tc>
        <w:tc>
          <w:tcPr>
            <w:tcW w:w="381" w:type="dxa"/>
            <w:shd w:val="clear" w:color="auto" w:fill="auto"/>
            <w:noWrap/>
            <w:vAlign w:val="bottom"/>
            <w:hideMark/>
          </w:tcPr>
          <w:p w14:paraId="0CC84201"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 </w:t>
            </w:r>
          </w:p>
        </w:tc>
      </w:tr>
      <w:tr w:rsidR="00AB05A1" w:rsidRPr="001845F3" w14:paraId="37AF485D" w14:textId="77777777" w:rsidTr="00F35778">
        <w:trPr>
          <w:trHeight w:val="115"/>
        </w:trPr>
        <w:tc>
          <w:tcPr>
            <w:tcW w:w="1990" w:type="dxa"/>
            <w:shd w:val="clear" w:color="auto" w:fill="auto"/>
            <w:noWrap/>
            <w:vAlign w:val="bottom"/>
            <w:hideMark/>
          </w:tcPr>
          <w:p w14:paraId="760C7BE5" w14:textId="77777777" w:rsidR="00AB05A1" w:rsidRPr="001845F3" w:rsidRDefault="004219E8" w:rsidP="00D727BF">
            <w:pPr>
              <w:pStyle w:val="NoSpacing"/>
              <w:tabs>
                <w:tab w:val="left" w:pos="720"/>
              </w:tabs>
              <w:spacing w:after="0"/>
              <w:ind w:left="14" w:hanging="14"/>
              <w:rPr>
                <w:rFonts w:ascii="Times New Roman" w:hAnsi="Times New Roman"/>
              </w:rPr>
            </w:pPr>
            <w:r w:rsidRPr="001845F3">
              <w:rPr>
                <w:rFonts w:ascii="Times New Roman" w:hAnsi="Times New Roman"/>
              </w:rPr>
              <w:t>CAC</w:t>
            </w:r>
          </w:p>
        </w:tc>
        <w:tc>
          <w:tcPr>
            <w:tcW w:w="7373" w:type="dxa"/>
            <w:shd w:val="clear" w:color="auto" w:fill="auto"/>
            <w:noWrap/>
            <w:vAlign w:val="bottom"/>
            <w:hideMark/>
          </w:tcPr>
          <w:p w14:paraId="57FA0916" w14:textId="77777777" w:rsidR="00AB05A1" w:rsidRPr="001845F3" w:rsidRDefault="00C92E46" w:rsidP="00D727BF">
            <w:pPr>
              <w:pStyle w:val="NoSpacing"/>
              <w:tabs>
                <w:tab w:val="left" w:pos="720"/>
              </w:tabs>
              <w:spacing w:after="0"/>
              <w:ind w:left="14" w:hanging="14"/>
              <w:rPr>
                <w:rFonts w:ascii="Times New Roman" w:hAnsi="Times New Roman"/>
              </w:rPr>
            </w:pPr>
            <w:r w:rsidRPr="001845F3">
              <w:rPr>
                <w:rFonts w:ascii="Times New Roman" w:hAnsi="Times New Roman"/>
                <w:bCs/>
              </w:rPr>
              <w:t>Corporate Affairs Commission</w:t>
            </w:r>
          </w:p>
        </w:tc>
        <w:tc>
          <w:tcPr>
            <w:tcW w:w="381" w:type="dxa"/>
            <w:shd w:val="clear" w:color="auto" w:fill="auto"/>
            <w:noWrap/>
            <w:vAlign w:val="bottom"/>
            <w:hideMark/>
          </w:tcPr>
          <w:p w14:paraId="2E3B6570"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 </w:t>
            </w:r>
          </w:p>
        </w:tc>
      </w:tr>
      <w:tr w:rsidR="00AB05A1" w:rsidRPr="001845F3" w14:paraId="21D576EF" w14:textId="77777777" w:rsidTr="00F35778">
        <w:trPr>
          <w:trHeight w:val="115"/>
        </w:trPr>
        <w:tc>
          <w:tcPr>
            <w:tcW w:w="1990" w:type="dxa"/>
            <w:shd w:val="clear" w:color="auto" w:fill="auto"/>
            <w:noWrap/>
            <w:vAlign w:val="bottom"/>
          </w:tcPr>
          <w:p w14:paraId="5A77E6FC"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CBN</w:t>
            </w:r>
          </w:p>
        </w:tc>
        <w:tc>
          <w:tcPr>
            <w:tcW w:w="7373" w:type="dxa"/>
            <w:shd w:val="clear" w:color="auto" w:fill="auto"/>
            <w:noWrap/>
            <w:vAlign w:val="bottom"/>
          </w:tcPr>
          <w:p w14:paraId="44E52B29"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Central Bank of Nigeria</w:t>
            </w:r>
          </w:p>
        </w:tc>
        <w:tc>
          <w:tcPr>
            <w:tcW w:w="381" w:type="dxa"/>
            <w:shd w:val="clear" w:color="auto" w:fill="auto"/>
            <w:noWrap/>
            <w:vAlign w:val="bottom"/>
            <w:hideMark/>
          </w:tcPr>
          <w:p w14:paraId="26B5A707"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 </w:t>
            </w:r>
          </w:p>
        </w:tc>
      </w:tr>
      <w:tr w:rsidR="00AB05A1" w:rsidRPr="001845F3" w14:paraId="16A57474" w14:textId="77777777" w:rsidTr="00F35778">
        <w:trPr>
          <w:trHeight w:val="115"/>
        </w:trPr>
        <w:tc>
          <w:tcPr>
            <w:tcW w:w="1990" w:type="dxa"/>
            <w:shd w:val="clear" w:color="auto" w:fill="auto"/>
            <w:noWrap/>
            <w:vAlign w:val="bottom"/>
          </w:tcPr>
          <w:p w14:paraId="15407BEE"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CPI</w:t>
            </w:r>
          </w:p>
        </w:tc>
        <w:tc>
          <w:tcPr>
            <w:tcW w:w="7373" w:type="dxa"/>
            <w:shd w:val="clear" w:color="auto" w:fill="auto"/>
            <w:noWrap/>
            <w:vAlign w:val="bottom"/>
          </w:tcPr>
          <w:p w14:paraId="65DF096A"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Consumer Price Index</w:t>
            </w:r>
          </w:p>
        </w:tc>
        <w:tc>
          <w:tcPr>
            <w:tcW w:w="381" w:type="dxa"/>
            <w:shd w:val="clear" w:color="auto" w:fill="auto"/>
            <w:noWrap/>
            <w:vAlign w:val="bottom"/>
            <w:hideMark/>
          </w:tcPr>
          <w:p w14:paraId="38790AF0"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 </w:t>
            </w:r>
          </w:p>
        </w:tc>
      </w:tr>
      <w:tr w:rsidR="00C5511E" w:rsidRPr="001845F3" w14:paraId="38FF046D" w14:textId="77777777" w:rsidTr="00F35778">
        <w:trPr>
          <w:trHeight w:val="115"/>
        </w:trPr>
        <w:tc>
          <w:tcPr>
            <w:tcW w:w="1990" w:type="dxa"/>
            <w:shd w:val="clear" w:color="auto" w:fill="auto"/>
            <w:noWrap/>
            <w:vAlign w:val="bottom"/>
          </w:tcPr>
          <w:p w14:paraId="647142C1"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DB</w:t>
            </w:r>
          </w:p>
        </w:tc>
        <w:tc>
          <w:tcPr>
            <w:tcW w:w="7373" w:type="dxa"/>
            <w:shd w:val="clear" w:color="auto" w:fill="auto"/>
            <w:noWrap/>
            <w:vAlign w:val="bottom"/>
          </w:tcPr>
          <w:p w14:paraId="681AE44A"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Doing Business</w:t>
            </w:r>
          </w:p>
        </w:tc>
        <w:tc>
          <w:tcPr>
            <w:tcW w:w="381" w:type="dxa"/>
            <w:shd w:val="clear" w:color="auto" w:fill="auto"/>
            <w:noWrap/>
            <w:vAlign w:val="bottom"/>
          </w:tcPr>
          <w:p w14:paraId="6AB4E696" w14:textId="77777777" w:rsidR="00C5511E" w:rsidRPr="001845F3" w:rsidRDefault="00C5511E" w:rsidP="00D727BF">
            <w:pPr>
              <w:pStyle w:val="NoSpacing"/>
              <w:tabs>
                <w:tab w:val="left" w:pos="720"/>
              </w:tabs>
              <w:spacing w:after="0"/>
              <w:ind w:left="14" w:hanging="14"/>
              <w:rPr>
                <w:rFonts w:ascii="Times New Roman" w:hAnsi="Times New Roman"/>
              </w:rPr>
            </w:pPr>
          </w:p>
        </w:tc>
      </w:tr>
      <w:tr w:rsidR="002E2227" w:rsidRPr="001845F3" w14:paraId="6A7A11FC" w14:textId="77777777" w:rsidTr="00F35778">
        <w:trPr>
          <w:trHeight w:val="115"/>
        </w:trPr>
        <w:tc>
          <w:tcPr>
            <w:tcW w:w="1990" w:type="dxa"/>
            <w:shd w:val="clear" w:color="auto" w:fill="auto"/>
            <w:noWrap/>
            <w:vAlign w:val="bottom"/>
          </w:tcPr>
          <w:p w14:paraId="2A598DB6" w14:textId="77777777" w:rsidR="002E2227" w:rsidRPr="001845F3" w:rsidRDefault="002E2227" w:rsidP="00D727BF">
            <w:pPr>
              <w:pStyle w:val="NoSpacing"/>
              <w:tabs>
                <w:tab w:val="left" w:pos="720"/>
              </w:tabs>
              <w:spacing w:after="0"/>
              <w:ind w:left="14" w:hanging="14"/>
              <w:rPr>
                <w:rFonts w:ascii="Times New Roman" w:hAnsi="Times New Roman"/>
              </w:rPr>
            </w:pPr>
            <w:r w:rsidRPr="001845F3">
              <w:rPr>
                <w:rFonts w:ascii="Times New Roman" w:hAnsi="Times New Roman"/>
              </w:rPr>
              <w:t>DFID</w:t>
            </w:r>
          </w:p>
        </w:tc>
        <w:tc>
          <w:tcPr>
            <w:tcW w:w="7373" w:type="dxa"/>
            <w:shd w:val="clear" w:color="auto" w:fill="auto"/>
            <w:noWrap/>
            <w:vAlign w:val="bottom"/>
          </w:tcPr>
          <w:p w14:paraId="489E36DD" w14:textId="77777777" w:rsidR="002E2227" w:rsidRPr="001845F3" w:rsidRDefault="002E2227" w:rsidP="00D727BF">
            <w:pPr>
              <w:pStyle w:val="NoSpacing"/>
              <w:tabs>
                <w:tab w:val="left" w:pos="720"/>
              </w:tabs>
              <w:spacing w:after="0"/>
              <w:ind w:left="14" w:hanging="14"/>
              <w:rPr>
                <w:rFonts w:ascii="Times New Roman" w:hAnsi="Times New Roman"/>
              </w:rPr>
            </w:pPr>
            <w:r w:rsidRPr="001845F3">
              <w:rPr>
                <w:rFonts w:ascii="Times New Roman" w:hAnsi="Times New Roman"/>
              </w:rPr>
              <w:t>Department of International Development</w:t>
            </w:r>
          </w:p>
        </w:tc>
        <w:tc>
          <w:tcPr>
            <w:tcW w:w="381" w:type="dxa"/>
            <w:shd w:val="clear" w:color="auto" w:fill="auto"/>
            <w:noWrap/>
            <w:vAlign w:val="bottom"/>
          </w:tcPr>
          <w:p w14:paraId="78AB9B84" w14:textId="77777777" w:rsidR="002E2227" w:rsidRPr="001845F3" w:rsidRDefault="002E2227" w:rsidP="00D727BF">
            <w:pPr>
              <w:pStyle w:val="NoSpacing"/>
              <w:tabs>
                <w:tab w:val="left" w:pos="720"/>
              </w:tabs>
              <w:spacing w:after="0"/>
              <w:ind w:left="14" w:hanging="14"/>
              <w:rPr>
                <w:rFonts w:ascii="Times New Roman" w:hAnsi="Times New Roman"/>
              </w:rPr>
            </w:pPr>
          </w:p>
        </w:tc>
      </w:tr>
      <w:tr w:rsidR="00C5511E" w:rsidRPr="001845F3" w14:paraId="2390E24D" w14:textId="77777777" w:rsidTr="00F35778">
        <w:trPr>
          <w:trHeight w:val="115"/>
        </w:trPr>
        <w:tc>
          <w:tcPr>
            <w:tcW w:w="1990" w:type="dxa"/>
            <w:shd w:val="clear" w:color="auto" w:fill="auto"/>
            <w:noWrap/>
            <w:vAlign w:val="bottom"/>
          </w:tcPr>
          <w:p w14:paraId="6810D446"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ECA</w:t>
            </w:r>
          </w:p>
        </w:tc>
        <w:tc>
          <w:tcPr>
            <w:tcW w:w="7373" w:type="dxa"/>
            <w:shd w:val="clear" w:color="auto" w:fill="auto"/>
            <w:noWrap/>
            <w:vAlign w:val="bottom"/>
          </w:tcPr>
          <w:p w14:paraId="68AC7890"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Excess Crude Account</w:t>
            </w:r>
          </w:p>
        </w:tc>
        <w:tc>
          <w:tcPr>
            <w:tcW w:w="381" w:type="dxa"/>
            <w:shd w:val="clear" w:color="auto" w:fill="auto"/>
            <w:noWrap/>
            <w:vAlign w:val="bottom"/>
          </w:tcPr>
          <w:p w14:paraId="3B9A252C" w14:textId="77777777" w:rsidR="00C5511E" w:rsidRPr="001845F3" w:rsidRDefault="00C5511E" w:rsidP="00D727BF">
            <w:pPr>
              <w:pStyle w:val="NoSpacing"/>
              <w:tabs>
                <w:tab w:val="left" w:pos="720"/>
              </w:tabs>
              <w:spacing w:after="0"/>
              <w:ind w:left="14" w:hanging="14"/>
              <w:rPr>
                <w:rFonts w:ascii="Times New Roman" w:hAnsi="Times New Roman"/>
              </w:rPr>
            </w:pPr>
          </w:p>
        </w:tc>
      </w:tr>
      <w:tr w:rsidR="00AB05A1" w:rsidRPr="001845F3" w14:paraId="525A7E60" w14:textId="77777777" w:rsidTr="00F35778">
        <w:trPr>
          <w:trHeight w:val="115"/>
        </w:trPr>
        <w:tc>
          <w:tcPr>
            <w:tcW w:w="1990" w:type="dxa"/>
            <w:shd w:val="clear" w:color="auto" w:fill="auto"/>
            <w:noWrap/>
            <w:vAlign w:val="bottom"/>
          </w:tcPr>
          <w:p w14:paraId="08466B3C"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FCT</w:t>
            </w:r>
          </w:p>
        </w:tc>
        <w:tc>
          <w:tcPr>
            <w:tcW w:w="7373" w:type="dxa"/>
            <w:shd w:val="clear" w:color="auto" w:fill="auto"/>
            <w:noWrap/>
            <w:vAlign w:val="bottom"/>
          </w:tcPr>
          <w:p w14:paraId="108C864F"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Federal Capital Territory</w:t>
            </w:r>
          </w:p>
        </w:tc>
        <w:tc>
          <w:tcPr>
            <w:tcW w:w="381" w:type="dxa"/>
            <w:shd w:val="clear" w:color="auto" w:fill="auto"/>
            <w:noWrap/>
            <w:vAlign w:val="bottom"/>
            <w:hideMark/>
          </w:tcPr>
          <w:p w14:paraId="7A09504C"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 </w:t>
            </w:r>
          </w:p>
        </w:tc>
      </w:tr>
      <w:tr w:rsidR="002E2227" w:rsidRPr="001845F3" w14:paraId="4961EA5B" w14:textId="77777777" w:rsidTr="00F35778">
        <w:trPr>
          <w:trHeight w:val="115"/>
        </w:trPr>
        <w:tc>
          <w:tcPr>
            <w:tcW w:w="1990" w:type="dxa"/>
            <w:shd w:val="clear" w:color="auto" w:fill="auto"/>
            <w:noWrap/>
            <w:vAlign w:val="bottom"/>
          </w:tcPr>
          <w:p w14:paraId="74AF11FF" w14:textId="77777777" w:rsidR="002E2227" w:rsidRPr="001845F3" w:rsidRDefault="002E2227" w:rsidP="00D727BF">
            <w:pPr>
              <w:pStyle w:val="NoSpacing"/>
              <w:tabs>
                <w:tab w:val="left" w:pos="720"/>
              </w:tabs>
              <w:spacing w:after="0"/>
              <w:ind w:left="14" w:hanging="14"/>
              <w:rPr>
                <w:rFonts w:ascii="Times New Roman" w:hAnsi="Times New Roman"/>
              </w:rPr>
            </w:pPr>
            <w:r w:rsidRPr="001845F3">
              <w:rPr>
                <w:rFonts w:ascii="Times New Roman" w:hAnsi="Times New Roman"/>
              </w:rPr>
              <w:t>FMA&amp;RD</w:t>
            </w:r>
          </w:p>
        </w:tc>
        <w:tc>
          <w:tcPr>
            <w:tcW w:w="7373" w:type="dxa"/>
            <w:shd w:val="clear" w:color="auto" w:fill="auto"/>
            <w:noWrap/>
            <w:vAlign w:val="bottom"/>
          </w:tcPr>
          <w:p w14:paraId="7B525DC4" w14:textId="77777777" w:rsidR="002E2227" w:rsidRPr="001845F3" w:rsidRDefault="002E2227" w:rsidP="00D727BF">
            <w:pPr>
              <w:pStyle w:val="NoSpacing"/>
              <w:tabs>
                <w:tab w:val="left" w:pos="720"/>
              </w:tabs>
              <w:spacing w:after="0"/>
              <w:ind w:left="14" w:hanging="14"/>
              <w:rPr>
                <w:rFonts w:ascii="Times New Roman" w:hAnsi="Times New Roman"/>
              </w:rPr>
            </w:pPr>
            <w:r w:rsidRPr="001845F3">
              <w:rPr>
                <w:rFonts w:ascii="Times New Roman" w:hAnsi="Times New Roman"/>
              </w:rPr>
              <w:t>Federal Ministry of Agriculture and Rural Development</w:t>
            </w:r>
          </w:p>
        </w:tc>
        <w:tc>
          <w:tcPr>
            <w:tcW w:w="381" w:type="dxa"/>
            <w:shd w:val="clear" w:color="auto" w:fill="auto"/>
            <w:noWrap/>
            <w:vAlign w:val="bottom"/>
          </w:tcPr>
          <w:p w14:paraId="21E42B68" w14:textId="77777777" w:rsidR="002E2227" w:rsidRPr="001845F3" w:rsidRDefault="002E2227" w:rsidP="00D727BF">
            <w:pPr>
              <w:pStyle w:val="NoSpacing"/>
              <w:tabs>
                <w:tab w:val="left" w:pos="720"/>
              </w:tabs>
              <w:spacing w:after="0"/>
              <w:ind w:left="14" w:hanging="14"/>
              <w:rPr>
                <w:rFonts w:ascii="Times New Roman" w:hAnsi="Times New Roman"/>
              </w:rPr>
            </w:pPr>
          </w:p>
        </w:tc>
      </w:tr>
      <w:tr w:rsidR="00AB05A1" w:rsidRPr="001845F3" w14:paraId="008D08EB" w14:textId="77777777" w:rsidTr="00F35778">
        <w:trPr>
          <w:trHeight w:val="115"/>
        </w:trPr>
        <w:tc>
          <w:tcPr>
            <w:tcW w:w="1990" w:type="dxa"/>
            <w:shd w:val="clear" w:color="auto" w:fill="auto"/>
            <w:noWrap/>
            <w:vAlign w:val="bottom"/>
          </w:tcPr>
          <w:p w14:paraId="4C687A07"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GDP</w:t>
            </w:r>
          </w:p>
        </w:tc>
        <w:tc>
          <w:tcPr>
            <w:tcW w:w="7373" w:type="dxa"/>
            <w:shd w:val="clear" w:color="auto" w:fill="auto"/>
            <w:noWrap/>
            <w:vAlign w:val="bottom"/>
          </w:tcPr>
          <w:p w14:paraId="5F1E37A2"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Gross Domestic Product</w:t>
            </w:r>
          </w:p>
        </w:tc>
        <w:tc>
          <w:tcPr>
            <w:tcW w:w="381" w:type="dxa"/>
            <w:shd w:val="clear" w:color="auto" w:fill="auto"/>
            <w:noWrap/>
            <w:vAlign w:val="bottom"/>
            <w:hideMark/>
          </w:tcPr>
          <w:p w14:paraId="25491A92" w14:textId="77777777" w:rsidR="00AB05A1" w:rsidRPr="001845F3" w:rsidRDefault="00AB05A1" w:rsidP="00D727BF">
            <w:pPr>
              <w:pStyle w:val="NoSpacing"/>
              <w:tabs>
                <w:tab w:val="left" w:pos="720"/>
              </w:tabs>
              <w:spacing w:after="0"/>
              <w:ind w:left="14" w:hanging="14"/>
              <w:rPr>
                <w:rFonts w:ascii="Times New Roman" w:hAnsi="Times New Roman"/>
              </w:rPr>
            </w:pPr>
          </w:p>
        </w:tc>
      </w:tr>
      <w:tr w:rsidR="00AB05A1" w:rsidRPr="001845F3" w14:paraId="1968747D" w14:textId="77777777" w:rsidTr="00F35778">
        <w:trPr>
          <w:trHeight w:val="115"/>
        </w:trPr>
        <w:tc>
          <w:tcPr>
            <w:tcW w:w="1990" w:type="dxa"/>
            <w:shd w:val="clear" w:color="auto" w:fill="auto"/>
            <w:noWrap/>
            <w:vAlign w:val="bottom"/>
          </w:tcPr>
          <w:p w14:paraId="3D9BC37D"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GHS</w:t>
            </w:r>
          </w:p>
        </w:tc>
        <w:tc>
          <w:tcPr>
            <w:tcW w:w="7373" w:type="dxa"/>
            <w:shd w:val="clear" w:color="auto" w:fill="auto"/>
            <w:noWrap/>
            <w:vAlign w:val="bottom"/>
          </w:tcPr>
          <w:p w14:paraId="1BA75B05"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General Household Survey</w:t>
            </w:r>
          </w:p>
        </w:tc>
        <w:tc>
          <w:tcPr>
            <w:tcW w:w="381" w:type="dxa"/>
            <w:shd w:val="clear" w:color="auto" w:fill="auto"/>
            <w:noWrap/>
            <w:vAlign w:val="bottom"/>
          </w:tcPr>
          <w:p w14:paraId="7E5B8E21" w14:textId="77777777" w:rsidR="00AB05A1" w:rsidRPr="001845F3" w:rsidRDefault="00AB05A1" w:rsidP="00D727BF">
            <w:pPr>
              <w:pStyle w:val="NoSpacing"/>
              <w:tabs>
                <w:tab w:val="left" w:pos="720"/>
              </w:tabs>
              <w:spacing w:after="0"/>
              <w:ind w:left="14" w:hanging="14"/>
              <w:rPr>
                <w:rFonts w:ascii="Times New Roman" w:hAnsi="Times New Roman"/>
              </w:rPr>
            </w:pPr>
          </w:p>
        </w:tc>
      </w:tr>
      <w:tr w:rsidR="00AB05A1" w:rsidRPr="001845F3" w14:paraId="54D9F3A8" w14:textId="77777777" w:rsidTr="00F35778">
        <w:trPr>
          <w:trHeight w:val="115"/>
        </w:trPr>
        <w:tc>
          <w:tcPr>
            <w:tcW w:w="1990" w:type="dxa"/>
            <w:shd w:val="clear" w:color="auto" w:fill="auto"/>
            <w:noWrap/>
            <w:vAlign w:val="bottom"/>
          </w:tcPr>
          <w:p w14:paraId="5749937C"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GON</w:t>
            </w:r>
          </w:p>
        </w:tc>
        <w:tc>
          <w:tcPr>
            <w:tcW w:w="7373" w:type="dxa"/>
            <w:shd w:val="clear" w:color="auto" w:fill="auto"/>
            <w:noWrap/>
            <w:vAlign w:val="bottom"/>
          </w:tcPr>
          <w:p w14:paraId="3CABDF1A"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Government of Nigeria</w:t>
            </w:r>
          </w:p>
        </w:tc>
        <w:tc>
          <w:tcPr>
            <w:tcW w:w="381" w:type="dxa"/>
            <w:shd w:val="clear" w:color="auto" w:fill="auto"/>
            <w:noWrap/>
            <w:vAlign w:val="bottom"/>
          </w:tcPr>
          <w:p w14:paraId="289AC73B" w14:textId="77777777" w:rsidR="00AB05A1" w:rsidRPr="001845F3" w:rsidRDefault="00AB05A1" w:rsidP="00D727BF">
            <w:pPr>
              <w:pStyle w:val="NoSpacing"/>
              <w:tabs>
                <w:tab w:val="left" w:pos="720"/>
              </w:tabs>
              <w:spacing w:after="0"/>
              <w:ind w:left="14" w:hanging="14"/>
              <w:rPr>
                <w:rFonts w:ascii="Times New Roman" w:hAnsi="Times New Roman"/>
              </w:rPr>
            </w:pPr>
          </w:p>
        </w:tc>
      </w:tr>
      <w:tr w:rsidR="005D48E0" w:rsidRPr="001845F3" w14:paraId="5C4AAE7C" w14:textId="77777777" w:rsidTr="00F35778">
        <w:trPr>
          <w:trHeight w:val="115"/>
        </w:trPr>
        <w:tc>
          <w:tcPr>
            <w:tcW w:w="1990" w:type="dxa"/>
            <w:shd w:val="clear" w:color="auto" w:fill="auto"/>
            <w:noWrap/>
            <w:vAlign w:val="bottom"/>
          </w:tcPr>
          <w:p w14:paraId="486549F9" w14:textId="77777777" w:rsidR="005D48E0" w:rsidRPr="001845F3" w:rsidRDefault="005D48E0" w:rsidP="00D727BF">
            <w:pPr>
              <w:pStyle w:val="NoSpacing"/>
              <w:tabs>
                <w:tab w:val="left" w:pos="720"/>
              </w:tabs>
              <w:spacing w:after="0"/>
              <w:ind w:left="14" w:hanging="14"/>
              <w:rPr>
                <w:rFonts w:ascii="Times New Roman" w:hAnsi="Times New Roman"/>
              </w:rPr>
            </w:pPr>
            <w:r w:rsidRPr="001845F3">
              <w:rPr>
                <w:rFonts w:ascii="Times New Roman" w:hAnsi="Times New Roman"/>
              </w:rPr>
              <w:t>HH</w:t>
            </w:r>
          </w:p>
        </w:tc>
        <w:tc>
          <w:tcPr>
            <w:tcW w:w="7373" w:type="dxa"/>
            <w:shd w:val="clear" w:color="auto" w:fill="auto"/>
            <w:noWrap/>
            <w:vAlign w:val="bottom"/>
          </w:tcPr>
          <w:p w14:paraId="70D3BC68" w14:textId="77777777" w:rsidR="005D48E0" w:rsidRPr="001845F3" w:rsidRDefault="005D48E0" w:rsidP="00D727BF">
            <w:pPr>
              <w:pStyle w:val="NoSpacing"/>
              <w:tabs>
                <w:tab w:val="left" w:pos="720"/>
              </w:tabs>
              <w:spacing w:after="0"/>
              <w:ind w:left="14" w:hanging="14"/>
              <w:rPr>
                <w:rFonts w:ascii="Times New Roman" w:hAnsi="Times New Roman"/>
              </w:rPr>
            </w:pPr>
            <w:r w:rsidRPr="001845F3">
              <w:rPr>
                <w:rFonts w:ascii="Times New Roman" w:hAnsi="Times New Roman"/>
              </w:rPr>
              <w:t>Household</w:t>
            </w:r>
          </w:p>
        </w:tc>
        <w:tc>
          <w:tcPr>
            <w:tcW w:w="381" w:type="dxa"/>
            <w:shd w:val="clear" w:color="auto" w:fill="auto"/>
            <w:noWrap/>
            <w:vAlign w:val="bottom"/>
          </w:tcPr>
          <w:p w14:paraId="05EFD1A7" w14:textId="77777777" w:rsidR="005D48E0" w:rsidRPr="001845F3" w:rsidRDefault="005D48E0" w:rsidP="00D727BF">
            <w:pPr>
              <w:pStyle w:val="NoSpacing"/>
              <w:tabs>
                <w:tab w:val="left" w:pos="720"/>
              </w:tabs>
              <w:spacing w:after="0"/>
              <w:ind w:left="14" w:hanging="14"/>
              <w:rPr>
                <w:rFonts w:ascii="Times New Roman" w:hAnsi="Times New Roman"/>
              </w:rPr>
            </w:pPr>
          </w:p>
        </w:tc>
      </w:tr>
      <w:tr w:rsidR="00430C7C" w:rsidRPr="001845F3" w14:paraId="7B391910" w14:textId="77777777" w:rsidTr="00F35778">
        <w:trPr>
          <w:trHeight w:val="115"/>
        </w:trPr>
        <w:tc>
          <w:tcPr>
            <w:tcW w:w="1990" w:type="dxa"/>
            <w:shd w:val="clear" w:color="auto" w:fill="auto"/>
            <w:noWrap/>
            <w:vAlign w:val="bottom"/>
          </w:tcPr>
          <w:p w14:paraId="3814BB71" w14:textId="77777777" w:rsidR="00430C7C" w:rsidRPr="001845F3" w:rsidRDefault="00430C7C" w:rsidP="00D727BF">
            <w:pPr>
              <w:pStyle w:val="NoSpacing"/>
              <w:tabs>
                <w:tab w:val="left" w:pos="720"/>
              </w:tabs>
              <w:spacing w:after="0"/>
              <w:ind w:left="14" w:hanging="14"/>
              <w:rPr>
                <w:rFonts w:ascii="Times New Roman" w:hAnsi="Times New Roman"/>
              </w:rPr>
            </w:pPr>
            <w:r w:rsidRPr="001845F3">
              <w:rPr>
                <w:rFonts w:ascii="Times New Roman" w:hAnsi="Times New Roman"/>
              </w:rPr>
              <w:t>HHI</w:t>
            </w:r>
          </w:p>
        </w:tc>
        <w:tc>
          <w:tcPr>
            <w:tcW w:w="7373" w:type="dxa"/>
            <w:shd w:val="clear" w:color="auto" w:fill="auto"/>
            <w:noWrap/>
            <w:vAlign w:val="bottom"/>
          </w:tcPr>
          <w:p w14:paraId="0E67A337" w14:textId="77777777" w:rsidR="00430C7C" w:rsidRPr="001845F3" w:rsidRDefault="00430C7C" w:rsidP="00D727BF">
            <w:pPr>
              <w:pStyle w:val="NoSpacing"/>
              <w:tabs>
                <w:tab w:val="left" w:pos="720"/>
              </w:tabs>
              <w:spacing w:after="0"/>
              <w:ind w:left="14" w:hanging="14"/>
              <w:rPr>
                <w:rFonts w:ascii="Times New Roman" w:hAnsi="Times New Roman"/>
              </w:rPr>
            </w:pPr>
            <w:r w:rsidRPr="001845F3">
              <w:rPr>
                <w:rFonts w:ascii="Times New Roman" w:eastAsiaTheme="minorHAnsi" w:hAnsi="Times New Roman"/>
                <w:bCs/>
                <w:color w:val="000000" w:themeColor="text2"/>
                <w:lang w:val="en"/>
              </w:rPr>
              <w:t>Herfindahl-Hirschman Index</w:t>
            </w:r>
          </w:p>
        </w:tc>
        <w:tc>
          <w:tcPr>
            <w:tcW w:w="381" w:type="dxa"/>
            <w:shd w:val="clear" w:color="auto" w:fill="auto"/>
            <w:noWrap/>
            <w:vAlign w:val="bottom"/>
          </w:tcPr>
          <w:p w14:paraId="38ED1B32" w14:textId="77777777" w:rsidR="00430C7C" w:rsidRPr="001845F3" w:rsidRDefault="00430C7C" w:rsidP="00D727BF">
            <w:pPr>
              <w:pStyle w:val="NoSpacing"/>
              <w:tabs>
                <w:tab w:val="left" w:pos="720"/>
              </w:tabs>
              <w:spacing w:after="0"/>
              <w:ind w:left="14" w:hanging="14"/>
              <w:rPr>
                <w:rFonts w:ascii="Times New Roman" w:hAnsi="Times New Roman"/>
              </w:rPr>
            </w:pPr>
          </w:p>
        </w:tc>
      </w:tr>
      <w:tr w:rsidR="00C5511E" w:rsidRPr="001845F3" w14:paraId="607212E1" w14:textId="77777777" w:rsidTr="00F35778">
        <w:trPr>
          <w:trHeight w:val="115"/>
        </w:trPr>
        <w:tc>
          <w:tcPr>
            <w:tcW w:w="1990" w:type="dxa"/>
            <w:shd w:val="clear" w:color="auto" w:fill="auto"/>
            <w:noWrap/>
            <w:vAlign w:val="bottom"/>
          </w:tcPr>
          <w:p w14:paraId="58837B17"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ICA</w:t>
            </w:r>
          </w:p>
        </w:tc>
        <w:tc>
          <w:tcPr>
            <w:tcW w:w="7373" w:type="dxa"/>
            <w:shd w:val="clear" w:color="auto" w:fill="auto"/>
            <w:noWrap/>
            <w:vAlign w:val="bottom"/>
          </w:tcPr>
          <w:p w14:paraId="4715F9FF"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Investment Climate Assessment</w:t>
            </w:r>
          </w:p>
        </w:tc>
        <w:tc>
          <w:tcPr>
            <w:tcW w:w="381" w:type="dxa"/>
            <w:shd w:val="clear" w:color="auto" w:fill="auto"/>
            <w:noWrap/>
            <w:vAlign w:val="bottom"/>
          </w:tcPr>
          <w:p w14:paraId="312480E8" w14:textId="77777777" w:rsidR="00C5511E" w:rsidRPr="001845F3" w:rsidRDefault="00C5511E" w:rsidP="00D727BF">
            <w:pPr>
              <w:pStyle w:val="NoSpacing"/>
              <w:tabs>
                <w:tab w:val="left" w:pos="720"/>
              </w:tabs>
              <w:spacing w:after="0"/>
              <w:ind w:left="14" w:hanging="14"/>
              <w:rPr>
                <w:rFonts w:ascii="Times New Roman" w:hAnsi="Times New Roman"/>
              </w:rPr>
            </w:pPr>
          </w:p>
        </w:tc>
      </w:tr>
      <w:tr w:rsidR="00816425" w:rsidRPr="001845F3" w14:paraId="20BF2DA9" w14:textId="77777777" w:rsidTr="00F35778">
        <w:trPr>
          <w:trHeight w:val="115"/>
        </w:trPr>
        <w:tc>
          <w:tcPr>
            <w:tcW w:w="1990" w:type="dxa"/>
            <w:shd w:val="clear" w:color="auto" w:fill="auto"/>
            <w:noWrap/>
            <w:vAlign w:val="bottom"/>
          </w:tcPr>
          <w:p w14:paraId="134B3056" w14:textId="77777777" w:rsidR="00816425" w:rsidRPr="001845F3" w:rsidRDefault="00816425" w:rsidP="00D727BF">
            <w:pPr>
              <w:pStyle w:val="NoSpacing"/>
              <w:tabs>
                <w:tab w:val="left" w:pos="720"/>
              </w:tabs>
              <w:spacing w:after="0"/>
              <w:ind w:left="14" w:hanging="14"/>
              <w:rPr>
                <w:rFonts w:ascii="Times New Roman" w:hAnsi="Times New Roman"/>
              </w:rPr>
            </w:pPr>
            <w:r w:rsidRPr="001845F3">
              <w:rPr>
                <w:rFonts w:ascii="Times New Roman" w:hAnsi="Times New Roman"/>
              </w:rPr>
              <w:t>IMF</w:t>
            </w:r>
          </w:p>
        </w:tc>
        <w:tc>
          <w:tcPr>
            <w:tcW w:w="7373" w:type="dxa"/>
            <w:shd w:val="clear" w:color="auto" w:fill="auto"/>
            <w:noWrap/>
            <w:vAlign w:val="bottom"/>
          </w:tcPr>
          <w:p w14:paraId="468A0A9D" w14:textId="77777777" w:rsidR="00816425" w:rsidRPr="001845F3" w:rsidRDefault="00816425" w:rsidP="00D727BF">
            <w:pPr>
              <w:pStyle w:val="NoSpacing"/>
              <w:tabs>
                <w:tab w:val="left" w:pos="720"/>
              </w:tabs>
              <w:spacing w:after="0"/>
              <w:ind w:left="14" w:hanging="14"/>
              <w:rPr>
                <w:rFonts w:ascii="Times New Roman" w:hAnsi="Times New Roman"/>
              </w:rPr>
            </w:pPr>
            <w:r w:rsidRPr="001845F3">
              <w:rPr>
                <w:rFonts w:ascii="Times New Roman" w:hAnsi="Times New Roman"/>
              </w:rPr>
              <w:t>International Monetary Fund</w:t>
            </w:r>
          </w:p>
        </w:tc>
        <w:tc>
          <w:tcPr>
            <w:tcW w:w="381" w:type="dxa"/>
            <w:shd w:val="clear" w:color="auto" w:fill="auto"/>
            <w:noWrap/>
            <w:vAlign w:val="bottom"/>
          </w:tcPr>
          <w:p w14:paraId="38C60BCB" w14:textId="77777777" w:rsidR="00816425" w:rsidRPr="001845F3" w:rsidRDefault="00816425" w:rsidP="00D727BF">
            <w:pPr>
              <w:pStyle w:val="NoSpacing"/>
              <w:tabs>
                <w:tab w:val="left" w:pos="720"/>
              </w:tabs>
              <w:spacing w:after="0"/>
              <w:ind w:left="14" w:hanging="14"/>
              <w:rPr>
                <w:rFonts w:ascii="Times New Roman" w:hAnsi="Times New Roman"/>
              </w:rPr>
            </w:pPr>
          </w:p>
        </w:tc>
      </w:tr>
      <w:tr w:rsidR="00430C7C" w:rsidRPr="001845F3" w14:paraId="5292383F" w14:textId="77777777" w:rsidTr="00F35778">
        <w:trPr>
          <w:trHeight w:val="115"/>
        </w:trPr>
        <w:tc>
          <w:tcPr>
            <w:tcW w:w="1990" w:type="dxa"/>
            <w:shd w:val="clear" w:color="auto" w:fill="auto"/>
            <w:noWrap/>
            <w:vAlign w:val="bottom"/>
          </w:tcPr>
          <w:p w14:paraId="614767BC" w14:textId="77777777" w:rsidR="00430C7C" w:rsidRPr="001845F3" w:rsidRDefault="00430C7C" w:rsidP="00D727BF">
            <w:pPr>
              <w:pStyle w:val="NoSpacing"/>
              <w:tabs>
                <w:tab w:val="left" w:pos="720"/>
              </w:tabs>
              <w:spacing w:after="0"/>
              <w:ind w:left="14" w:hanging="14"/>
              <w:rPr>
                <w:rFonts w:ascii="Times New Roman" w:hAnsi="Times New Roman"/>
              </w:rPr>
            </w:pPr>
            <w:r w:rsidRPr="001845F3">
              <w:rPr>
                <w:rFonts w:ascii="Times New Roman" w:hAnsi="Times New Roman"/>
              </w:rPr>
              <w:t>IP</w:t>
            </w:r>
          </w:p>
        </w:tc>
        <w:tc>
          <w:tcPr>
            <w:tcW w:w="7373" w:type="dxa"/>
            <w:shd w:val="clear" w:color="auto" w:fill="auto"/>
            <w:noWrap/>
            <w:vAlign w:val="bottom"/>
          </w:tcPr>
          <w:p w14:paraId="0B63921C" w14:textId="77777777" w:rsidR="00430C7C" w:rsidRPr="001845F3" w:rsidRDefault="00430C7C" w:rsidP="00D727BF">
            <w:pPr>
              <w:pStyle w:val="NoSpacing"/>
              <w:tabs>
                <w:tab w:val="left" w:pos="720"/>
              </w:tabs>
              <w:spacing w:after="0"/>
              <w:ind w:left="14" w:hanging="14"/>
              <w:rPr>
                <w:rFonts w:ascii="Times New Roman" w:hAnsi="Times New Roman"/>
              </w:rPr>
            </w:pPr>
            <w:r w:rsidRPr="001845F3">
              <w:rPr>
                <w:rFonts w:ascii="Times New Roman" w:hAnsi="Times New Roman"/>
              </w:rPr>
              <w:t>Intellectual Property</w:t>
            </w:r>
          </w:p>
        </w:tc>
        <w:tc>
          <w:tcPr>
            <w:tcW w:w="381" w:type="dxa"/>
            <w:shd w:val="clear" w:color="auto" w:fill="auto"/>
            <w:noWrap/>
            <w:vAlign w:val="bottom"/>
          </w:tcPr>
          <w:p w14:paraId="05E8E47D" w14:textId="77777777" w:rsidR="00430C7C" w:rsidRPr="001845F3" w:rsidRDefault="00430C7C" w:rsidP="00D727BF">
            <w:pPr>
              <w:pStyle w:val="NoSpacing"/>
              <w:tabs>
                <w:tab w:val="left" w:pos="720"/>
              </w:tabs>
              <w:spacing w:after="0"/>
              <w:ind w:left="14" w:hanging="14"/>
              <w:rPr>
                <w:rFonts w:ascii="Times New Roman" w:hAnsi="Times New Roman"/>
              </w:rPr>
            </w:pPr>
          </w:p>
        </w:tc>
      </w:tr>
      <w:tr w:rsidR="00AB05A1" w:rsidRPr="001845F3" w14:paraId="4B4EC8A0" w14:textId="77777777" w:rsidTr="00F35778">
        <w:trPr>
          <w:trHeight w:val="115"/>
        </w:trPr>
        <w:tc>
          <w:tcPr>
            <w:tcW w:w="1990" w:type="dxa"/>
            <w:shd w:val="clear" w:color="auto" w:fill="auto"/>
            <w:noWrap/>
            <w:vAlign w:val="bottom"/>
            <w:hideMark/>
          </w:tcPr>
          <w:p w14:paraId="4E84A280"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LSMS</w:t>
            </w:r>
          </w:p>
        </w:tc>
        <w:tc>
          <w:tcPr>
            <w:tcW w:w="7373" w:type="dxa"/>
            <w:shd w:val="clear" w:color="auto" w:fill="auto"/>
            <w:noWrap/>
            <w:vAlign w:val="bottom"/>
            <w:hideMark/>
          </w:tcPr>
          <w:p w14:paraId="515AEBA1"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Living Standard Measurement Study</w:t>
            </w:r>
          </w:p>
        </w:tc>
        <w:tc>
          <w:tcPr>
            <w:tcW w:w="381" w:type="dxa"/>
            <w:shd w:val="clear" w:color="auto" w:fill="auto"/>
            <w:noWrap/>
            <w:vAlign w:val="bottom"/>
            <w:hideMark/>
          </w:tcPr>
          <w:p w14:paraId="280E653E"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 </w:t>
            </w:r>
          </w:p>
        </w:tc>
      </w:tr>
      <w:tr w:rsidR="00AB05A1" w:rsidRPr="001845F3" w14:paraId="7ED9E60A" w14:textId="77777777" w:rsidTr="00F35778">
        <w:trPr>
          <w:trHeight w:val="115"/>
        </w:trPr>
        <w:tc>
          <w:tcPr>
            <w:tcW w:w="1990" w:type="dxa"/>
            <w:shd w:val="clear" w:color="auto" w:fill="auto"/>
            <w:noWrap/>
            <w:vAlign w:val="bottom"/>
            <w:hideMark/>
          </w:tcPr>
          <w:p w14:paraId="28737872"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MFI</w:t>
            </w:r>
          </w:p>
        </w:tc>
        <w:tc>
          <w:tcPr>
            <w:tcW w:w="7373" w:type="dxa"/>
            <w:shd w:val="clear" w:color="auto" w:fill="auto"/>
            <w:noWrap/>
            <w:vAlign w:val="bottom"/>
            <w:hideMark/>
          </w:tcPr>
          <w:p w14:paraId="70E06A7A"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Micro Finance Institution</w:t>
            </w:r>
          </w:p>
        </w:tc>
        <w:tc>
          <w:tcPr>
            <w:tcW w:w="381" w:type="dxa"/>
            <w:shd w:val="clear" w:color="auto" w:fill="auto"/>
            <w:noWrap/>
            <w:vAlign w:val="bottom"/>
            <w:hideMark/>
          </w:tcPr>
          <w:p w14:paraId="6C61CBF2"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 </w:t>
            </w:r>
          </w:p>
        </w:tc>
      </w:tr>
      <w:tr w:rsidR="00AB05A1" w:rsidRPr="001845F3" w14:paraId="101E3B1E" w14:textId="77777777" w:rsidTr="00F35778">
        <w:trPr>
          <w:trHeight w:val="115"/>
        </w:trPr>
        <w:tc>
          <w:tcPr>
            <w:tcW w:w="1990" w:type="dxa"/>
            <w:shd w:val="clear" w:color="auto" w:fill="auto"/>
            <w:noWrap/>
            <w:vAlign w:val="bottom"/>
          </w:tcPr>
          <w:p w14:paraId="085B19D4"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MSME</w:t>
            </w:r>
          </w:p>
        </w:tc>
        <w:tc>
          <w:tcPr>
            <w:tcW w:w="7373" w:type="dxa"/>
            <w:shd w:val="clear" w:color="auto" w:fill="auto"/>
            <w:noWrap/>
            <w:vAlign w:val="bottom"/>
          </w:tcPr>
          <w:p w14:paraId="29FA87CC"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Micro, Small and Medium Enterprises</w:t>
            </w:r>
          </w:p>
        </w:tc>
        <w:tc>
          <w:tcPr>
            <w:tcW w:w="381" w:type="dxa"/>
            <w:shd w:val="clear" w:color="auto" w:fill="auto"/>
            <w:noWrap/>
            <w:vAlign w:val="bottom"/>
          </w:tcPr>
          <w:p w14:paraId="0B387647" w14:textId="77777777" w:rsidR="00AB05A1" w:rsidRPr="001845F3" w:rsidRDefault="00AB05A1" w:rsidP="00D727BF">
            <w:pPr>
              <w:pStyle w:val="NoSpacing"/>
              <w:tabs>
                <w:tab w:val="left" w:pos="720"/>
              </w:tabs>
              <w:spacing w:after="0"/>
              <w:ind w:left="14" w:hanging="14"/>
              <w:rPr>
                <w:rFonts w:ascii="Times New Roman" w:hAnsi="Times New Roman"/>
              </w:rPr>
            </w:pPr>
          </w:p>
        </w:tc>
      </w:tr>
      <w:tr w:rsidR="00AB05A1" w:rsidRPr="001845F3" w14:paraId="38910DC2" w14:textId="77777777" w:rsidTr="00F35778">
        <w:trPr>
          <w:trHeight w:val="115"/>
        </w:trPr>
        <w:tc>
          <w:tcPr>
            <w:tcW w:w="1990" w:type="dxa"/>
            <w:shd w:val="clear" w:color="auto" w:fill="auto"/>
            <w:noWrap/>
            <w:vAlign w:val="bottom"/>
          </w:tcPr>
          <w:p w14:paraId="72CE9FA6"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NBS</w:t>
            </w:r>
          </w:p>
        </w:tc>
        <w:tc>
          <w:tcPr>
            <w:tcW w:w="7373" w:type="dxa"/>
            <w:shd w:val="clear" w:color="auto" w:fill="auto"/>
            <w:noWrap/>
            <w:vAlign w:val="bottom"/>
          </w:tcPr>
          <w:p w14:paraId="7BCF9485" w14:textId="77777777" w:rsidR="00AB05A1" w:rsidRPr="001845F3" w:rsidRDefault="00AB05A1" w:rsidP="00D727BF">
            <w:pPr>
              <w:pStyle w:val="NoSpacing"/>
              <w:tabs>
                <w:tab w:val="left" w:pos="720"/>
              </w:tabs>
              <w:spacing w:after="0"/>
              <w:ind w:left="14" w:hanging="14"/>
              <w:rPr>
                <w:rFonts w:ascii="Times New Roman" w:hAnsi="Times New Roman"/>
              </w:rPr>
            </w:pPr>
            <w:r w:rsidRPr="001845F3">
              <w:rPr>
                <w:rFonts w:ascii="Times New Roman" w:hAnsi="Times New Roman"/>
              </w:rPr>
              <w:t>National Bureau of Statistics</w:t>
            </w:r>
          </w:p>
        </w:tc>
        <w:tc>
          <w:tcPr>
            <w:tcW w:w="381" w:type="dxa"/>
            <w:shd w:val="clear" w:color="auto" w:fill="auto"/>
            <w:noWrap/>
            <w:vAlign w:val="bottom"/>
          </w:tcPr>
          <w:p w14:paraId="65819DD6" w14:textId="77777777" w:rsidR="00AB05A1" w:rsidRPr="001845F3" w:rsidRDefault="00AB05A1" w:rsidP="00D727BF">
            <w:pPr>
              <w:pStyle w:val="NoSpacing"/>
              <w:tabs>
                <w:tab w:val="left" w:pos="720"/>
              </w:tabs>
              <w:spacing w:after="0"/>
              <w:ind w:left="14" w:hanging="14"/>
              <w:rPr>
                <w:rFonts w:ascii="Times New Roman" w:hAnsi="Times New Roman"/>
              </w:rPr>
            </w:pPr>
          </w:p>
        </w:tc>
      </w:tr>
      <w:tr w:rsidR="003864B5" w:rsidRPr="001845F3" w14:paraId="294E9B54" w14:textId="77777777" w:rsidTr="00F35778">
        <w:trPr>
          <w:trHeight w:val="115"/>
        </w:trPr>
        <w:tc>
          <w:tcPr>
            <w:tcW w:w="1990" w:type="dxa"/>
            <w:shd w:val="clear" w:color="auto" w:fill="auto"/>
            <w:noWrap/>
            <w:vAlign w:val="bottom"/>
          </w:tcPr>
          <w:p w14:paraId="2FC99E59" w14:textId="77777777" w:rsidR="003864B5" w:rsidRPr="001845F3" w:rsidRDefault="003864B5" w:rsidP="00D727BF">
            <w:pPr>
              <w:pStyle w:val="NoSpacing"/>
              <w:tabs>
                <w:tab w:val="left" w:pos="720"/>
              </w:tabs>
              <w:spacing w:after="0"/>
              <w:ind w:left="14" w:hanging="14"/>
              <w:rPr>
                <w:rFonts w:ascii="Times New Roman" w:hAnsi="Times New Roman"/>
              </w:rPr>
            </w:pPr>
            <w:r w:rsidRPr="001845F3">
              <w:rPr>
                <w:rFonts w:ascii="Times New Roman" w:hAnsi="Times New Roman"/>
              </w:rPr>
              <w:t>NECO</w:t>
            </w:r>
          </w:p>
        </w:tc>
        <w:tc>
          <w:tcPr>
            <w:tcW w:w="7373" w:type="dxa"/>
            <w:shd w:val="clear" w:color="auto" w:fill="auto"/>
            <w:noWrap/>
            <w:vAlign w:val="bottom"/>
          </w:tcPr>
          <w:p w14:paraId="64CC921F" w14:textId="77777777" w:rsidR="003864B5" w:rsidRPr="001845F3" w:rsidRDefault="003864B5" w:rsidP="00D727BF">
            <w:pPr>
              <w:pStyle w:val="NoSpacing"/>
              <w:tabs>
                <w:tab w:val="left" w:pos="720"/>
              </w:tabs>
              <w:spacing w:after="0"/>
              <w:ind w:left="14" w:hanging="14"/>
              <w:rPr>
                <w:rFonts w:ascii="Times New Roman" w:hAnsi="Times New Roman"/>
              </w:rPr>
            </w:pPr>
            <w:r w:rsidRPr="001845F3">
              <w:rPr>
                <w:rFonts w:ascii="Times New Roman" w:hAnsi="Times New Roman"/>
              </w:rPr>
              <w:t>National Examinations Council</w:t>
            </w:r>
          </w:p>
        </w:tc>
        <w:tc>
          <w:tcPr>
            <w:tcW w:w="381" w:type="dxa"/>
            <w:shd w:val="clear" w:color="auto" w:fill="auto"/>
            <w:noWrap/>
            <w:vAlign w:val="bottom"/>
          </w:tcPr>
          <w:p w14:paraId="170EAEA5" w14:textId="77777777" w:rsidR="003864B5" w:rsidRPr="001845F3" w:rsidRDefault="003864B5" w:rsidP="00D727BF">
            <w:pPr>
              <w:pStyle w:val="NoSpacing"/>
              <w:tabs>
                <w:tab w:val="left" w:pos="720"/>
              </w:tabs>
              <w:spacing w:after="0"/>
              <w:ind w:left="14" w:hanging="14"/>
              <w:rPr>
                <w:rFonts w:ascii="Times New Roman" w:hAnsi="Times New Roman"/>
              </w:rPr>
            </w:pPr>
          </w:p>
        </w:tc>
      </w:tr>
      <w:tr w:rsidR="002E2227" w:rsidRPr="001845F3" w14:paraId="5C4CEA33" w14:textId="77777777" w:rsidTr="00F35778">
        <w:trPr>
          <w:trHeight w:val="115"/>
        </w:trPr>
        <w:tc>
          <w:tcPr>
            <w:tcW w:w="1990" w:type="dxa"/>
            <w:shd w:val="clear" w:color="auto" w:fill="auto"/>
            <w:noWrap/>
            <w:vAlign w:val="bottom"/>
          </w:tcPr>
          <w:p w14:paraId="47A99F83" w14:textId="77777777" w:rsidR="002E2227" w:rsidRPr="001845F3" w:rsidRDefault="002E2227" w:rsidP="00D727BF">
            <w:pPr>
              <w:pStyle w:val="NoSpacing"/>
              <w:tabs>
                <w:tab w:val="left" w:pos="720"/>
              </w:tabs>
              <w:spacing w:after="0"/>
              <w:ind w:left="14" w:hanging="14"/>
              <w:rPr>
                <w:rFonts w:ascii="Times New Roman" w:hAnsi="Times New Roman"/>
              </w:rPr>
            </w:pPr>
            <w:r w:rsidRPr="001845F3">
              <w:rPr>
                <w:rFonts w:ascii="Times New Roman" w:hAnsi="Times New Roman"/>
              </w:rPr>
              <w:t>NFRA</w:t>
            </w:r>
          </w:p>
        </w:tc>
        <w:tc>
          <w:tcPr>
            <w:tcW w:w="7373" w:type="dxa"/>
            <w:shd w:val="clear" w:color="auto" w:fill="auto"/>
            <w:noWrap/>
            <w:vAlign w:val="bottom"/>
          </w:tcPr>
          <w:p w14:paraId="51592EB1" w14:textId="77777777" w:rsidR="002E2227" w:rsidRPr="001845F3" w:rsidRDefault="002E2227" w:rsidP="00D727BF">
            <w:pPr>
              <w:pStyle w:val="NoSpacing"/>
              <w:tabs>
                <w:tab w:val="left" w:pos="720"/>
              </w:tabs>
              <w:spacing w:after="0"/>
              <w:ind w:left="14" w:hanging="14"/>
              <w:rPr>
                <w:rFonts w:ascii="Times New Roman" w:hAnsi="Times New Roman"/>
              </w:rPr>
            </w:pPr>
            <w:r w:rsidRPr="001845F3">
              <w:rPr>
                <w:rFonts w:ascii="Times New Roman" w:hAnsi="Times New Roman"/>
              </w:rPr>
              <w:t>National Food Reserve Agency</w:t>
            </w:r>
          </w:p>
        </w:tc>
        <w:tc>
          <w:tcPr>
            <w:tcW w:w="381" w:type="dxa"/>
            <w:shd w:val="clear" w:color="auto" w:fill="auto"/>
            <w:noWrap/>
            <w:vAlign w:val="bottom"/>
          </w:tcPr>
          <w:p w14:paraId="65612ECA" w14:textId="77777777" w:rsidR="002E2227" w:rsidRPr="001845F3" w:rsidRDefault="002E2227" w:rsidP="00D727BF">
            <w:pPr>
              <w:pStyle w:val="NoSpacing"/>
              <w:tabs>
                <w:tab w:val="left" w:pos="720"/>
              </w:tabs>
              <w:spacing w:after="0"/>
              <w:ind w:left="14" w:hanging="14"/>
              <w:rPr>
                <w:rFonts w:ascii="Times New Roman" w:hAnsi="Times New Roman"/>
              </w:rPr>
            </w:pPr>
          </w:p>
        </w:tc>
      </w:tr>
      <w:tr w:rsidR="003765D3" w:rsidRPr="001845F3" w14:paraId="4063E08D" w14:textId="77777777" w:rsidTr="00F35778">
        <w:trPr>
          <w:trHeight w:val="115"/>
        </w:trPr>
        <w:tc>
          <w:tcPr>
            <w:tcW w:w="1990" w:type="dxa"/>
            <w:shd w:val="clear" w:color="auto" w:fill="auto"/>
            <w:noWrap/>
            <w:vAlign w:val="bottom"/>
          </w:tcPr>
          <w:p w14:paraId="0DC1992C" w14:textId="77777777" w:rsidR="003765D3" w:rsidRPr="001845F3" w:rsidRDefault="003765D3" w:rsidP="00D727BF">
            <w:pPr>
              <w:pStyle w:val="NoSpacing"/>
              <w:tabs>
                <w:tab w:val="left" w:pos="720"/>
              </w:tabs>
              <w:spacing w:after="0"/>
              <w:ind w:left="14" w:hanging="14"/>
              <w:rPr>
                <w:rFonts w:ascii="Times New Roman" w:hAnsi="Times New Roman"/>
              </w:rPr>
            </w:pPr>
            <w:r w:rsidRPr="001845F3">
              <w:rPr>
                <w:rFonts w:ascii="Times New Roman" w:hAnsi="Times New Roman"/>
              </w:rPr>
              <w:t>NFE</w:t>
            </w:r>
          </w:p>
        </w:tc>
        <w:tc>
          <w:tcPr>
            <w:tcW w:w="7373" w:type="dxa"/>
            <w:shd w:val="clear" w:color="auto" w:fill="auto"/>
            <w:noWrap/>
            <w:vAlign w:val="bottom"/>
          </w:tcPr>
          <w:p w14:paraId="571DDD03" w14:textId="77777777" w:rsidR="003765D3" w:rsidRPr="001845F3" w:rsidRDefault="003765D3" w:rsidP="00D727BF">
            <w:pPr>
              <w:pStyle w:val="NoSpacing"/>
              <w:tabs>
                <w:tab w:val="left" w:pos="720"/>
              </w:tabs>
              <w:spacing w:after="0"/>
              <w:ind w:left="14" w:hanging="14"/>
              <w:rPr>
                <w:rFonts w:ascii="Times New Roman" w:hAnsi="Times New Roman"/>
              </w:rPr>
            </w:pPr>
            <w:r w:rsidRPr="001845F3">
              <w:rPr>
                <w:rFonts w:ascii="Times New Roman" w:hAnsi="Times New Roman"/>
              </w:rPr>
              <w:t>Non-Farm Enterprises</w:t>
            </w:r>
          </w:p>
        </w:tc>
        <w:tc>
          <w:tcPr>
            <w:tcW w:w="381" w:type="dxa"/>
            <w:shd w:val="clear" w:color="auto" w:fill="auto"/>
            <w:noWrap/>
            <w:vAlign w:val="bottom"/>
          </w:tcPr>
          <w:p w14:paraId="2FB4A67D" w14:textId="77777777" w:rsidR="003765D3" w:rsidRPr="001845F3" w:rsidRDefault="003765D3" w:rsidP="00D727BF">
            <w:pPr>
              <w:pStyle w:val="NoSpacing"/>
              <w:tabs>
                <w:tab w:val="left" w:pos="720"/>
              </w:tabs>
              <w:spacing w:after="0"/>
              <w:ind w:left="14" w:hanging="14"/>
              <w:rPr>
                <w:rFonts w:ascii="Times New Roman" w:hAnsi="Times New Roman"/>
              </w:rPr>
            </w:pPr>
          </w:p>
        </w:tc>
      </w:tr>
      <w:tr w:rsidR="00C5511E" w:rsidRPr="001845F3" w14:paraId="7BB14CA9" w14:textId="77777777" w:rsidTr="00F35778">
        <w:trPr>
          <w:trHeight w:val="115"/>
        </w:trPr>
        <w:tc>
          <w:tcPr>
            <w:tcW w:w="1990" w:type="dxa"/>
            <w:shd w:val="clear" w:color="auto" w:fill="auto"/>
            <w:noWrap/>
            <w:vAlign w:val="bottom"/>
          </w:tcPr>
          <w:p w14:paraId="52AA6494"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PIB</w:t>
            </w:r>
          </w:p>
        </w:tc>
        <w:tc>
          <w:tcPr>
            <w:tcW w:w="7373" w:type="dxa"/>
            <w:shd w:val="clear" w:color="auto" w:fill="auto"/>
            <w:noWrap/>
            <w:vAlign w:val="bottom"/>
          </w:tcPr>
          <w:p w14:paraId="6DE1560F"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Petroleum Industry Bill</w:t>
            </w:r>
          </w:p>
        </w:tc>
        <w:tc>
          <w:tcPr>
            <w:tcW w:w="381" w:type="dxa"/>
            <w:shd w:val="clear" w:color="auto" w:fill="auto"/>
            <w:noWrap/>
            <w:vAlign w:val="bottom"/>
          </w:tcPr>
          <w:p w14:paraId="78AF648C" w14:textId="77777777" w:rsidR="00C5511E" w:rsidRPr="001845F3" w:rsidRDefault="00C5511E" w:rsidP="00D727BF">
            <w:pPr>
              <w:pStyle w:val="NoSpacing"/>
              <w:tabs>
                <w:tab w:val="left" w:pos="720"/>
              </w:tabs>
              <w:spacing w:after="0"/>
              <w:ind w:left="14" w:hanging="14"/>
              <w:rPr>
                <w:rFonts w:ascii="Times New Roman" w:hAnsi="Times New Roman"/>
              </w:rPr>
            </w:pPr>
          </w:p>
        </w:tc>
      </w:tr>
      <w:tr w:rsidR="00430C7C" w:rsidRPr="001845F3" w14:paraId="7A5D190B" w14:textId="77777777" w:rsidTr="00F35778">
        <w:trPr>
          <w:trHeight w:val="115"/>
        </w:trPr>
        <w:tc>
          <w:tcPr>
            <w:tcW w:w="1990" w:type="dxa"/>
            <w:shd w:val="clear" w:color="auto" w:fill="auto"/>
            <w:noWrap/>
            <w:vAlign w:val="bottom"/>
          </w:tcPr>
          <w:p w14:paraId="5BD6EEB2" w14:textId="77777777" w:rsidR="00430C7C" w:rsidRPr="001845F3" w:rsidRDefault="00430C7C" w:rsidP="00D727BF">
            <w:pPr>
              <w:pStyle w:val="NoSpacing"/>
              <w:tabs>
                <w:tab w:val="left" w:pos="720"/>
              </w:tabs>
              <w:spacing w:after="0"/>
              <w:ind w:left="14" w:hanging="14"/>
              <w:rPr>
                <w:rFonts w:ascii="Times New Roman" w:hAnsi="Times New Roman"/>
              </w:rPr>
            </w:pPr>
            <w:r w:rsidRPr="001845F3">
              <w:rPr>
                <w:rFonts w:ascii="Times New Roman" w:hAnsi="Times New Roman"/>
              </w:rPr>
              <w:t>R&amp;D</w:t>
            </w:r>
          </w:p>
        </w:tc>
        <w:tc>
          <w:tcPr>
            <w:tcW w:w="7373" w:type="dxa"/>
            <w:shd w:val="clear" w:color="auto" w:fill="auto"/>
            <w:noWrap/>
            <w:vAlign w:val="bottom"/>
          </w:tcPr>
          <w:p w14:paraId="5F9013E1" w14:textId="77777777" w:rsidR="00430C7C" w:rsidRPr="001845F3" w:rsidRDefault="00430C7C" w:rsidP="00D727BF">
            <w:pPr>
              <w:pStyle w:val="NoSpacing"/>
              <w:tabs>
                <w:tab w:val="left" w:pos="720"/>
              </w:tabs>
              <w:spacing w:after="0"/>
              <w:ind w:left="14" w:hanging="14"/>
              <w:rPr>
                <w:rFonts w:ascii="Times New Roman" w:hAnsi="Times New Roman"/>
              </w:rPr>
            </w:pPr>
            <w:r w:rsidRPr="001845F3">
              <w:rPr>
                <w:rFonts w:ascii="Times New Roman" w:hAnsi="Times New Roman"/>
              </w:rPr>
              <w:t>Research and Development</w:t>
            </w:r>
          </w:p>
        </w:tc>
        <w:tc>
          <w:tcPr>
            <w:tcW w:w="381" w:type="dxa"/>
            <w:shd w:val="clear" w:color="auto" w:fill="auto"/>
            <w:noWrap/>
            <w:vAlign w:val="bottom"/>
          </w:tcPr>
          <w:p w14:paraId="35578A30" w14:textId="77777777" w:rsidR="00430C7C" w:rsidRPr="001845F3" w:rsidRDefault="00430C7C" w:rsidP="00D727BF">
            <w:pPr>
              <w:pStyle w:val="NoSpacing"/>
              <w:tabs>
                <w:tab w:val="left" w:pos="720"/>
              </w:tabs>
              <w:spacing w:after="0"/>
              <w:ind w:left="14" w:hanging="14"/>
              <w:rPr>
                <w:rFonts w:ascii="Times New Roman" w:hAnsi="Times New Roman"/>
              </w:rPr>
            </w:pPr>
          </w:p>
        </w:tc>
      </w:tr>
      <w:tr w:rsidR="001C0459" w:rsidRPr="001845F3" w14:paraId="7A5AB108" w14:textId="77777777" w:rsidTr="00F35778">
        <w:trPr>
          <w:trHeight w:val="115"/>
        </w:trPr>
        <w:tc>
          <w:tcPr>
            <w:tcW w:w="1990" w:type="dxa"/>
            <w:shd w:val="clear" w:color="auto" w:fill="auto"/>
            <w:noWrap/>
            <w:vAlign w:val="bottom"/>
          </w:tcPr>
          <w:p w14:paraId="6096B162" w14:textId="77777777" w:rsidR="001C0459" w:rsidRPr="001845F3" w:rsidRDefault="001C0459" w:rsidP="00D727BF">
            <w:pPr>
              <w:pStyle w:val="NoSpacing"/>
              <w:tabs>
                <w:tab w:val="left" w:pos="720"/>
              </w:tabs>
              <w:spacing w:after="0"/>
              <w:ind w:left="14" w:hanging="14"/>
              <w:rPr>
                <w:rFonts w:ascii="Times New Roman" w:hAnsi="Times New Roman"/>
              </w:rPr>
            </w:pPr>
            <w:r w:rsidRPr="001845F3">
              <w:rPr>
                <w:rFonts w:ascii="Times New Roman" w:hAnsi="Times New Roman"/>
              </w:rPr>
              <w:t>SD</w:t>
            </w:r>
          </w:p>
        </w:tc>
        <w:tc>
          <w:tcPr>
            <w:tcW w:w="7373" w:type="dxa"/>
            <w:shd w:val="clear" w:color="auto" w:fill="auto"/>
            <w:noWrap/>
            <w:vAlign w:val="bottom"/>
          </w:tcPr>
          <w:p w14:paraId="101FD625" w14:textId="77777777" w:rsidR="001C0459" w:rsidRPr="001845F3" w:rsidRDefault="001C0459" w:rsidP="00D727BF">
            <w:pPr>
              <w:pStyle w:val="NoSpacing"/>
              <w:tabs>
                <w:tab w:val="left" w:pos="720"/>
              </w:tabs>
              <w:spacing w:after="0"/>
              <w:ind w:left="14" w:hanging="14"/>
              <w:rPr>
                <w:rFonts w:ascii="Times New Roman" w:hAnsi="Times New Roman"/>
              </w:rPr>
            </w:pPr>
            <w:r w:rsidRPr="001845F3">
              <w:rPr>
                <w:rFonts w:ascii="Times New Roman" w:hAnsi="Times New Roman"/>
              </w:rPr>
              <w:t>Standard Deviation</w:t>
            </w:r>
          </w:p>
        </w:tc>
        <w:tc>
          <w:tcPr>
            <w:tcW w:w="381" w:type="dxa"/>
            <w:shd w:val="clear" w:color="auto" w:fill="auto"/>
            <w:noWrap/>
            <w:vAlign w:val="bottom"/>
          </w:tcPr>
          <w:p w14:paraId="3066FF3E" w14:textId="77777777" w:rsidR="001C0459" w:rsidRPr="001845F3" w:rsidRDefault="001C0459" w:rsidP="00D727BF">
            <w:pPr>
              <w:pStyle w:val="NoSpacing"/>
              <w:tabs>
                <w:tab w:val="left" w:pos="720"/>
              </w:tabs>
              <w:spacing w:after="0"/>
              <w:ind w:left="14" w:hanging="14"/>
              <w:rPr>
                <w:rFonts w:ascii="Times New Roman" w:hAnsi="Times New Roman"/>
              </w:rPr>
            </w:pPr>
          </w:p>
        </w:tc>
      </w:tr>
      <w:tr w:rsidR="00C5511E" w:rsidRPr="001845F3" w14:paraId="258CC8AA" w14:textId="77777777" w:rsidTr="00F35778">
        <w:trPr>
          <w:trHeight w:val="115"/>
        </w:trPr>
        <w:tc>
          <w:tcPr>
            <w:tcW w:w="1990" w:type="dxa"/>
            <w:shd w:val="clear" w:color="auto" w:fill="auto"/>
            <w:noWrap/>
            <w:vAlign w:val="bottom"/>
          </w:tcPr>
          <w:p w14:paraId="04467300"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SME</w:t>
            </w:r>
          </w:p>
        </w:tc>
        <w:tc>
          <w:tcPr>
            <w:tcW w:w="7373" w:type="dxa"/>
            <w:shd w:val="clear" w:color="auto" w:fill="auto"/>
            <w:noWrap/>
            <w:vAlign w:val="bottom"/>
          </w:tcPr>
          <w:p w14:paraId="1DB67A7A"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Small and Medium Enterprises</w:t>
            </w:r>
          </w:p>
        </w:tc>
        <w:tc>
          <w:tcPr>
            <w:tcW w:w="381" w:type="dxa"/>
            <w:shd w:val="clear" w:color="auto" w:fill="auto"/>
            <w:noWrap/>
            <w:vAlign w:val="bottom"/>
          </w:tcPr>
          <w:p w14:paraId="7C856BFD" w14:textId="77777777" w:rsidR="00C5511E" w:rsidRPr="001845F3" w:rsidRDefault="00C5511E" w:rsidP="00D727BF">
            <w:pPr>
              <w:pStyle w:val="NoSpacing"/>
              <w:tabs>
                <w:tab w:val="left" w:pos="720"/>
              </w:tabs>
              <w:spacing w:after="0"/>
              <w:ind w:left="14" w:hanging="14"/>
              <w:rPr>
                <w:rFonts w:ascii="Times New Roman" w:hAnsi="Times New Roman"/>
              </w:rPr>
            </w:pPr>
          </w:p>
        </w:tc>
      </w:tr>
      <w:tr w:rsidR="00C5511E" w:rsidRPr="001845F3" w14:paraId="32D66E5D" w14:textId="77777777" w:rsidTr="00F35778">
        <w:trPr>
          <w:trHeight w:val="115"/>
        </w:trPr>
        <w:tc>
          <w:tcPr>
            <w:tcW w:w="1990" w:type="dxa"/>
            <w:shd w:val="clear" w:color="auto" w:fill="auto"/>
            <w:noWrap/>
            <w:vAlign w:val="bottom"/>
          </w:tcPr>
          <w:p w14:paraId="24FAF00F"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SMEDAN</w:t>
            </w:r>
          </w:p>
        </w:tc>
        <w:tc>
          <w:tcPr>
            <w:tcW w:w="7373" w:type="dxa"/>
            <w:shd w:val="clear" w:color="auto" w:fill="auto"/>
            <w:noWrap/>
            <w:vAlign w:val="bottom"/>
          </w:tcPr>
          <w:p w14:paraId="49D8422B" w14:textId="77777777" w:rsidR="00C5511E" w:rsidRPr="001845F3" w:rsidRDefault="00C5511E" w:rsidP="00D727BF">
            <w:pPr>
              <w:pStyle w:val="NoSpacing"/>
              <w:tabs>
                <w:tab w:val="left" w:pos="720"/>
              </w:tabs>
              <w:spacing w:after="0"/>
              <w:ind w:left="14" w:hanging="14"/>
              <w:rPr>
                <w:rFonts w:ascii="Times New Roman" w:hAnsi="Times New Roman"/>
              </w:rPr>
            </w:pPr>
            <w:r w:rsidRPr="001845F3">
              <w:rPr>
                <w:rFonts w:ascii="Times New Roman" w:hAnsi="Times New Roman"/>
              </w:rPr>
              <w:t>Small Enterprise Development Agency Nigeria</w:t>
            </w:r>
          </w:p>
        </w:tc>
        <w:tc>
          <w:tcPr>
            <w:tcW w:w="381" w:type="dxa"/>
            <w:shd w:val="clear" w:color="auto" w:fill="auto"/>
            <w:noWrap/>
            <w:vAlign w:val="bottom"/>
          </w:tcPr>
          <w:p w14:paraId="086F59D8" w14:textId="77777777" w:rsidR="00C5511E" w:rsidRPr="001845F3" w:rsidRDefault="00C5511E" w:rsidP="00D727BF">
            <w:pPr>
              <w:pStyle w:val="NoSpacing"/>
              <w:tabs>
                <w:tab w:val="left" w:pos="720"/>
              </w:tabs>
              <w:spacing w:after="0"/>
              <w:ind w:left="14" w:hanging="14"/>
              <w:rPr>
                <w:rFonts w:ascii="Times New Roman" w:hAnsi="Times New Roman"/>
              </w:rPr>
            </w:pPr>
          </w:p>
        </w:tc>
      </w:tr>
      <w:tr w:rsidR="00AB05A1" w:rsidRPr="001845F3" w14:paraId="7C3D01CC" w14:textId="77777777" w:rsidTr="00F35778">
        <w:trPr>
          <w:trHeight w:val="115"/>
        </w:trPr>
        <w:tc>
          <w:tcPr>
            <w:tcW w:w="1990" w:type="dxa"/>
            <w:shd w:val="clear" w:color="auto" w:fill="auto"/>
            <w:noWrap/>
            <w:vAlign w:val="bottom"/>
          </w:tcPr>
          <w:p w14:paraId="6754B6C8" w14:textId="77777777" w:rsidR="00AB05A1" w:rsidRPr="001845F3" w:rsidRDefault="004219E8" w:rsidP="00D727BF">
            <w:pPr>
              <w:pStyle w:val="NoSpacing"/>
              <w:tabs>
                <w:tab w:val="left" w:pos="720"/>
              </w:tabs>
              <w:spacing w:after="0"/>
              <w:ind w:left="14" w:hanging="14"/>
              <w:rPr>
                <w:rFonts w:ascii="Times New Roman" w:hAnsi="Times New Roman"/>
              </w:rPr>
            </w:pPr>
            <w:r w:rsidRPr="001845F3">
              <w:rPr>
                <w:rFonts w:ascii="Times New Roman" w:hAnsi="Times New Roman"/>
              </w:rPr>
              <w:t>TFP</w:t>
            </w:r>
          </w:p>
        </w:tc>
        <w:tc>
          <w:tcPr>
            <w:tcW w:w="7373" w:type="dxa"/>
            <w:shd w:val="clear" w:color="auto" w:fill="auto"/>
            <w:noWrap/>
            <w:vAlign w:val="bottom"/>
          </w:tcPr>
          <w:p w14:paraId="37F4FE0F" w14:textId="77777777" w:rsidR="00AB05A1" w:rsidRPr="001845F3" w:rsidRDefault="004219E8" w:rsidP="00D727BF">
            <w:pPr>
              <w:pStyle w:val="NoSpacing"/>
              <w:tabs>
                <w:tab w:val="left" w:pos="720"/>
              </w:tabs>
              <w:spacing w:after="0"/>
              <w:ind w:left="14" w:hanging="14"/>
              <w:rPr>
                <w:rFonts w:ascii="Times New Roman" w:hAnsi="Times New Roman"/>
              </w:rPr>
            </w:pPr>
            <w:r w:rsidRPr="001845F3">
              <w:rPr>
                <w:rFonts w:ascii="Times New Roman" w:hAnsi="Times New Roman"/>
              </w:rPr>
              <w:t>Total Factor Productivity</w:t>
            </w:r>
          </w:p>
        </w:tc>
        <w:tc>
          <w:tcPr>
            <w:tcW w:w="381" w:type="dxa"/>
            <w:shd w:val="clear" w:color="auto" w:fill="auto"/>
            <w:noWrap/>
            <w:vAlign w:val="bottom"/>
          </w:tcPr>
          <w:p w14:paraId="4CC35266" w14:textId="77777777" w:rsidR="00AB05A1" w:rsidRPr="001845F3" w:rsidRDefault="00AB05A1" w:rsidP="00D727BF">
            <w:pPr>
              <w:pStyle w:val="NoSpacing"/>
              <w:tabs>
                <w:tab w:val="left" w:pos="720"/>
              </w:tabs>
              <w:spacing w:after="0"/>
              <w:ind w:left="14" w:hanging="14"/>
              <w:rPr>
                <w:rFonts w:ascii="Times New Roman" w:hAnsi="Times New Roman"/>
              </w:rPr>
            </w:pPr>
          </w:p>
        </w:tc>
      </w:tr>
    </w:tbl>
    <w:p w14:paraId="4B7ADAC8" w14:textId="77777777" w:rsidR="00980BAD" w:rsidRDefault="00980BAD" w:rsidP="00D727BF">
      <w:pPr>
        <w:tabs>
          <w:tab w:val="left" w:pos="720"/>
        </w:tabs>
        <w:ind w:left="20" w:hanging="20"/>
      </w:pPr>
    </w:p>
    <w:p w14:paraId="715E0C83" w14:textId="77777777" w:rsidR="00980BAD" w:rsidRDefault="00980BAD" w:rsidP="00D727BF">
      <w:pPr>
        <w:pStyle w:val="CoverOptionAReportandDate"/>
        <w:tabs>
          <w:tab w:val="left" w:pos="720"/>
        </w:tabs>
        <w:ind w:hanging="20"/>
      </w:pPr>
    </w:p>
    <w:p w14:paraId="3BA55C7C" w14:textId="75139158" w:rsidR="004E2FB4" w:rsidRDefault="004E2FB4" w:rsidP="00D727BF">
      <w:pPr>
        <w:pStyle w:val="Heading1"/>
        <w:tabs>
          <w:tab w:val="left" w:pos="720"/>
        </w:tabs>
        <w:ind w:left="20" w:hanging="20"/>
      </w:pPr>
      <w:bookmarkStart w:id="7" w:name="_Toc414533445"/>
      <w:r>
        <w:br w:type="page"/>
      </w:r>
    </w:p>
    <w:p w14:paraId="3320AC2F" w14:textId="21B6E285" w:rsidR="00980BAD" w:rsidRPr="00C83459" w:rsidRDefault="00980BAD" w:rsidP="00D727BF">
      <w:pPr>
        <w:pStyle w:val="Heading1"/>
        <w:tabs>
          <w:tab w:val="left" w:pos="720"/>
        </w:tabs>
        <w:ind w:left="20" w:hanging="20"/>
      </w:pPr>
      <w:bookmarkStart w:id="8" w:name="_Toc444877488"/>
      <w:bookmarkStart w:id="9" w:name="_Toc445450263"/>
      <w:r w:rsidRPr="0098703D">
        <w:lastRenderedPageBreak/>
        <w:t>Acknowledgements</w:t>
      </w:r>
      <w:bookmarkEnd w:id="7"/>
      <w:bookmarkEnd w:id="8"/>
      <w:bookmarkEnd w:id="9"/>
    </w:p>
    <w:p w14:paraId="077A5CF2" w14:textId="1E3096E0" w:rsidR="00D7772D" w:rsidRDefault="00D7772D" w:rsidP="00D727BF">
      <w:pPr>
        <w:tabs>
          <w:tab w:val="left" w:pos="720"/>
        </w:tabs>
        <w:ind w:left="20" w:hanging="20"/>
      </w:pPr>
      <w:r w:rsidRPr="00D7772D">
        <w:t xml:space="preserve">This report was prepared by a World Bank team led by Johanne Buba, under the overall guidance of John Speakman, </w:t>
      </w:r>
      <w:r w:rsidR="00461224">
        <w:t>p</w:t>
      </w:r>
      <w:r w:rsidRPr="00D7772D">
        <w:t xml:space="preserve">ractice </w:t>
      </w:r>
      <w:r w:rsidR="00461224">
        <w:t>m</w:t>
      </w:r>
      <w:r w:rsidRPr="00D7772D">
        <w:t xml:space="preserve">anager; Marie Francoise Marie-Nelly, Nigeria </w:t>
      </w:r>
      <w:r w:rsidR="00461224">
        <w:t>c</w:t>
      </w:r>
      <w:r w:rsidRPr="00D7772D">
        <w:t xml:space="preserve">ountry </w:t>
      </w:r>
      <w:r w:rsidR="00461224">
        <w:t>d</w:t>
      </w:r>
      <w:r w:rsidRPr="00D7772D">
        <w:t>irector</w:t>
      </w:r>
      <w:r w:rsidR="00461224">
        <w:t>;</w:t>
      </w:r>
      <w:r w:rsidR="00504CF6">
        <w:t xml:space="preserve"> and Indira Konjhodvic, Nigeria </w:t>
      </w:r>
      <w:r w:rsidR="00461224">
        <w:t>c</w:t>
      </w:r>
      <w:r w:rsidR="00504CF6">
        <w:t xml:space="preserve">ountry </w:t>
      </w:r>
      <w:r w:rsidR="00461224">
        <w:t>p</w:t>
      </w:r>
      <w:r w:rsidR="00504CF6">
        <w:t xml:space="preserve">rogram </w:t>
      </w:r>
      <w:r w:rsidR="00461224">
        <w:t>c</w:t>
      </w:r>
      <w:r w:rsidR="00504CF6">
        <w:t>oordinator</w:t>
      </w:r>
      <w:r w:rsidRPr="00D7772D">
        <w:t xml:space="preserve">. </w:t>
      </w:r>
      <w:r w:rsidR="00D92377">
        <w:t>In alphabetical order, t</w:t>
      </w:r>
      <w:r w:rsidRPr="00D7772D">
        <w:t>he coauthors are Johanne Buba, Xavier Cirera (</w:t>
      </w:r>
      <w:r w:rsidR="00396891">
        <w:t>c</w:t>
      </w:r>
      <w:r w:rsidRPr="00D7772D">
        <w:t xml:space="preserve">hapter 5 on the </w:t>
      </w:r>
      <w:r w:rsidR="00863D16">
        <w:t>i</w:t>
      </w:r>
      <w:r w:rsidRPr="00D7772D">
        <w:t xml:space="preserve">mpact of </w:t>
      </w:r>
      <w:r w:rsidR="00863D16">
        <w:t>f</w:t>
      </w:r>
      <w:r w:rsidRPr="00D7772D">
        <w:t>irm-</w:t>
      </w:r>
      <w:r w:rsidR="00863D16">
        <w:t>l</w:t>
      </w:r>
      <w:r w:rsidRPr="00D7772D">
        <w:t xml:space="preserve">evel </w:t>
      </w:r>
      <w:r w:rsidR="00863D16">
        <w:t>i</w:t>
      </w:r>
      <w:r w:rsidRPr="00D7772D">
        <w:t xml:space="preserve">nnovation on </w:t>
      </w:r>
      <w:r w:rsidR="00863D16">
        <w:t>p</w:t>
      </w:r>
      <w:r w:rsidRPr="00D7772D">
        <w:t>roductivity), George Clarke (</w:t>
      </w:r>
      <w:r w:rsidR="00396891">
        <w:t>c</w:t>
      </w:r>
      <w:r w:rsidRPr="00D7772D">
        <w:t xml:space="preserve">hapter 4 on the </w:t>
      </w:r>
      <w:r w:rsidR="00863D16">
        <w:t>p</w:t>
      </w:r>
      <w:r w:rsidRPr="00D7772D">
        <w:t xml:space="preserve">roductivity of the </w:t>
      </w:r>
      <w:r w:rsidR="00863D16">
        <w:t>f</w:t>
      </w:r>
      <w:r w:rsidRPr="00D7772D">
        <w:t xml:space="preserve">ormal </w:t>
      </w:r>
      <w:r w:rsidR="00863D16">
        <w:t>s</w:t>
      </w:r>
      <w:r w:rsidRPr="00D7772D">
        <w:t>ector), and Michael Wong.</w:t>
      </w:r>
      <w:r w:rsidR="00F428F9">
        <w:t xml:space="preserve"> </w:t>
      </w:r>
      <w:r w:rsidRPr="00D7772D">
        <w:t xml:space="preserve">Other contributors include </w:t>
      </w:r>
      <w:r w:rsidR="00767308">
        <w:t>Moustapha Doukoure</w:t>
      </w:r>
      <w:r w:rsidR="005F06ED">
        <w:t>, Irene Nnomo Ayinda-Mah</w:t>
      </w:r>
      <w:r w:rsidR="00461224">
        <w:t>,</w:t>
      </w:r>
      <w:r w:rsidR="00767308">
        <w:t xml:space="preserve"> and </w:t>
      </w:r>
      <w:r w:rsidRPr="00D7772D">
        <w:t xml:space="preserve">John Litwack. </w:t>
      </w:r>
      <w:r w:rsidR="00767308">
        <w:t xml:space="preserve">The team would like to acknowledge the collaboration with </w:t>
      </w:r>
      <w:r w:rsidR="005B4989">
        <w:t xml:space="preserve">Elliot Rasmuson, </w:t>
      </w:r>
      <w:r w:rsidR="00B308E3">
        <w:t xml:space="preserve">Keith Garett, </w:t>
      </w:r>
      <w:r w:rsidR="00767308" w:rsidRPr="00D7772D">
        <w:t>Eleonora Bertoni, Paul Corral,</w:t>
      </w:r>
      <w:r w:rsidR="00767308" w:rsidRPr="00767308">
        <w:t xml:space="preserve"> </w:t>
      </w:r>
      <w:r w:rsidR="00767308" w:rsidRPr="00D7772D">
        <w:t>and Vasco Molini</w:t>
      </w:r>
      <w:r w:rsidR="00767308">
        <w:t>.</w:t>
      </w:r>
    </w:p>
    <w:p w14:paraId="7C4C6988" w14:textId="5A3685FB" w:rsidR="00AB05A1" w:rsidRPr="00B551F7" w:rsidRDefault="00AB05A1" w:rsidP="00D727BF">
      <w:pPr>
        <w:tabs>
          <w:tab w:val="left" w:pos="720"/>
        </w:tabs>
        <w:ind w:left="20" w:hanging="20"/>
      </w:pPr>
      <w:r w:rsidRPr="004219E8">
        <w:t>The team would like to thank the Enterprise Survey unit and</w:t>
      </w:r>
      <w:r w:rsidR="00461224">
        <w:t>,</w:t>
      </w:r>
      <w:r w:rsidRPr="004219E8">
        <w:t xml:space="preserve"> in particular</w:t>
      </w:r>
      <w:r w:rsidR="00461224">
        <w:t>,</w:t>
      </w:r>
      <w:r w:rsidRPr="004219E8">
        <w:t xml:space="preserve"> Jo</w:t>
      </w:r>
      <w:r w:rsidR="004219E8" w:rsidRPr="004219E8">
        <w:t>shua</w:t>
      </w:r>
      <w:r w:rsidRPr="004219E8">
        <w:t xml:space="preserve"> </w:t>
      </w:r>
      <w:r w:rsidR="004219E8" w:rsidRPr="004219E8">
        <w:t xml:space="preserve">Seth Wimpey (DECEA) </w:t>
      </w:r>
      <w:r w:rsidRPr="004219E8">
        <w:t xml:space="preserve">and </w:t>
      </w:r>
      <w:r w:rsidR="004219E8" w:rsidRPr="004219E8">
        <w:t>Jorge Luis Rodriguez Meza (DECEA)</w:t>
      </w:r>
      <w:r w:rsidRPr="004219E8">
        <w:t xml:space="preserve"> for conducting th</w:t>
      </w:r>
      <w:r w:rsidR="00380DD8">
        <w:t>e Enterprise S</w:t>
      </w:r>
      <w:r w:rsidRPr="004219E8">
        <w:t>urvey in Nigeria</w:t>
      </w:r>
      <w:r w:rsidR="002D0F19">
        <w:t xml:space="preserve">. The team would also like to acknowledge </w:t>
      </w:r>
      <w:r w:rsidR="00380DD8">
        <w:t xml:space="preserve">the </w:t>
      </w:r>
      <w:r w:rsidR="00767308">
        <w:t xml:space="preserve">invaluable </w:t>
      </w:r>
      <w:r w:rsidR="00380DD8">
        <w:t xml:space="preserve">participation of DFID </w:t>
      </w:r>
      <w:r w:rsidR="0072080E">
        <w:t>in</w:t>
      </w:r>
      <w:r w:rsidR="00380DD8">
        <w:t xml:space="preserve"> this</w:t>
      </w:r>
      <w:r w:rsidR="002D0F19">
        <w:t xml:space="preserve"> survey.</w:t>
      </w:r>
    </w:p>
    <w:p w14:paraId="1A797A66" w14:textId="77777777" w:rsidR="00980BAD" w:rsidRPr="00980BAD" w:rsidRDefault="00980BAD" w:rsidP="00D727BF">
      <w:pPr>
        <w:pStyle w:val="ListParagraph"/>
        <w:tabs>
          <w:tab w:val="left" w:pos="720"/>
        </w:tabs>
        <w:ind w:left="20" w:hanging="20"/>
      </w:pPr>
    </w:p>
    <w:p w14:paraId="24F83477" w14:textId="4FD34A7A" w:rsidR="004E2FB4" w:rsidRDefault="004E2FB4" w:rsidP="00D727BF">
      <w:pPr>
        <w:pStyle w:val="ListParagraph"/>
        <w:tabs>
          <w:tab w:val="left" w:pos="720"/>
        </w:tabs>
        <w:ind w:left="20" w:hanging="20"/>
      </w:pPr>
      <w:bookmarkStart w:id="10" w:name="_Toc414533446"/>
      <w:r>
        <w:br w:type="page"/>
      </w:r>
    </w:p>
    <w:p w14:paraId="1B2EFD2F" w14:textId="04B7527D" w:rsidR="00161A69" w:rsidRPr="00161A69" w:rsidRDefault="00161A69" w:rsidP="00D727BF">
      <w:pPr>
        <w:pStyle w:val="Heading1"/>
        <w:tabs>
          <w:tab w:val="left" w:pos="720"/>
        </w:tabs>
        <w:ind w:left="20" w:hanging="20"/>
      </w:pPr>
      <w:bookmarkStart w:id="11" w:name="_Toc444877489"/>
      <w:bookmarkStart w:id="12" w:name="_Toc445450264"/>
      <w:r w:rsidRPr="00161A69">
        <w:lastRenderedPageBreak/>
        <w:t xml:space="preserve">Executive </w:t>
      </w:r>
      <w:r w:rsidR="00E04097">
        <w:t>S</w:t>
      </w:r>
      <w:r w:rsidRPr="00161A69">
        <w:t>ummary</w:t>
      </w:r>
      <w:bookmarkEnd w:id="10"/>
      <w:bookmarkEnd w:id="11"/>
      <w:bookmarkEnd w:id="12"/>
    </w:p>
    <w:p w14:paraId="7B25C621" w14:textId="3C5BF872" w:rsidR="00EC5F54" w:rsidRDefault="00161A69" w:rsidP="00D727BF">
      <w:pPr>
        <w:tabs>
          <w:tab w:val="left" w:pos="720"/>
        </w:tabs>
        <w:spacing w:after="0"/>
        <w:ind w:left="20" w:hanging="20"/>
      </w:pPr>
      <w:r>
        <w:rPr>
          <w:b/>
          <w:sz w:val="22"/>
          <w:lang w:val="en-GB"/>
        </w:rPr>
        <w:t xml:space="preserve"> </w:t>
      </w:r>
    </w:p>
    <w:p w14:paraId="1165B642" w14:textId="2533F69B" w:rsidR="00980400" w:rsidRPr="00044ADB" w:rsidRDefault="007E45C5" w:rsidP="00D727BF">
      <w:pPr>
        <w:pStyle w:val="ParagraphNumbering"/>
        <w:numPr>
          <w:ilvl w:val="0"/>
          <w:numId w:val="0"/>
        </w:numPr>
        <w:tabs>
          <w:tab w:val="left" w:pos="720"/>
        </w:tabs>
        <w:spacing w:after="240"/>
      </w:pPr>
      <w:bookmarkStart w:id="13" w:name="_Toc414533447"/>
      <w:r>
        <w:rPr>
          <w:b/>
        </w:rPr>
        <w:tab/>
      </w:r>
      <w:r w:rsidR="00980400" w:rsidRPr="00704D3C">
        <w:rPr>
          <w:b/>
        </w:rPr>
        <w:t>The Nigerian economy has experienced significant economic growth over the last decade.</w:t>
      </w:r>
      <w:r w:rsidR="00F428F9">
        <w:rPr>
          <w:b/>
        </w:rPr>
        <w:t xml:space="preserve"> </w:t>
      </w:r>
      <w:r w:rsidR="00D92377" w:rsidRPr="00D92377">
        <w:t>According to the latest national statistics,</w:t>
      </w:r>
      <w:r w:rsidR="00D92377">
        <w:rPr>
          <w:b/>
        </w:rPr>
        <w:t xml:space="preserve"> </w:t>
      </w:r>
      <w:r w:rsidR="00980400" w:rsidRPr="00704D3C">
        <w:t xml:space="preserve">GDP growth averaged 5.3 percent </w:t>
      </w:r>
      <w:r w:rsidR="00E47A43">
        <w:t>from 2011 to 2014</w:t>
      </w:r>
      <w:r w:rsidR="00980400" w:rsidRPr="00704D3C">
        <w:t>, and in 2014</w:t>
      </w:r>
      <w:r w:rsidR="00CB743D">
        <w:t>,</w:t>
      </w:r>
      <w:r w:rsidR="00E47A43">
        <w:t xml:space="preserve"> when GDP grew </w:t>
      </w:r>
      <w:r w:rsidR="00E47A43" w:rsidRPr="00704D3C">
        <w:t>at 6.2 percent</w:t>
      </w:r>
      <w:r w:rsidR="00980400" w:rsidRPr="00704D3C">
        <w:t xml:space="preserve">, most </w:t>
      </w:r>
      <w:r w:rsidR="005B4989">
        <w:t>of the growth was</w:t>
      </w:r>
      <w:r w:rsidR="00E47A43">
        <w:t xml:space="preserve"> attributed to </w:t>
      </w:r>
      <w:r w:rsidR="00980400" w:rsidRPr="00704D3C">
        <w:t>manufacturing, construction, trade, and service</w:t>
      </w:r>
      <w:r w:rsidR="00E47A43">
        <w:t xml:space="preserve"> sectors</w:t>
      </w:r>
      <w:r w:rsidR="00980400" w:rsidRPr="00704D3C">
        <w:t>.</w:t>
      </w:r>
      <w:r w:rsidR="00F428F9">
        <w:t xml:space="preserve"> </w:t>
      </w:r>
      <w:r w:rsidR="00980400" w:rsidRPr="00704D3C">
        <w:t xml:space="preserve">However, the economy remains highly </w:t>
      </w:r>
      <w:r w:rsidR="00E47A43">
        <w:t xml:space="preserve">exposed </w:t>
      </w:r>
      <w:r w:rsidR="00980400" w:rsidRPr="00704D3C">
        <w:t xml:space="preserve">to </w:t>
      </w:r>
      <w:r w:rsidR="00E47A43">
        <w:t xml:space="preserve">fluctuations </w:t>
      </w:r>
      <w:r w:rsidR="00980400" w:rsidRPr="00704D3C">
        <w:t>in the international oil market.</w:t>
      </w:r>
      <w:r w:rsidR="00F428F9">
        <w:t xml:space="preserve"> </w:t>
      </w:r>
      <w:r w:rsidR="00980400" w:rsidRPr="00704D3C">
        <w:rPr>
          <w:rFonts w:eastAsia="Calibri"/>
        </w:rPr>
        <w:t xml:space="preserve">Oil prices </w:t>
      </w:r>
      <w:r w:rsidR="00E47A43">
        <w:rPr>
          <w:rFonts w:eastAsia="Calibri"/>
        </w:rPr>
        <w:t xml:space="preserve">in </w:t>
      </w:r>
      <w:r w:rsidR="00980400" w:rsidRPr="00704D3C">
        <w:rPr>
          <w:rFonts w:eastAsia="Calibri"/>
        </w:rPr>
        <w:t xml:space="preserve">international markets have fallen from </w:t>
      </w:r>
      <w:r w:rsidR="00E47A43">
        <w:rPr>
          <w:rFonts w:eastAsia="Calibri"/>
        </w:rPr>
        <w:t xml:space="preserve">approximately </w:t>
      </w:r>
      <w:r w:rsidR="00980400" w:rsidRPr="00704D3C">
        <w:rPr>
          <w:rFonts w:eastAsia="Calibri"/>
        </w:rPr>
        <w:t xml:space="preserve">US$115 per barrel in June 2014 to </w:t>
      </w:r>
      <w:r w:rsidR="00E47A43">
        <w:rPr>
          <w:rFonts w:eastAsia="Calibri"/>
        </w:rPr>
        <w:t xml:space="preserve">approximately </w:t>
      </w:r>
      <w:r w:rsidR="00980400" w:rsidRPr="00704D3C">
        <w:rPr>
          <w:rFonts w:eastAsia="Calibri"/>
        </w:rPr>
        <w:t>US$</w:t>
      </w:r>
      <w:r w:rsidR="002C2A65">
        <w:rPr>
          <w:rFonts w:eastAsia="Calibri"/>
        </w:rPr>
        <w:t>40</w:t>
      </w:r>
      <w:r w:rsidR="002C2A65" w:rsidRPr="00704D3C">
        <w:rPr>
          <w:rFonts w:eastAsia="Calibri"/>
        </w:rPr>
        <w:t xml:space="preserve"> </w:t>
      </w:r>
      <w:r w:rsidR="00980400" w:rsidRPr="00704D3C">
        <w:rPr>
          <w:rFonts w:eastAsia="Calibri"/>
        </w:rPr>
        <w:t>per barrel today</w:t>
      </w:r>
      <w:r w:rsidR="00396891">
        <w:rPr>
          <w:rFonts w:eastAsia="Calibri"/>
        </w:rPr>
        <w:t>.</w:t>
      </w:r>
      <w:r w:rsidR="002C2A65">
        <w:rPr>
          <w:rStyle w:val="FootnoteReference"/>
          <w:rFonts w:eastAsia="Calibri"/>
        </w:rPr>
        <w:footnoteReference w:id="1"/>
      </w:r>
      <w:r w:rsidR="00980400" w:rsidRPr="00704D3C">
        <w:rPr>
          <w:rFonts w:eastAsia="Calibri"/>
        </w:rPr>
        <w:t xml:space="preserve"> The impacts on the macro economy can already be observed.</w:t>
      </w:r>
      <w:r w:rsidR="00980400" w:rsidRPr="00117EAB">
        <w:rPr>
          <w:rStyle w:val="FootnoteReference"/>
          <w:rFonts w:eastAsia="Calibri"/>
        </w:rPr>
        <w:footnoteReference w:id="2"/>
      </w:r>
      <w:r w:rsidR="005B4989">
        <w:rPr>
          <w:rFonts w:eastAsia="Calibri"/>
        </w:rPr>
        <w:t xml:space="preserve"> There is an urgency to diversify the Nigerian economy.</w:t>
      </w:r>
      <w:r w:rsidR="00980400" w:rsidRPr="00117EAB">
        <w:rPr>
          <w:rFonts w:eastAsia="Calibri"/>
          <w:vertAlign w:val="superscript"/>
        </w:rPr>
        <w:t xml:space="preserve"> </w:t>
      </w:r>
    </w:p>
    <w:p w14:paraId="637C3049" w14:textId="1030946B" w:rsidR="00044ADB" w:rsidRPr="00704D3C" w:rsidRDefault="007E45C5" w:rsidP="00D727BF">
      <w:pPr>
        <w:pStyle w:val="ParagraphNumbering"/>
        <w:numPr>
          <w:ilvl w:val="0"/>
          <w:numId w:val="0"/>
        </w:numPr>
        <w:tabs>
          <w:tab w:val="left" w:pos="720"/>
        </w:tabs>
        <w:spacing w:after="240"/>
      </w:pPr>
      <w:r>
        <w:rPr>
          <w:b/>
        </w:rPr>
        <w:tab/>
      </w:r>
      <w:r w:rsidR="00044ADB" w:rsidRPr="00704D3C">
        <w:rPr>
          <w:b/>
        </w:rPr>
        <w:t xml:space="preserve">Economic </w:t>
      </w:r>
      <w:r w:rsidR="00044ADB">
        <w:rPr>
          <w:b/>
        </w:rPr>
        <w:t xml:space="preserve">opportunities seem to vary widely across the country. </w:t>
      </w:r>
      <w:r w:rsidR="00044ADB" w:rsidRPr="00044ADB">
        <w:t>Economic activit</w:t>
      </w:r>
      <w:r w:rsidR="004F561D">
        <w:t>y</w:t>
      </w:r>
      <w:r w:rsidR="00044ADB" w:rsidRPr="00044ADB">
        <w:t xml:space="preserve"> in Nigeria</w:t>
      </w:r>
      <w:r w:rsidR="004F561D">
        <w:t xml:space="preserve"> is significantly more concentrated </w:t>
      </w:r>
      <w:r w:rsidR="00044ADB" w:rsidRPr="00044ADB">
        <w:t xml:space="preserve">in the </w:t>
      </w:r>
      <w:r w:rsidR="00E47A43">
        <w:t>s</w:t>
      </w:r>
      <w:r w:rsidR="00044ADB" w:rsidRPr="00044ADB">
        <w:t xml:space="preserve">outhern part of the country, with the exception of Kano in the </w:t>
      </w:r>
      <w:r w:rsidR="00E47A43">
        <w:t>n</w:t>
      </w:r>
      <w:r w:rsidR="00044ADB" w:rsidRPr="00044ADB">
        <w:t>orth.</w:t>
      </w:r>
      <w:r w:rsidR="00044ADB" w:rsidRPr="00704D3C">
        <w:rPr>
          <w:b/>
        </w:rPr>
        <w:t xml:space="preserve"> </w:t>
      </w:r>
      <w:r w:rsidR="00044ADB" w:rsidRPr="00704D3C">
        <w:t xml:space="preserve">Using night lights data as a proxy for economic activity, the data reveal a progressive convergence of the less economically vibrant </w:t>
      </w:r>
      <w:r w:rsidR="00E47A43">
        <w:t>c</w:t>
      </w:r>
      <w:r w:rsidR="00044ADB" w:rsidRPr="00704D3C">
        <w:t xml:space="preserve">entral and </w:t>
      </w:r>
      <w:r w:rsidR="00E47A43">
        <w:t>n</w:t>
      </w:r>
      <w:r w:rsidR="00044ADB" w:rsidRPr="00704D3C">
        <w:t xml:space="preserve">orthern regions </w:t>
      </w:r>
      <w:r w:rsidR="00396891">
        <w:t>toward</w:t>
      </w:r>
      <w:r w:rsidR="00044ADB" w:rsidRPr="00704D3C">
        <w:t xml:space="preserve"> the </w:t>
      </w:r>
      <w:r w:rsidR="00E47A43">
        <w:t>s</w:t>
      </w:r>
      <w:r w:rsidR="00044ADB" w:rsidRPr="00704D3C">
        <w:t>outh</w:t>
      </w:r>
      <w:r w:rsidR="00044ADB">
        <w:t xml:space="preserve"> during the last decade (</w:t>
      </w:r>
      <w:r w:rsidR="00AF68F9">
        <w:t>map 1</w:t>
      </w:r>
      <w:r w:rsidR="00044ADB">
        <w:t>)</w:t>
      </w:r>
      <w:r w:rsidR="00044ADB" w:rsidRPr="00704D3C">
        <w:t xml:space="preserve">. </w:t>
      </w:r>
      <w:r w:rsidR="00044ADB">
        <w:t>The same data</w:t>
      </w:r>
      <w:r w:rsidR="00044ADB" w:rsidRPr="00704D3C">
        <w:t xml:space="preserve">, however, indicate that </w:t>
      </w:r>
      <w:r w:rsidR="00E47A43">
        <w:t xml:space="preserve">this trend has </w:t>
      </w:r>
      <w:r w:rsidR="00044ADB" w:rsidRPr="00704D3C">
        <w:t>slowed in recent years (</w:t>
      </w:r>
      <w:r w:rsidR="00AF68F9">
        <w:t>map 2</w:t>
      </w:r>
      <w:r w:rsidR="00BA7860">
        <w:t>)</w:t>
      </w:r>
      <w:r w:rsidR="00E47A43">
        <w:t xml:space="preserve">. </w:t>
      </w:r>
      <w:r w:rsidR="00044ADB" w:rsidRPr="00704D3C">
        <w:t xml:space="preserve">As a result, most economic activities are still located in </w:t>
      </w:r>
      <w:r w:rsidR="00E47A43">
        <w:t>s</w:t>
      </w:r>
      <w:r w:rsidR="00044ADB" w:rsidRPr="00704D3C">
        <w:t xml:space="preserve">outhern Nigeria, with the exception of </w:t>
      </w:r>
      <w:r w:rsidR="00F40A01">
        <w:t xml:space="preserve">several growth concentrations in </w:t>
      </w:r>
      <w:r w:rsidR="00044ADB" w:rsidRPr="00704D3C">
        <w:t>Abuja, Kano, Kaduna, Jos</w:t>
      </w:r>
      <w:r w:rsidR="00CB743D">
        <w:t>,</w:t>
      </w:r>
      <w:r w:rsidR="00044ADB" w:rsidRPr="00704D3C">
        <w:t xml:space="preserve"> and Sokoto.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4500"/>
      </w:tblGrid>
      <w:tr w:rsidR="00044ADB" w:rsidRPr="006810BE" w14:paraId="47197713" w14:textId="77777777" w:rsidTr="0054763D">
        <w:tc>
          <w:tcPr>
            <w:tcW w:w="4860" w:type="dxa"/>
          </w:tcPr>
          <w:p w14:paraId="2545F8A4" w14:textId="278380D0" w:rsidR="00A61034" w:rsidRDefault="00044ADB" w:rsidP="00D727BF">
            <w:pPr>
              <w:pStyle w:val="Caption"/>
              <w:keepNext/>
              <w:tabs>
                <w:tab w:val="left" w:pos="720"/>
              </w:tabs>
              <w:ind w:left="20" w:hanging="20"/>
              <w:jc w:val="center"/>
              <w:rPr>
                <w:szCs w:val="20"/>
              </w:rPr>
            </w:pPr>
            <w:bookmarkStart w:id="14" w:name="_Ref440379679"/>
            <w:bookmarkStart w:id="15" w:name="_Toc445132402"/>
            <w:r w:rsidRPr="006810BE">
              <w:rPr>
                <w:szCs w:val="20"/>
              </w:rPr>
              <w:t xml:space="preserve">Map </w:t>
            </w:r>
            <w:r w:rsidRPr="006810BE">
              <w:rPr>
                <w:szCs w:val="20"/>
              </w:rPr>
              <w:fldChar w:fldCharType="begin"/>
            </w:r>
            <w:r w:rsidRPr="006810BE">
              <w:rPr>
                <w:szCs w:val="20"/>
              </w:rPr>
              <w:instrText xml:space="preserve"> SEQ Map \* ARABIC </w:instrText>
            </w:r>
            <w:r w:rsidRPr="006810BE">
              <w:rPr>
                <w:szCs w:val="20"/>
              </w:rPr>
              <w:fldChar w:fldCharType="separate"/>
            </w:r>
            <w:r w:rsidR="008A3BBD">
              <w:rPr>
                <w:noProof/>
                <w:szCs w:val="20"/>
              </w:rPr>
              <w:t>1</w:t>
            </w:r>
            <w:r w:rsidRPr="006810BE">
              <w:rPr>
                <w:szCs w:val="20"/>
              </w:rPr>
              <w:fldChar w:fldCharType="end"/>
            </w:r>
            <w:bookmarkEnd w:id="14"/>
            <w:r w:rsidRPr="006810BE">
              <w:rPr>
                <w:szCs w:val="20"/>
              </w:rPr>
              <w:t xml:space="preserve">: </w:t>
            </w:r>
            <w:r>
              <w:rPr>
                <w:szCs w:val="20"/>
              </w:rPr>
              <w:t xml:space="preserve">Proxy for </w:t>
            </w:r>
            <w:r w:rsidRPr="006810BE">
              <w:rPr>
                <w:szCs w:val="20"/>
              </w:rPr>
              <w:t xml:space="preserve">Economic </w:t>
            </w:r>
            <w:r w:rsidR="00CB743D">
              <w:rPr>
                <w:szCs w:val="20"/>
              </w:rPr>
              <w:t>A</w:t>
            </w:r>
            <w:r w:rsidRPr="006810BE">
              <w:rPr>
                <w:szCs w:val="20"/>
              </w:rPr>
              <w:t xml:space="preserve">ctivity </w:t>
            </w:r>
            <w:r w:rsidR="00CB743D">
              <w:rPr>
                <w:szCs w:val="20"/>
              </w:rPr>
              <w:t>G</w:t>
            </w:r>
            <w:r w:rsidRPr="006810BE">
              <w:rPr>
                <w:szCs w:val="20"/>
              </w:rPr>
              <w:t>rowth</w:t>
            </w:r>
            <w:r w:rsidR="001B53A6">
              <w:rPr>
                <w:szCs w:val="20"/>
              </w:rPr>
              <w:t>,</w:t>
            </w:r>
          </w:p>
          <w:p w14:paraId="253EFC28" w14:textId="01735E13" w:rsidR="00CB743D" w:rsidRDefault="001B53A6" w:rsidP="00D727BF">
            <w:pPr>
              <w:pStyle w:val="Caption"/>
              <w:keepNext/>
              <w:tabs>
                <w:tab w:val="left" w:pos="720"/>
              </w:tabs>
              <w:ind w:left="20" w:hanging="20"/>
              <w:jc w:val="center"/>
              <w:rPr>
                <w:szCs w:val="20"/>
              </w:rPr>
            </w:pPr>
            <w:r>
              <w:rPr>
                <w:szCs w:val="20"/>
              </w:rPr>
              <w:t>o</w:t>
            </w:r>
            <w:r w:rsidR="00044ADB" w:rsidRPr="006810BE">
              <w:rPr>
                <w:szCs w:val="20"/>
              </w:rPr>
              <w:t xml:space="preserve">ver the </w:t>
            </w:r>
            <w:r w:rsidR="00CB743D">
              <w:rPr>
                <w:szCs w:val="20"/>
              </w:rPr>
              <w:t>P</w:t>
            </w:r>
            <w:r w:rsidR="00044ADB" w:rsidRPr="006810BE">
              <w:rPr>
                <w:szCs w:val="20"/>
              </w:rPr>
              <w:t>eriod 2003</w:t>
            </w:r>
            <w:r w:rsidR="00CB743D">
              <w:rPr>
                <w:rFonts w:ascii="Calibri" w:hAnsi="Calibri"/>
                <w:szCs w:val="20"/>
              </w:rPr>
              <w:t>‒</w:t>
            </w:r>
            <w:r w:rsidR="00044ADB" w:rsidRPr="006810BE">
              <w:rPr>
                <w:szCs w:val="20"/>
              </w:rPr>
              <w:t>2012</w:t>
            </w:r>
            <w:bookmarkEnd w:id="15"/>
          </w:p>
          <w:p w14:paraId="19CEA904" w14:textId="41ECA8B6" w:rsidR="00044ADB" w:rsidRPr="006810BE" w:rsidRDefault="00044ADB" w:rsidP="00D727BF">
            <w:pPr>
              <w:pStyle w:val="Caption"/>
              <w:keepNext/>
              <w:tabs>
                <w:tab w:val="left" w:pos="720"/>
              </w:tabs>
              <w:ind w:left="20" w:hanging="20"/>
              <w:jc w:val="center"/>
            </w:pPr>
            <w:r w:rsidRPr="00CB743D">
              <w:rPr>
                <w:b w:val="0"/>
                <w:color w:val="auto"/>
                <w:szCs w:val="20"/>
              </w:rPr>
              <w:t>Average nighttime light intensity growth</w:t>
            </w:r>
            <w:r w:rsidRPr="00CB743D">
              <w:rPr>
                <w:color w:val="auto"/>
              </w:rPr>
              <w:t xml:space="preserve"> </w:t>
            </w:r>
            <w:r w:rsidRPr="006810BE">
              <w:rPr>
                <w:noProof/>
              </w:rPr>
              <w:drawing>
                <wp:inline distT="0" distB="0" distL="0" distR="0" wp14:anchorId="761C89E0" wp14:editId="3FE24C3D">
                  <wp:extent cx="2943225" cy="2354580"/>
                  <wp:effectExtent l="0" t="0" r="9525"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7642" cy="2358114"/>
                          </a:xfrm>
                          <a:prstGeom prst="rect">
                            <a:avLst/>
                          </a:prstGeom>
                          <a:noFill/>
                          <a:ln>
                            <a:noFill/>
                          </a:ln>
                          <a:extLst/>
                        </pic:spPr>
                      </pic:pic>
                    </a:graphicData>
                  </a:graphic>
                </wp:inline>
              </w:drawing>
            </w:r>
          </w:p>
        </w:tc>
        <w:tc>
          <w:tcPr>
            <w:tcW w:w="4500" w:type="dxa"/>
          </w:tcPr>
          <w:p w14:paraId="2BE1E596" w14:textId="55F3071F" w:rsidR="00CB743D" w:rsidRPr="00A61034" w:rsidRDefault="00044ADB" w:rsidP="00D727BF">
            <w:pPr>
              <w:pStyle w:val="Caption"/>
              <w:keepNext/>
              <w:tabs>
                <w:tab w:val="left" w:pos="720"/>
              </w:tabs>
              <w:ind w:left="20" w:hanging="20"/>
              <w:jc w:val="center"/>
              <w:rPr>
                <w:szCs w:val="20"/>
              </w:rPr>
            </w:pPr>
            <w:bookmarkStart w:id="16" w:name="_Ref440379696"/>
            <w:bookmarkStart w:id="17" w:name="_Toc445132403"/>
            <w:r w:rsidRPr="006810BE">
              <w:rPr>
                <w:szCs w:val="20"/>
              </w:rPr>
              <w:t xml:space="preserve">Map </w:t>
            </w:r>
            <w:r w:rsidRPr="006810BE">
              <w:rPr>
                <w:szCs w:val="20"/>
              </w:rPr>
              <w:fldChar w:fldCharType="begin"/>
            </w:r>
            <w:r w:rsidRPr="006810BE">
              <w:rPr>
                <w:szCs w:val="20"/>
              </w:rPr>
              <w:instrText xml:space="preserve"> SEQ Map \* ARABIC </w:instrText>
            </w:r>
            <w:r w:rsidRPr="006810BE">
              <w:rPr>
                <w:szCs w:val="20"/>
              </w:rPr>
              <w:fldChar w:fldCharType="separate"/>
            </w:r>
            <w:r w:rsidR="008A3BBD">
              <w:rPr>
                <w:noProof/>
                <w:szCs w:val="20"/>
              </w:rPr>
              <w:t>2</w:t>
            </w:r>
            <w:r w:rsidRPr="006810BE">
              <w:rPr>
                <w:szCs w:val="20"/>
              </w:rPr>
              <w:fldChar w:fldCharType="end"/>
            </w:r>
            <w:bookmarkEnd w:id="16"/>
            <w:r w:rsidRPr="006810BE">
              <w:rPr>
                <w:szCs w:val="20"/>
              </w:rPr>
              <w:t xml:space="preserve">: </w:t>
            </w:r>
            <w:r>
              <w:rPr>
                <w:szCs w:val="20"/>
              </w:rPr>
              <w:t xml:space="preserve">Proxy for </w:t>
            </w:r>
            <w:r w:rsidRPr="006810BE">
              <w:rPr>
                <w:szCs w:val="20"/>
              </w:rPr>
              <w:t xml:space="preserve">Economic </w:t>
            </w:r>
            <w:r w:rsidR="00CB743D">
              <w:rPr>
                <w:szCs w:val="20"/>
              </w:rPr>
              <w:t>A</w:t>
            </w:r>
            <w:r w:rsidRPr="006810BE">
              <w:rPr>
                <w:szCs w:val="20"/>
              </w:rPr>
              <w:t xml:space="preserve">ctivity </w:t>
            </w:r>
            <w:r w:rsidR="00CB743D">
              <w:rPr>
                <w:szCs w:val="20"/>
              </w:rPr>
              <w:t>G</w:t>
            </w:r>
            <w:r w:rsidRPr="006810BE">
              <w:rPr>
                <w:szCs w:val="20"/>
              </w:rPr>
              <w:t>rowth</w:t>
            </w:r>
            <w:r w:rsidR="001B53A6">
              <w:rPr>
                <w:szCs w:val="20"/>
              </w:rPr>
              <w:t>, o</w:t>
            </w:r>
            <w:r w:rsidRPr="006810BE">
              <w:rPr>
                <w:szCs w:val="20"/>
              </w:rPr>
              <w:t xml:space="preserve">ver the </w:t>
            </w:r>
            <w:r w:rsidR="00CB743D">
              <w:rPr>
                <w:szCs w:val="20"/>
              </w:rPr>
              <w:t>P</w:t>
            </w:r>
            <w:r w:rsidRPr="006810BE">
              <w:rPr>
                <w:szCs w:val="20"/>
              </w:rPr>
              <w:t>eriod 2009</w:t>
            </w:r>
            <w:r w:rsidR="00CB743D">
              <w:rPr>
                <w:rFonts w:ascii="Calibri" w:hAnsi="Calibri"/>
                <w:szCs w:val="20"/>
              </w:rPr>
              <w:t>‒</w:t>
            </w:r>
            <w:r w:rsidRPr="006810BE">
              <w:rPr>
                <w:szCs w:val="20"/>
              </w:rPr>
              <w:t>2012</w:t>
            </w:r>
            <w:bookmarkEnd w:id="17"/>
          </w:p>
          <w:p w14:paraId="112EAFC3" w14:textId="29052758" w:rsidR="00044ADB" w:rsidRPr="006810BE" w:rsidRDefault="00044ADB" w:rsidP="00D727BF">
            <w:pPr>
              <w:tabs>
                <w:tab w:val="left" w:pos="720"/>
              </w:tabs>
              <w:spacing w:after="0"/>
              <w:ind w:left="20" w:hanging="20"/>
              <w:jc w:val="center"/>
              <w:rPr>
                <w:rFonts w:ascii="Trebuchet MS" w:hAnsi="Trebuchet MS"/>
              </w:rPr>
            </w:pPr>
            <w:r w:rsidRPr="006810BE">
              <w:rPr>
                <w:rFonts w:ascii="Trebuchet MS" w:hAnsi="Trebuchet MS"/>
                <w:sz w:val="20"/>
                <w:szCs w:val="20"/>
              </w:rPr>
              <w:t>Average nighttime light intensity growth</w:t>
            </w:r>
            <w:r w:rsidRPr="006810BE">
              <w:rPr>
                <w:rFonts w:ascii="Trebuchet MS" w:hAnsi="Trebuchet MS"/>
                <w:noProof/>
              </w:rPr>
              <w:drawing>
                <wp:inline distT="0" distB="0" distL="0" distR="0" wp14:anchorId="67938F5B" wp14:editId="22EF960A">
                  <wp:extent cx="2939885" cy="23526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1836" cy="2354236"/>
                          </a:xfrm>
                          <a:prstGeom prst="rect">
                            <a:avLst/>
                          </a:prstGeom>
                          <a:noFill/>
                          <a:ln>
                            <a:noFill/>
                          </a:ln>
                          <a:extLst/>
                        </pic:spPr>
                      </pic:pic>
                    </a:graphicData>
                  </a:graphic>
                </wp:inline>
              </w:drawing>
            </w:r>
          </w:p>
        </w:tc>
      </w:tr>
    </w:tbl>
    <w:p w14:paraId="36F9E653" w14:textId="45C32D51" w:rsidR="00044ADB" w:rsidRPr="001845F3" w:rsidRDefault="00044ADB" w:rsidP="00D727BF">
      <w:pPr>
        <w:pStyle w:val="FootnoteText"/>
        <w:tabs>
          <w:tab w:val="left" w:pos="720"/>
        </w:tabs>
        <w:rPr>
          <w:rFonts w:ascii="Times New Roman" w:hAnsi="Times New Roman"/>
        </w:rPr>
      </w:pPr>
      <w:r w:rsidRPr="001845F3">
        <w:rPr>
          <w:rFonts w:ascii="Times New Roman" w:hAnsi="Times New Roman"/>
        </w:rPr>
        <w:t>Source: Authors</w:t>
      </w:r>
      <w:r w:rsidR="00863D16">
        <w:rPr>
          <w:rFonts w:ascii="Times New Roman" w:hAnsi="Times New Roman"/>
        </w:rPr>
        <w:t>’</w:t>
      </w:r>
      <w:r w:rsidRPr="001845F3">
        <w:rPr>
          <w:rFonts w:ascii="Times New Roman" w:hAnsi="Times New Roman"/>
        </w:rPr>
        <w:t xml:space="preserve"> calculations based on Defense Meteorological Satellite Program (DMSP) data</w:t>
      </w:r>
    </w:p>
    <w:p w14:paraId="5E5C2CA2" w14:textId="77777777" w:rsidR="00AF68F9" w:rsidRPr="001845F3" w:rsidRDefault="00AF68F9" w:rsidP="00D727BF">
      <w:pPr>
        <w:pStyle w:val="FootnoteText"/>
        <w:tabs>
          <w:tab w:val="left" w:pos="720"/>
        </w:tabs>
        <w:spacing w:after="0"/>
        <w:rPr>
          <w:rFonts w:ascii="Times New Roman" w:hAnsi="Times New Roman"/>
        </w:rPr>
      </w:pPr>
      <w:r w:rsidRPr="001845F3">
        <w:rPr>
          <w:rFonts w:ascii="Times New Roman" w:hAnsi="Times New Roman"/>
        </w:rPr>
        <w:t xml:space="preserve">Note: Nighttime lights are used as a proxy for economic activity, following the work done by Henderson et al. (2012) and Michalopoulos and Papaioannou (2013). </w:t>
      </w:r>
      <w:r>
        <w:rPr>
          <w:rFonts w:ascii="Times New Roman" w:hAnsi="Times New Roman"/>
        </w:rPr>
        <w:t>These data are</w:t>
      </w:r>
      <w:r w:rsidRPr="001845F3">
        <w:rPr>
          <w:rFonts w:ascii="Times New Roman" w:hAnsi="Times New Roman"/>
        </w:rPr>
        <w:t xml:space="preserve"> collected by satellite images every night and averaged over the course of the year. Each </w:t>
      </w:r>
      <w:r>
        <w:rPr>
          <w:rFonts w:ascii="Times New Roman" w:hAnsi="Times New Roman"/>
        </w:rPr>
        <w:t xml:space="preserve">geographic </w:t>
      </w:r>
      <w:r w:rsidRPr="001845F3">
        <w:rPr>
          <w:rFonts w:ascii="Times New Roman" w:hAnsi="Times New Roman"/>
        </w:rPr>
        <w:t xml:space="preserve">cell constitutes a pixel of roughly one square kilometer. The intensity </w:t>
      </w:r>
      <w:r>
        <w:rPr>
          <w:rFonts w:ascii="Times New Roman" w:hAnsi="Times New Roman"/>
        </w:rPr>
        <w:t xml:space="preserve">of each pixel </w:t>
      </w:r>
      <w:r w:rsidRPr="001845F3">
        <w:rPr>
          <w:rFonts w:ascii="Times New Roman" w:hAnsi="Times New Roman"/>
        </w:rPr>
        <w:t xml:space="preserve">is reported as a number ranging from </w:t>
      </w:r>
      <w:r>
        <w:rPr>
          <w:rFonts w:ascii="Times New Roman" w:hAnsi="Times New Roman"/>
        </w:rPr>
        <w:t>zero to sixty-three</w:t>
      </w:r>
      <w:r w:rsidRPr="001845F3">
        <w:rPr>
          <w:rFonts w:ascii="Times New Roman" w:hAnsi="Times New Roman"/>
        </w:rPr>
        <w:t xml:space="preserve">, </w:t>
      </w:r>
      <w:r>
        <w:rPr>
          <w:rFonts w:ascii="Times New Roman" w:hAnsi="Times New Roman"/>
        </w:rPr>
        <w:t xml:space="preserve">where </w:t>
      </w:r>
      <w:r w:rsidRPr="001845F3">
        <w:rPr>
          <w:rFonts w:ascii="Times New Roman" w:hAnsi="Times New Roman"/>
        </w:rPr>
        <w:t xml:space="preserve">every observation above </w:t>
      </w:r>
      <w:r>
        <w:rPr>
          <w:rFonts w:ascii="Times New Roman" w:hAnsi="Times New Roman"/>
        </w:rPr>
        <w:t>sixty-three</w:t>
      </w:r>
      <w:r w:rsidRPr="001845F3">
        <w:rPr>
          <w:rFonts w:ascii="Times New Roman" w:hAnsi="Times New Roman"/>
        </w:rPr>
        <w:t xml:space="preserve"> is capped at </w:t>
      </w:r>
      <w:r>
        <w:rPr>
          <w:rFonts w:ascii="Times New Roman" w:hAnsi="Times New Roman"/>
        </w:rPr>
        <w:t>sixty-three</w:t>
      </w:r>
      <w:r w:rsidRPr="001845F3">
        <w:rPr>
          <w:rFonts w:ascii="Times New Roman" w:hAnsi="Times New Roman"/>
        </w:rPr>
        <w:t xml:space="preserve">. </w:t>
      </w:r>
      <w:r>
        <w:rPr>
          <w:rFonts w:ascii="Times New Roman" w:hAnsi="Times New Roman"/>
        </w:rPr>
        <w:t>I</w:t>
      </w:r>
      <w:r w:rsidRPr="001845F3">
        <w:rPr>
          <w:rFonts w:ascii="Times New Roman" w:hAnsi="Times New Roman"/>
        </w:rPr>
        <w:t xml:space="preserve">ntensity for each state is the average intensity of all cells that constitute a state. </w:t>
      </w:r>
    </w:p>
    <w:p w14:paraId="060DCFAE" w14:textId="1244833C" w:rsidR="00980400" w:rsidRPr="00704D3C" w:rsidRDefault="007E45C5" w:rsidP="00D727BF">
      <w:pPr>
        <w:pStyle w:val="ParagraphNumbering"/>
        <w:numPr>
          <w:ilvl w:val="0"/>
          <w:numId w:val="0"/>
        </w:numPr>
        <w:tabs>
          <w:tab w:val="left" w:pos="720"/>
        </w:tabs>
        <w:spacing w:after="240"/>
      </w:pPr>
      <w:r>
        <w:lastRenderedPageBreak/>
        <w:tab/>
      </w:r>
      <w:r w:rsidR="004F561D">
        <w:rPr>
          <w:b/>
        </w:rPr>
        <w:t>With a median age of fourteen years old, Nigeria</w:t>
      </w:r>
      <w:r w:rsidR="00863D16">
        <w:rPr>
          <w:b/>
        </w:rPr>
        <w:t>’</w:t>
      </w:r>
      <w:r w:rsidR="004F561D">
        <w:rPr>
          <w:b/>
        </w:rPr>
        <w:t xml:space="preserve">s population of 180 million people will </w:t>
      </w:r>
      <w:r w:rsidR="00980400" w:rsidRPr="00704D3C">
        <w:rPr>
          <w:b/>
        </w:rPr>
        <w:t xml:space="preserve">require an estimated </w:t>
      </w:r>
      <w:r w:rsidR="00775E71">
        <w:rPr>
          <w:b/>
        </w:rPr>
        <w:t>forty</w:t>
      </w:r>
      <w:r w:rsidR="00775E71" w:rsidRPr="00704D3C">
        <w:rPr>
          <w:b/>
        </w:rPr>
        <w:t xml:space="preserve"> </w:t>
      </w:r>
      <w:r w:rsidR="00980400" w:rsidRPr="00704D3C">
        <w:rPr>
          <w:b/>
        </w:rPr>
        <w:t>million new jobs by 2030 to absorb new labor market entrants.</w:t>
      </w:r>
      <w:r w:rsidR="00F428F9">
        <w:t xml:space="preserve"> </w:t>
      </w:r>
      <w:r w:rsidR="00980400" w:rsidRPr="00704D3C">
        <w:t>Nigeria</w:t>
      </w:r>
      <w:r w:rsidR="00863D16">
        <w:t>’</w:t>
      </w:r>
      <w:r w:rsidR="00980400" w:rsidRPr="00704D3C">
        <w:t xml:space="preserve">s population pyramid remains dominated by children and youth, </w:t>
      </w:r>
      <w:r w:rsidR="007C710C">
        <w:t>and w</w:t>
      </w:r>
      <w:r w:rsidR="007C710C" w:rsidRPr="00704D3C">
        <w:t xml:space="preserve">ith </w:t>
      </w:r>
      <w:r w:rsidR="00A61034">
        <w:t>3</w:t>
      </w:r>
      <w:r w:rsidR="00A61034" w:rsidRPr="00704D3C">
        <w:t xml:space="preserve"> </w:t>
      </w:r>
      <w:r w:rsidR="007C710C" w:rsidRPr="00704D3C">
        <w:t xml:space="preserve">percent </w:t>
      </w:r>
      <w:r w:rsidR="007C710C">
        <w:t xml:space="preserve">annual </w:t>
      </w:r>
      <w:r w:rsidR="007C710C" w:rsidRPr="00704D3C">
        <w:t>growth</w:t>
      </w:r>
      <w:r w:rsidR="00316CBD">
        <w:t xml:space="preserve"> </w:t>
      </w:r>
      <w:r w:rsidR="005B4989">
        <w:t>of the</w:t>
      </w:r>
      <w:r w:rsidR="00316CBD">
        <w:t xml:space="preserve"> population</w:t>
      </w:r>
      <w:r w:rsidR="007C710C" w:rsidRPr="00704D3C">
        <w:t xml:space="preserve">, </w:t>
      </w:r>
      <w:r w:rsidR="00316CBD">
        <w:t xml:space="preserve">the </w:t>
      </w:r>
      <w:r w:rsidR="00980400" w:rsidRPr="00704D3C">
        <w:t>working-age population</w:t>
      </w:r>
      <w:r w:rsidR="00316CBD">
        <w:t xml:space="preserve"> in Nigeria is growing disproportionately</w:t>
      </w:r>
      <w:r w:rsidR="00980400" w:rsidRPr="00704D3C">
        <w:t>.</w:t>
      </w:r>
      <w:r w:rsidR="00980400" w:rsidRPr="00117EAB">
        <w:rPr>
          <w:rStyle w:val="FootnoteReference"/>
        </w:rPr>
        <w:footnoteReference w:id="3"/>
      </w:r>
      <w:r w:rsidR="00980400" w:rsidRPr="00704D3C">
        <w:t xml:space="preserve"> While explicit unemployment in Nigeria</w:t>
      </w:r>
      <w:r w:rsidR="00775E71">
        <w:t>—</w:t>
      </w:r>
      <w:r w:rsidR="00980400" w:rsidRPr="00704D3C">
        <w:t>by the ILO definition</w:t>
      </w:r>
      <w:r w:rsidR="00775E71">
        <w:t>—</w:t>
      </w:r>
      <w:r w:rsidR="00980400" w:rsidRPr="00704D3C">
        <w:t xml:space="preserve">appears to be well under </w:t>
      </w:r>
      <w:r w:rsidR="00775E71">
        <w:t>10</w:t>
      </w:r>
      <w:r w:rsidR="00775E71" w:rsidRPr="00704D3C">
        <w:t xml:space="preserve"> </w:t>
      </w:r>
      <w:r w:rsidR="00980400" w:rsidRPr="00704D3C">
        <w:t>percent, low-productivity jobs in agriculture and services currently account for the majority of employment.</w:t>
      </w:r>
      <w:r w:rsidR="00F428F9">
        <w:t xml:space="preserve"> </w:t>
      </w:r>
      <w:r w:rsidR="00AE69B3">
        <w:t>O</w:t>
      </w:r>
      <w:r w:rsidR="00980400" w:rsidRPr="00704D3C">
        <w:t xml:space="preserve">nly </w:t>
      </w:r>
      <w:r w:rsidR="00775E71">
        <w:t>nine</w:t>
      </w:r>
      <w:r w:rsidR="00775E71" w:rsidRPr="00704D3C">
        <w:t xml:space="preserve"> </w:t>
      </w:r>
      <w:r w:rsidR="00980400" w:rsidRPr="00704D3C">
        <w:t xml:space="preserve">million out </w:t>
      </w:r>
      <w:r w:rsidR="00F40A01">
        <w:t xml:space="preserve">of </w:t>
      </w:r>
      <w:r w:rsidR="00775E71">
        <w:t>eighty-seven</w:t>
      </w:r>
      <w:r w:rsidR="00775E71" w:rsidRPr="00704D3C">
        <w:t xml:space="preserve"> </w:t>
      </w:r>
      <w:r w:rsidR="00980400" w:rsidRPr="00704D3C">
        <w:t xml:space="preserve">million working-age adults are indeed wage workers in either the private or the public sector, while the </w:t>
      </w:r>
      <w:r w:rsidR="00F40A01">
        <w:t>rest of the</w:t>
      </w:r>
      <w:r w:rsidR="00980400" w:rsidRPr="00704D3C">
        <w:t xml:space="preserve"> population works in agriculture or is self-employed. The </w:t>
      </w:r>
      <w:r w:rsidR="00775E71">
        <w:t>g</w:t>
      </w:r>
      <w:r w:rsidR="00980400" w:rsidRPr="00704D3C">
        <w:t>overnment</w:t>
      </w:r>
      <w:r w:rsidR="00775E71">
        <w:t>,</w:t>
      </w:r>
      <w:r w:rsidR="00980400" w:rsidRPr="00704D3C">
        <w:t xml:space="preserve"> therefore</w:t>
      </w:r>
      <w:r w:rsidR="00775E71">
        <w:t>,</w:t>
      </w:r>
      <w:r w:rsidR="00980400" w:rsidRPr="00704D3C">
        <w:t xml:space="preserve"> considers the shortage of productive jobs to be the most important current challenge in the country.</w:t>
      </w:r>
      <w:r w:rsidR="00F428F9">
        <w:t xml:space="preserve"> </w:t>
      </w:r>
    </w:p>
    <w:p w14:paraId="15480A14" w14:textId="3C03D6AA" w:rsidR="00EE06FC" w:rsidRDefault="007E45C5" w:rsidP="00D727BF">
      <w:pPr>
        <w:pStyle w:val="ParagraphNumbering"/>
        <w:numPr>
          <w:ilvl w:val="0"/>
          <w:numId w:val="0"/>
        </w:numPr>
        <w:tabs>
          <w:tab w:val="left" w:pos="720"/>
        </w:tabs>
        <w:spacing w:after="240"/>
      </w:pPr>
      <w:r>
        <w:rPr>
          <w:b/>
        </w:rPr>
        <w:tab/>
      </w:r>
      <w:r w:rsidR="00EE06FC" w:rsidRPr="000343E4">
        <w:rPr>
          <w:b/>
        </w:rPr>
        <w:t xml:space="preserve">This report </w:t>
      </w:r>
      <w:r w:rsidR="00391959" w:rsidRPr="000343E4">
        <w:rPr>
          <w:b/>
        </w:rPr>
        <w:t>presents employment in Nigeria from a worker perspective</w:t>
      </w:r>
      <w:r w:rsidR="00D61263">
        <w:rPr>
          <w:b/>
        </w:rPr>
        <w:t xml:space="preserve"> as well as</w:t>
      </w:r>
      <w:r w:rsidR="00391959" w:rsidRPr="000343E4">
        <w:rPr>
          <w:b/>
        </w:rPr>
        <w:t xml:space="preserve"> from a firm perspective.</w:t>
      </w:r>
      <w:r w:rsidR="00391959">
        <w:t xml:space="preserve"> Using recent household data,</w:t>
      </w:r>
      <w:r w:rsidR="00391959" w:rsidRPr="00C759C4">
        <w:t xml:space="preserve"> </w:t>
      </w:r>
      <w:r w:rsidR="00391959">
        <w:t xml:space="preserve">the report complements the </w:t>
      </w:r>
      <w:r w:rsidR="00EE06FC" w:rsidRPr="00C759C4">
        <w:t>report</w:t>
      </w:r>
      <w:r w:rsidR="00EE06FC">
        <w:rPr>
          <w:b/>
        </w:rPr>
        <w:t xml:space="preserve"> </w:t>
      </w:r>
      <w:r w:rsidR="00863D16">
        <w:t>“</w:t>
      </w:r>
      <w:r w:rsidR="00EE06FC" w:rsidRPr="00B34533">
        <w:t>More, and More Productive, Jobs for Nigeria:</w:t>
      </w:r>
      <w:r w:rsidR="00EE06FC">
        <w:t xml:space="preserve"> </w:t>
      </w:r>
      <w:r w:rsidR="002940BF">
        <w:t>a</w:t>
      </w:r>
      <w:r w:rsidR="00EE06FC">
        <w:t xml:space="preserve"> </w:t>
      </w:r>
      <w:r w:rsidR="002940BF">
        <w:t>P</w:t>
      </w:r>
      <w:r w:rsidR="00EE06FC">
        <w:t>rofile of Work and Workers</w:t>
      </w:r>
      <w:r w:rsidR="00863D16">
        <w:t>”</w:t>
      </w:r>
      <w:r w:rsidR="00EE06FC">
        <w:t xml:space="preserve"> (World Bank 2015) </w:t>
      </w:r>
      <w:r w:rsidR="00D61263">
        <w:t>and</w:t>
      </w:r>
      <w:r w:rsidR="00391959">
        <w:t xml:space="preserve"> </w:t>
      </w:r>
      <w:r w:rsidR="00EE06FC">
        <w:t>provide</w:t>
      </w:r>
      <w:r w:rsidR="00D61263">
        <w:t>s</w:t>
      </w:r>
      <w:r w:rsidR="00EE06FC">
        <w:t xml:space="preserve"> an overview of employment opportunities in Nigeria</w:t>
      </w:r>
      <w:r w:rsidR="00F40A01">
        <w:t xml:space="preserve"> from a labor force perspective</w:t>
      </w:r>
      <w:r w:rsidR="00EE06FC">
        <w:t xml:space="preserve">. </w:t>
      </w:r>
      <w:r w:rsidR="00391959">
        <w:t>T</w:t>
      </w:r>
      <w:r w:rsidR="00EE06FC">
        <w:t xml:space="preserve">his report </w:t>
      </w:r>
      <w:r w:rsidR="00391959">
        <w:t xml:space="preserve">also intends to investigate </w:t>
      </w:r>
      <w:r w:rsidR="00D61263">
        <w:t>the job agenda</w:t>
      </w:r>
      <w:r w:rsidR="00391959">
        <w:t xml:space="preserve"> </w:t>
      </w:r>
      <w:r w:rsidR="00EE06FC">
        <w:t>from a firm perspective</w:t>
      </w:r>
      <w:r w:rsidR="00391959">
        <w:t xml:space="preserve"> and represents a </w:t>
      </w:r>
      <w:r w:rsidR="00EE06FC" w:rsidRPr="00C759C4">
        <w:t>first attempt to better understand the drivers of economic diversification, firm growth</w:t>
      </w:r>
      <w:r w:rsidR="00F40A01">
        <w:t>,</w:t>
      </w:r>
      <w:r w:rsidR="00EE06FC" w:rsidRPr="00C759C4">
        <w:t xml:space="preserve"> and employment in Nigeria.</w:t>
      </w:r>
    </w:p>
    <w:p w14:paraId="5AE5078C" w14:textId="45C1F37F" w:rsidR="00980400" w:rsidRDefault="007E45C5" w:rsidP="00D727BF">
      <w:pPr>
        <w:pStyle w:val="ParagraphNumbering"/>
        <w:numPr>
          <w:ilvl w:val="0"/>
          <w:numId w:val="0"/>
        </w:numPr>
        <w:tabs>
          <w:tab w:val="left" w:pos="720"/>
        </w:tabs>
        <w:spacing w:after="240"/>
      </w:pPr>
      <w:r>
        <w:rPr>
          <w:b/>
        </w:rPr>
        <w:tab/>
      </w:r>
      <w:r w:rsidR="00980400" w:rsidRPr="000343E4">
        <w:rPr>
          <w:b/>
        </w:rPr>
        <w:t xml:space="preserve">The report </w:t>
      </w:r>
      <w:r w:rsidR="00F40A01">
        <w:rPr>
          <w:b/>
        </w:rPr>
        <w:t>draws</w:t>
      </w:r>
      <w:r w:rsidR="00980400" w:rsidRPr="000343E4">
        <w:rPr>
          <w:b/>
        </w:rPr>
        <w:t xml:space="preserve"> on </w:t>
      </w:r>
      <w:r w:rsidR="007C710C" w:rsidRPr="000343E4">
        <w:rPr>
          <w:b/>
        </w:rPr>
        <w:t xml:space="preserve">two </w:t>
      </w:r>
      <w:r w:rsidR="00980400" w:rsidRPr="000343E4">
        <w:rPr>
          <w:b/>
        </w:rPr>
        <w:t>different data sources</w:t>
      </w:r>
      <w:r w:rsidR="007C710C" w:rsidRPr="000343E4">
        <w:rPr>
          <w:b/>
        </w:rPr>
        <w:t>: t</w:t>
      </w:r>
      <w:r w:rsidR="00980400" w:rsidRPr="000343E4">
        <w:rPr>
          <w:b/>
        </w:rPr>
        <w:t xml:space="preserve">he General Household Survey (GHS) </w:t>
      </w:r>
      <w:r w:rsidR="007C710C" w:rsidRPr="000343E4">
        <w:rPr>
          <w:b/>
        </w:rPr>
        <w:t>and the Enterprise Survey.</w:t>
      </w:r>
      <w:r w:rsidR="007C710C">
        <w:t xml:space="preserve"> The GHS </w:t>
      </w:r>
      <w:r w:rsidR="00980400" w:rsidRPr="00704D3C">
        <w:t xml:space="preserve">provides data on the contribution of wage work to the Nigerian economy and its share of total employment. </w:t>
      </w:r>
      <w:r w:rsidR="00A5740F">
        <w:t>T</w:t>
      </w:r>
      <w:r w:rsidR="00980400" w:rsidRPr="00704D3C">
        <w:t xml:space="preserve">he GHS module on </w:t>
      </w:r>
      <w:r w:rsidR="009F262B">
        <w:t>non-farm household enterprise</w:t>
      </w:r>
      <w:r w:rsidR="009F262B" w:rsidRPr="00704D3C">
        <w:t xml:space="preserve"> </w:t>
      </w:r>
      <w:r w:rsidR="00980400" w:rsidRPr="00704D3C">
        <w:t xml:space="preserve">provides information on the dynamics of micro and small enterprises, </w:t>
      </w:r>
      <w:r w:rsidR="007C710C">
        <w:t xml:space="preserve">as well as </w:t>
      </w:r>
      <w:r w:rsidR="00980400" w:rsidRPr="00704D3C">
        <w:t xml:space="preserve">the constraints they face. </w:t>
      </w:r>
      <w:r w:rsidR="007C710C">
        <w:t>T</w:t>
      </w:r>
      <w:r w:rsidR="00980400" w:rsidRPr="00704D3C">
        <w:t>he Enterprise Survey</w:t>
      </w:r>
      <w:r w:rsidR="007C710C">
        <w:t>,</w:t>
      </w:r>
      <w:r w:rsidR="007C710C" w:rsidRPr="007C710C">
        <w:t xml:space="preserve"> </w:t>
      </w:r>
      <w:r w:rsidR="007C710C" w:rsidRPr="00704D3C">
        <w:t>conducted in Nigeria from April 2014 to February 2015</w:t>
      </w:r>
      <w:r w:rsidR="007C710C">
        <w:t>,</w:t>
      </w:r>
      <w:r w:rsidR="00980400" w:rsidRPr="00704D3C">
        <w:t xml:space="preserve"> was used to analyze the dynamics and constraints of the formal sector in Nigeria. The </w:t>
      </w:r>
      <w:r w:rsidR="00CA2FFB">
        <w:t>s</w:t>
      </w:r>
      <w:r w:rsidR="007C710C">
        <w:t xml:space="preserve">urvey </w:t>
      </w:r>
      <w:r w:rsidR="00980400" w:rsidRPr="00704D3C">
        <w:t>sample</w:t>
      </w:r>
      <w:r w:rsidR="007C710C">
        <w:t xml:space="preserve">, which was limited to formally established companies with five or more employees, </w:t>
      </w:r>
      <w:r w:rsidR="00980400" w:rsidRPr="00704D3C">
        <w:t xml:space="preserve">was composed of firms </w:t>
      </w:r>
      <w:r w:rsidR="007C710C">
        <w:t xml:space="preserve">across </w:t>
      </w:r>
      <w:r w:rsidR="00CA2FFB">
        <w:t xml:space="preserve">nineteen </w:t>
      </w:r>
      <w:r w:rsidR="007C710C">
        <w:t xml:space="preserve">states engaged </w:t>
      </w:r>
      <w:r w:rsidR="00980400" w:rsidRPr="00704D3C">
        <w:t xml:space="preserve">in manufacturing, construction, </w:t>
      </w:r>
      <w:r w:rsidR="007C710C">
        <w:t xml:space="preserve">or </w:t>
      </w:r>
      <w:r w:rsidR="00980400" w:rsidRPr="00704D3C">
        <w:t xml:space="preserve">retail and wholesale trade. </w:t>
      </w:r>
      <w:r w:rsidR="009E5097">
        <w:t xml:space="preserve">The results are presented in four regional groups: Lagos; Kano and Kaduna states; other southern states (Abia, </w:t>
      </w:r>
      <w:r w:rsidR="00A04061">
        <w:t xml:space="preserve">Abuja, </w:t>
      </w:r>
      <w:r w:rsidR="009E5097">
        <w:t>Anambra, Cross River, Enugu, Ogun</w:t>
      </w:r>
      <w:r w:rsidR="00CA2FFB">
        <w:t>,</w:t>
      </w:r>
      <w:r w:rsidR="009E5097">
        <w:t xml:space="preserve"> and Oyo); and other northern states (Gombe, Jigawa, Katsina, Kebbi, Kwara, Nasarawa, Niger, Sokoto</w:t>
      </w:r>
      <w:r w:rsidR="00CA2FFB">
        <w:t>,</w:t>
      </w:r>
      <w:r w:rsidR="009E5097">
        <w:t xml:space="preserve"> and Zamfara). </w:t>
      </w:r>
      <w:r w:rsidR="00980400" w:rsidRPr="00704D3C">
        <w:t xml:space="preserve">A module on innovation was also administered to a portion of </w:t>
      </w:r>
      <w:r w:rsidR="007C710C">
        <w:t>the survey</w:t>
      </w:r>
      <w:r w:rsidR="007C710C" w:rsidRPr="00704D3C">
        <w:t xml:space="preserve"> </w:t>
      </w:r>
      <w:r w:rsidR="00980400" w:rsidRPr="00704D3C">
        <w:t xml:space="preserve">sample. Details on the Enterprise </w:t>
      </w:r>
      <w:r w:rsidR="007C710C">
        <w:t>S</w:t>
      </w:r>
      <w:r w:rsidR="007C710C" w:rsidRPr="00704D3C">
        <w:t xml:space="preserve">urvey </w:t>
      </w:r>
      <w:r w:rsidR="00980400" w:rsidRPr="00704D3C">
        <w:t>are provided in Annex 2.</w:t>
      </w:r>
    </w:p>
    <w:p w14:paraId="5FACB8B9" w14:textId="6D70F8E5" w:rsidR="00FC062E" w:rsidRDefault="007E45C5" w:rsidP="00D727BF">
      <w:pPr>
        <w:pStyle w:val="ParagraphNumbering"/>
        <w:numPr>
          <w:ilvl w:val="0"/>
          <w:numId w:val="0"/>
        </w:numPr>
        <w:tabs>
          <w:tab w:val="left" w:pos="720"/>
        </w:tabs>
        <w:spacing w:after="240"/>
      </w:pPr>
      <w:r>
        <w:rPr>
          <w:b/>
        </w:rPr>
        <w:tab/>
      </w:r>
      <w:r w:rsidR="00EB0AB4">
        <w:rPr>
          <w:b/>
        </w:rPr>
        <w:t>Two background papers underpin the analysis presented in this report:</w:t>
      </w:r>
      <w:r w:rsidR="00EB0AB4" w:rsidRPr="00EB0AB4">
        <w:t xml:space="preserve"> </w:t>
      </w:r>
      <w:r w:rsidR="00EB0AB4" w:rsidRPr="00EB0AB4">
        <w:rPr>
          <w:i/>
        </w:rPr>
        <w:t>Firm Performance in Nigeria</w:t>
      </w:r>
      <w:r w:rsidR="00EB0AB4">
        <w:t xml:space="preserve"> </w:t>
      </w:r>
      <w:r w:rsidR="00B64D63">
        <w:t>(</w:t>
      </w:r>
      <w:r w:rsidR="00B64D63" w:rsidRPr="00EB0AB4">
        <w:t>Clarke</w:t>
      </w:r>
      <w:r w:rsidR="00B64D63">
        <w:t xml:space="preserve"> </w:t>
      </w:r>
      <w:r w:rsidR="00B64D63" w:rsidRPr="00EB0AB4">
        <w:t>2015)</w:t>
      </w:r>
      <w:r w:rsidR="00B64D63">
        <w:t xml:space="preserve"> </w:t>
      </w:r>
      <w:r w:rsidR="00EB0AB4">
        <w:t>look</w:t>
      </w:r>
      <w:r w:rsidR="00B64D63">
        <w:t>s</w:t>
      </w:r>
      <w:r w:rsidR="00EB0AB4">
        <w:t xml:space="preserve"> at firm-level productivity using the Enterprise Survey</w:t>
      </w:r>
      <w:r w:rsidR="00B64D63">
        <w:t>,</w:t>
      </w:r>
      <w:r w:rsidR="00EB0AB4">
        <w:t xml:space="preserve"> and </w:t>
      </w:r>
      <w:r w:rsidR="00EB0AB4" w:rsidRPr="00EB0AB4">
        <w:rPr>
          <w:i/>
        </w:rPr>
        <w:t xml:space="preserve">The </w:t>
      </w:r>
      <w:r w:rsidR="00B64D63">
        <w:rPr>
          <w:i/>
        </w:rPr>
        <w:t>I</w:t>
      </w:r>
      <w:r w:rsidR="00EB0AB4" w:rsidRPr="00EB0AB4">
        <w:rPr>
          <w:i/>
        </w:rPr>
        <w:t xml:space="preserve">mpact of </w:t>
      </w:r>
      <w:r w:rsidR="00B64D63">
        <w:rPr>
          <w:i/>
        </w:rPr>
        <w:t>F</w:t>
      </w:r>
      <w:r w:rsidR="00EB0AB4" w:rsidRPr="00EB0AB4">
        <w:rPr>
          <w:i/>
        </w:rPr>
        <w:t>irm-</w:t>
      </w:r>
      <w:r w:rsidR="00B64D63">
        <w:rPr>
          <w:i/>
        </w:rPr>
        <w:t>L</w:t>
      </w:r>
      <w:r w:rsidR="00EB0AB4" w:rsidRPr="00EB0AB4">
        <w:rPr>
          <w:i/>
        </w:rPr>
        <w:t>eve</w:t>
      </w:r>
      <w:r w:rsidR="00EB0AB4">
        <w:rPr>
          <w:i/>
        </w:rPr>
        <w:t xml:space="preserve">l </w:t>
      </w:r>
      <w:r w:rsidR="00B64D63">
        <w:rPr>
          <w:i/>
        </w:rPr>
        <w:t>I</w:t>
      </w:r>
      <w:r w:rsidR="00EB0AB4">
        <w:rPr>
          <w:i/>
        </w:rPr>
        <w:t xml:space="preserve">nnovation on </w:t>
      </w:r>
      <w:r w:rsidR="00B64D63">
        <w:rPr>
          <w:i/>
        </w:rPr>
        <w:t>P</w:t>
      </w:r>
      <w:r w:rsidR="00EB0AB4">
        <w:rPr>
          <w:i/>
        </w:rPr>
        <w:t xml:space="preserve">roductivity </w:t>
      </w:r>
      <w:r w:rsidR="00EB0AB4" w:rsidRPr="00EB0AB4">
        <w:rPr>
          <w:i/>
        </w:rPr>
        <w:t>in Nigeria</w:t>
      </w:r>
      <w:r w:rsidR="00B64D63">
        <w:rPr>
          <w:i/>
        </w:rPr>
        <w:t xml:space="preserve"> </w:t>
      </w:r>
      <w:r w:rsidR="00B64D63" w:rsidRPr="00D727BF">
        <w:t>(</w:t>
      </w:r>
      <w:r w:rsidR="00B64D63" w:rsidRPr="00B64D63">
        <w:t>Cirera</w:t>
      </w:r>
      <w:r w:rsidR="00B64D63">
        <w:t xml:space="preserve"> </w:t>
      </w:r>
      <w:r w:rsidR="00B64D63" w:rsidRPr="00B64D63">
        <w:t>2015)</w:t>
      </w:r>
      <w:r w:rsidR="00EB0AB4">
        <w:rPr>
          <w:i/>
        </w:rPr>
        <w:t xml:space="preserve"> </w:t>
      </w:r>
      <w:r w:rsidR="00EB0AB4" w:rsidRPr="00EB0AB4">
        <w:t>look</w:t>
      </w:r>
      <w:r w:rsidR="00B64D63">
        <w:t>s</w:t>
      </w:r>
      <w:r w:rsidR="00EB0AB4" w:rsidRPr="00EB0AB4">
        <w:t xml:space="preserve"> at firm-level innovation and the link with productivity.</w:t>
      </w:r>
    </w:p>
    <w:p w14:paraId="1F5F6EB0" w14:textId="2755C9F7" w:rsidR="00980400" w:rsidRPr="00986C4D" w:rsidRDefault="00693C66" w:rsidP="00D727BF">
      <w:pPr>
        <w:pStyle w:val="Heading2"/>
        <w:numPr>
          <w:ilvl w:val="0"/>
          <w:numId w:val="110"/>
        </w:numPr>
        <w:tabs>
          <w:tab w:val="left" w:pos="720"/>
        </w:tabs>
      </w:pPr>
      <w:bookmarkStart w:id="18" w:name="_Toc444877490"/>
      <w:bookmarkStart w:id="19" w:name="_Toc445450265"/>
      <w:r>
        <w:t>Employment in Nigeria</w:t>
      </w:r>
      <w:bookmarkEnd w:id="18"/>
      <w:bookmarkEnd w:id="19"/>
    </w:p>
    <w:p w14:paraId="295282E2" w14:textId="788B6EA4" w:rsidR="00953347" w:rsidRDefault="007E45C5" w:rsidP="00D727BF">
      <w:pPr>
        <w:pStyle w:val="ParagraphNumbering"/>
        <w:numPr>
          <w:ilvl w:val="0"/>
          <w:numId w:val="0"/>
        </w:numPr>
        <w:tabs>
          <w:tab w:val="left" w:pos="720"/>
        </w:tabs>
        <w:spacing w:after="240"/>
      </w:pPr>
      <w:r>
        <w:rPr>
          <w:b/>
        </w:rPr>
        <w:tab/>
      </w:r>
      <w:r w:rsidR="00953347">
        <w:rPr>
          <w:b/>
        </w:rPr>
        <w:t xml:space="preserve">What </w:t>
      </w:r>
      <w:r w:rsidR="00F40A01">
        <w:rPr>
          <w:b/>
        </w:rPr>
        <w:t>constitutes</w:t>
      </w:r>
      <w:r w:rsidR="00953347">
        <w:rPr>
          <w:b/>
        </w:rPr>
        <w:t xml:space="preserve"> </w:t>
      </w:r>
      <w:r w:rsidR="00953347" w:rsidRPr="00012D43">
        <w:rPr>
          <w:b/>
          <w:i/>
        </w:rPr>
        <w:t>employment</w:t>
      </w:r>
      <w:r w:rsidR="00953347">
        <w:rPr>
          <w:b/>
        </w:rPr>
        <w:t xml:space="preserve"> in Nigeria? </w:t>
      </w:r>
      <w:r w:rsidR="00953347">
        <w:t xml:space="preserve">The Nigerian population was estimated at 158 million in 2011. Some </w:t>
      </w:r>
      <w:r w:rsidR="00AF2792">
        <w:t xml:space="preserve">eighty-seven </w:t>
      </w:r>
      <w:r w:rsidR="00953347">
        <w:t xml:space="preserve">million are between </w:t>
      </w:r>
      <w:r w:rsidR="00AF2792">
        <w:t xml:space="preserve">fifteen </w:t>
      </w:r>
      <w:r w:rsidR="00953347">
        <w:t xml:space="preserve">and </w:t>
      </w:r>
      <w:r w:rsidR="00AF2792">
        <w:t xml:space="preserve">sixty-four </w:t>
      </w:r>
      <w:r w:rsidR="00953347">
        <w:t xml:space="preserve">years </w:t>
      </w:r>
      <w:r w:rsidR="009F262B">
        <w:t xml:space="preserve">old </w:t>
      </w:r>
      <w:r w:rsidR="00953347">
        <w:t xml:space="preserve">and constitute the </w:t>
      </w:r>
      <w:r w:rsidR="00953347" w:rsidRPr="001D65E1">
        <w:rPr>
          <w:i/>
        </w:rPr>
        <w:t>working-age population</w:t>
      </w:r>
      <w:r w:rsidR="00953347">
        <w:t xml:space="preserve">. </w:t>
      </w:r>
      <w:r w:rsidR="009F262B">
        <w:t>Withi</w:t>
      </w:r>
      <w:r w:rsidR="00953347">
        <w:t xml:space="preserve">n this group, </w:t>
      </w:r>
      <w:r w:rsidR="00D61263">
        <w:t>there i</w:t>
      </w:r>
      <w:r w:rsidR="009F262B">
        <w:t xml:space="preserve">s additional distinction between </w:t>
      </w:r>
      <w:r w:rsidR="009F262B">
        <w:lastRenderedPageBreak/>
        <w:t xml:space="preserve">the </w:t>
      </w:r>
      <w:r w:rsidR="00953347" w:rsidRPr="001D65E1">
        <w:rPr>
          <w:i/>
        </w:rPr>
        <w:t>inactive population</w:t>
      </w:r>
      <w:r w:rsidR="00AF2792">
        <w:rPr>
          <w:i/>
        </w:rPr>
        <w:t>—</w:t>
      </w:r>
      <w:r w:rsidR="00953347">
        <w:t>those not looking for a job</w:t>
      </w:r>
      <w:r w:rsidR="00AF2792">
        <w:t>—</w:t>
      </w:r>
      <w:r w:rsidR="009F262B">
        <w:t xml:space="preserve">and </w:t>
      </w:r>
      <w:r w:rsidR="00285B08">
        <w:t xml:space="preserve">the </w:t>
      </w:r>
      <w:r w:rsidR="00285B08" w:rsidRPr="001D65E1">
        <w:rPr>
          <w:i/>
        </w:rPr>
        <w:t>active population</w:t>
      </w:r>
      <w:r w:rsidR="00285B08">
        <w:rPr>
          <w:i/>
        </w:rPr>
        <w:t xml:space="preserve"> </w:t>
      </w:r>
      <w:r w:rsidR="00285B08" w:rsidRPr="001D65E1">
        <w:t>(also called</w:t>
      </w:r>
      <w:r w:rsidR="00285B08">
        <w:rPr>
          <w:i/>
        </w:rPr>
        <w:t xml:space="preserve"> </w:t>
      </w:r>
      <w:r w:rsidR="00316CBD" w:rsidRPr="000343E4">
        <w:t>the</w:t>
      </w:r>
      <w:r w:rsidR="00316CBD">
        <w:rPr>
          <w:i/>
        </w:rPr>
        <w:t xml:space="preserve"> </w:t>
      </w:r>
      <w:r w:rsidR="00285B08">
        <w:rPr>
          <w:i/>
        </w:rPr>
        <w:t>labor force</w:t>
      </w:r>
      <w:r w:rsidR="00285B08" w:rsidRPr="001D65E1">
        <w:t>)</w:t>
      </w:r>
      <w:r w:rsidR="0049050E">
        <w:t>—</w:t>
      </w:r>
      <w:r w:rsidR="00D61263">
        <w:t>employed or looking for a job</w:t>
      </w:r>
      <w:r w:rsidR="00285B08">
        <w:t xml:space="preserve">. </w:t>
      </w:r>
      <w:r w:rsidR="00316CBD">
        <w:t xml:space="preserve">In Nigeria, </w:t>
      </w:r>
      <w:r w:rsidR="009F262B">
        <w:t xml:space="preserve">approximately </w:t>
      </w:r>
      <w:r w:rsidR="00AF2792">
        <w:t xml:space="preserve">thirty-three </w:t>
      </w:r>
      <w:r w:rsidR="00285B08">
        <w:t xml:space="preserve">million people </w:t>
      </w:r>
      <w:r w:rsidR="009F262B">
        <w:t xml:space="preserve">make up the </w:t>
      </w:r>
      <w:r w:rsidR="00285B08">
        <w:t>inactive</w:t>
      </w:r>
      <w:r w:rsidR="009F262B">
        <w:t xml:space="preserve"> population</w:t>
      </w:r>
      <w:r w:rsidR="00285B08">
        <w:t xml:space="preserve">. The </w:t>
      </w:r>
      <w:r w:rsidR="00316CBD">
        <w:t xml:space="preserve">remaining </w:t>
      </w:r>
      <w:r w:rsidR="00AF2792">
        <w:t xml:space="preserve">fifty-four </w:t>
      </w:r>
      <w:r w:rsidR="002E5A6C">
        <w:t xml:space="preserve">million people constitute the </w:t>
      </w:r>
      <w:r w:rsidR="00285B08">
        <w:t>labor force</w:t>
      </w:r>
      <w:r w:rsidR="002E5A6C">
        <w:t xml:space="preserve">, </w:t>
      </w:r>
      <w:r w:rsidR="00285B08">
        <w:t xml:space="preserve">of which a very small fraction (about 5.5 percent) is </w:t>
      </w:r>
      <w:r w:rsidR="00285B08" w:rsidRPr="001D65E1">
        <w:rPr>
          <w:i/>
        </w:rPr>
        <w:t>unemployed</w:t>
      </w:r>
      <w:r w:rsidR="00285B08">
        <w:t xml:space="preserve">. </w:t>
      </w:r>
    </w:p>
    <w:p w14:paraId="692D92B2" w14:textId="157B038B" w:rsidR="00BA7860" w:rsidRDefault="007E45C5" w:rsidP="00D727BF">
      <w:pPr>
        <w:pStyle w:val="ParagraphNumbering"/>
        <w:numPr>
          <w:ilvl w:val="0"/>
          <w:numId w:val="0"/>
        </w:numPr>
        <w:tabs>
          <w:tab w:val="left" w:pos="720"/>
        </w:tabs>
        <w:spacing w:after="240"/>
      </w:pPr>
      <w:r>
        <w:rPr>
          <w:b/>
        </w:rPr>
        <w:tab/>
      </w:r>
      <w:r w:rsidR="00746335" w:rsidRPr="009E73B7">
        <w:rPr>
          <w:b/>
        </w:rPr>
        <w:t>Most people work for themselves.</w:t>
      </w:r>
      <w:r w:rsidR="00746335">
        <w:t xml:space="preserve"> </w:t>
      </w:r>
      <w:r w:rsidR="002E5A6C">
        <w:t xml:space="preserve">Analysis of the </w:t>
      </w:r>
      <w:r w:rsidR="009F262B">
        <w:t>GHS</w:t>
      </w:r>
      <w:r w:rsidR="00746335">
        <w:t xml:space="preserve"> </w:t>
      </w:r>
      <w:r w:rsidR="002E5A6C">
        <w:t xml:space="preserve">results </w:t>
      </w:r>
      <w:r w:rsidR="00746335">
        <w:t>suggest</w:t>
      </w:r>
      <w:r w:rsidR="009B1D44">
        <w:t>s</w:t>
      </w:r>
      <w:r w:rsidR="009F262B">
        <w:t xml:space="preserve"> </w:t>
      </w:r>
      <w:r w:rsidR="00746335">
        <w:t xml:space="preserve">that </w:t>
      </w:r>
      <w:r w:rsidR="00A17A77">
        <w:t>more than 7</w:t>
      </w:r>
      <w:r w:rsidR="00C95511">
        <w:t>0</w:t>
      </w:r>
      <w:r w:rsidR="002E5A6C">
        <w:t xml:space="preserve"> percent of the Nigerian labor force is self-employed</w:t>
      </w:r>
      <w:r w:rsidR="00D4543F">
        <w:t xml:space="preserve"> or in agriculture</w:t>
      </w:r>
      <w:r w:rsidR="002E5A6C">
        <w:t xml:space="preserve">: </w:t>
      </w:r>
      <w:r w:rsidR="00746335">
        <w:t>a</w:t>
      </w:r>
      <w:r w:rsidR="002E5A6C">
        <w:t xml:space="preserve">pproximately </w:t>
      </w:r>
      <w:r w:rsidR="00A17A77">
        <w:t>35</w:t>
      </w:r>
      <w:r w:rsidR="00746335">
        <w:t xml:space="preserve"> </w:t>
      </w:r>
      <w:r w:rsidR="002E5A6C">
        <w:t xml:space="preserve">percent </w:t>
      </w:r>
      <w:r w:rsidR="00A17A77">
        <w:t>works</w:t>
      </w:r>
      <w:r w:rsidR="002E5A6C">
        <w:t xml:space="preserve"> </w:t>
      </w:r>
      <w:r w:rsidR="00044ADB">
        <w:t>in agricultur</w:t>
      </w:r>
      <w:r w:rsidR="002E5A6C">
        <w:t>e</w:t>
      </w:r>
      <w:r w:rsidR="009B1D44">
        <w:t>—</w:t>
      </w:r>
      <w:r w:rsidR="00A17A77">
        <w:t>self-employed or for private and/or public farms</w:t>
      </w:r>
      <w:r w:rsidR="009B1D44">
        <w:t>—</w:t>
      </w:r>
      <w:r w:rsidR="002E5A6C">
        <w:t>and m</w:t>
      </w:r>
      <w:r w:rsidR="00044ADB">
        <w:t xml:space="preserve">ore than 40 percent is engaged in a </w:t>
      </w:r>
      <w:r w:rsidR="009F262B">
        <w:t xml:space="preserve">non-farm </w:t>
      </w:r>
      <w:r w:rsidR="00044ADB">
        <w:t>household enterprise</w:t>
      </w:r>
      <w:r w:rsidR="009F262B">
        <w:t xml:space="preserve"> (NFE)</w:t>
      </w:r>
      <w:r w:rsidR="00A17A77">
        <w:t>. Only 15</w:t>
      </w:r>
      <w:r w:rsidR="00044ADB">
        <w:t xml:space="preserve"> percent of the labor force </w:t>
      </w:r>
      <w:r w:rsidR="00C5434F">
        <w:t xml:space="preserve">is </w:t>
      </w:r>
      <w:r w:rsidR="009F262B">
        <w:t>employed in a wage work occupation</w:t>
      </w:r>
      <w:r w:rsidR="00A26E90">
        <w:t xml:space="preserve"> (as their main occupation)</w:t>
      </w:r>
      <w:r w:rsidR="009F262B">
        <w:t xml:space="preserve">. </w:t>
      </w:r>
      <w:r w:rsidR="00BA7860">
        <w:t xml:space="preserve">This is strikingly different from </w:t>
      </w:r>
      <w:r w:rsidR="00D1692A">
        <w:t>labor force distributions</w:t>
      </w:r>
      <w:r w:rsidR="00C5434F">
        <w:t xml:space="preserve"> </w:t>
      </w:r>
      <w:r w:rsidR="00BA7860">
        <w:t xml:space="preserve">observed in </w:t>
      </w:r>
      <w:r w:rsidR="00BA7860" w:rsidRPr="0010743B">
        <w:t>lower</w:t>
      </w:r>
      <w:r w:rsidR="00BA7860">
        <w:t>-</w:t>
      </w:r>
      <w:r w:rsidR="00BA7860" w:rsidRPr="0010743B">
        <w:t xml:space="preserve">middle </w:t>
      </w:r>
      <w:r w:rsidR="00BA7860" w:rsidRPr="003E41F7">
        <w:t>income</w:t>
      </w:r>
      <w:r w:rsidR="00BA7860" w:rsidRPr="00850112">
        <w:t xml:space="preserve"> countries in East Asia (Indonesia, Philippines</w:t>
      </w:r>
      <w:r w:rsidR="009B1D44">
        <w:t>,</w:t>
      </w:r>
      <w:r w:rsidR="00BA7860" w:rsidRPr="00850112">
        <w:t xml:space="preserve"> or Vietnam)</w:t>
      </w:r>
      <w:r w:rsidR="00C5434F">
        <w:t>,</w:t>
      </w:r>
      <w:r w:rsidR="00BA7860">
        <w:t xml:space="preserve"> where wage work </w:t>
      </w:r>
      <w:r w:rsidR="006E53B7">
        <w:t xml:space="preserve">typically </w:t>
      </w:r>
      <w:r w:rsidR="00D1692A">
        <w:t>comprises</w:t>
      </w:r>
      <w:r w:rsidR="00BA7860">
        <w:t xml:space="preserve"> </w:t>
      </w:r>
      <w:r w:rsidR="00BA7860" w:rsidRPr="00BA7860">
        <w:t>30</w:t>
      </w:r>
      <w:r w:rsidR="009B1D44">
        <w:rPr>
          <w:rFonts w:ascii="Calibri" w:hAnsi="Calibri"/>
        </w:rPr>
        <w:t>‒</w:t>
      </w:r>
      <w:r w:rsidR="00BA7860" w:rsidRPr="00BA7860">
        <w:t>60 percent</w:t>
      </w:r>
      <w:r w:rsidR="00BA7860">
        <w:rPr>
          <w:b/>
        </w:rPr>
        <w:t xml:space="preserve"> </w:t>
      </w:r>
      <w:r w:rsidR="00BA7860">
        <w:t xml:space="preserve">of </w:t>
      </w:r>
      <w:r w:rsidR="00C5434F">
        <w:t xml:space="preserve">overall </w:t>
      </w:r>
      <w:r w:rsidR="00BA7860">
        <w:t>employment.</w:t>
      </w:r>
      <w:r w:rsidR="00BA7860" w:rsidRPr="00850112">
        <w:t xml:space="preserve"> </w:t>
      </w:r>
      <w:r w:rsidR="00D1692A">
        <w:t xml:space="preserve">A regional </w:t>
      </w:r>
      <w:r w:rsidR="009F262B">
        <w:t xml:space="preserve">analysis </w:t>
      </w:r>
      <w:r w:rsidR="00D1692A">
        <w:t xml:space="preserve">demonstrates that </w:t>
      </w:r>
      <w:r w:rsidR="00BA7860">
        <w:t>the share of wage work in Nigeria</w:t>
      </w:r>
      <w:r w:rsidR="00863D16">
        <w:t>’</w:t>
      </w:r>
      <w:r w:rsidR="00BA7860">
        <w:t xml:space="preserve">s </w:t>
      </w:r>
      <w:r w:rsidR="006F6842">
        <w:t>South South</w:t>
      </w:r>
      <w:r w:rsidR="00BA7860" w:rsidRPr="00850112">
        <w:t xml:space="preserve"> and </w:t>
      </w:r>
      <w:r w:rsidR="006F6842">
        <w:t>South West zone</w:t>
      </w:r>
      <w:r w:rsidR="00BA7860" w:rsidRPr="00850112">
        <w:t>s</w:t>
      </w:r>
      <w:r w:rsidR="00BA7860">
        <w:t xml:space="preserve"> is </w:t>
      </w:r>
      <w:r w:rsidR="00D1692A">
        <w:t xml:space="preserve">more </w:t>
      </w:r>
      <w:r w:rsidR="00576007">
        <w:t>in line with</w:t>
      </w:r>
      <w:r w:rsidR="00BA7860">
        <w:t xml:space="preserve"> the East Asian </w:t>
      </w:r>
      <w:r w:rsidR="00D1692A">
        <w:t>distribution</w:t>
      </w:r>
      <w:r w:rsidR="00BA7860">
        <w:t>, while in t</w:t>
      </w:r>
      <w:r w:rsidR="00BA7860" w:rsidRPr="00850112">
        <w:t xml:space="preserve">he </w:t>
      </w:r>
      <w:r w:rsidR="006F6842">
        <w:t>North East</w:t>
      </w:r>
      <w:r w:rsidR="00BA7860" w:rsidRPr="00850112">
        <w:t xml:space="preserve"> and </w:t>
      </w:r>
      <w:r w:rsidR="006F6842">
        <w:t>North West</w:t>
      </w:r>
      <w:r w:rsidR="00BA7860">
        <w:t xml:space="preserve">, only </w:t>
      </w:r>
      <w:r w:rsidR="009B1D44">
        <w:t>8</w:t>
      </w:r>
      <w:r w:rsidR="009B1D44" w:rsidRPr="00850112">
        <w:t xml:space="preserve"> </w:t>
      </w:r>
      <w:r w:rsidR="00BA7860" w:rsidRPr="00850112">
        <w:t>percent of the employed labor force work</w:t>
      </w:r>
      <w:r w:rsidR="00BA7860">
        <w:t>s</w:t>
      </w:r>
      <w:r w:rsidR="00BA7860" w:rsidRPr="00850112">
        <w:t xml:space="preserve"> in </w:t>
      </w:r>
      <w:r w:rsidR="00BA7860">
        <w:t xml:space="preserve">the wage </w:t>
      </w:r>
      <w:r w:rsidR="00BA7860" w:rsidRPr="00850112">
        <w:t>sector</w:t>
      </w:r>
      <w:r w:rsidR="00576007">
        <w:t xml:space="preserve"> (and primarily in the public sector)</w:t>
      </w:r>
      <w:r w:rsidR="00BA7860" w:rsidRPr="00850112">
        <w:t xml:space="preserve">. </w:t>
      </w:r>
    </w:p>
    <w:p w14:paraId="4C078C5E" w14:textId="2B43A6B1" w:rsidR="006E52DC" w:rsidRDefault="006E52DC" w:rsidP="00D727BF">
      <w:pPr>
        <w:pStyle w:val="Caption"/>
        <w:tabs>
          <w:tab w:val="left" w:pos="720"/>
        </w:tabs>
        <w:jc w:val="center"/>
      </w:pPr>
      <w:bookmarkStart w:id="20" w:name="_Ref440544562"/>
      <w:bookmarkStart w:id="21" w:name="_Toc445449619"/>
      <w:r>
        <w:t xml:space="preserve">Figure </w:t>
      </w:r>
      <w:fldSimple w:instr=" SEQ Figure \* ARABIC ">
        <w:r w:rsidR="008A3BBD">
          <w:rPr>
            <w:noProof/>
          </w:rPr>
          <w:t>1</w:t>
        </w:r>
      </w:fldSimple>
      <w:bookmarkEnd w:id="20"/>
      <w:r>
        <w:t xml:space="preserve">: Distribution of </w:t>
      </w:r>
      <w:r w:rsidR="00E46367">
        <w:t>E</w:t>
      </w:r>
      <w:r w:rsidR="00F73CE0">
        <w:t>mployment</w:t>
      </w:r>
      <w:r>
        <w:t xml:space="preserve"> in Nigeria in 2013</w:t>
      </w:r>
      <w:bookmarkEnd w:id="21"/>
    </w:p>
    <w:p w14:paraId="118728BC" w14:textId="1F20A025" w:rsidR="00012D43" w:rsidRDefault="004E4C30" w:rsidP="00D727BF">
      <w:pPr>
        <w:pStyle w:val="ParagraphNumbering"/>
        <w:numPr>
          <w:ilvl w:val="0"/>
          <w:numId w:val="0"/>
        </w:numPr>
        <w:tabs>
          <w:tab w:val="left" w:pos="720"/>
        </w:tabs>
        <w:ind w:left="720"/>
        <w:jc w:val="center"/>
      </w:pPr>
      <w:r>
        <w:rPr>
          <w:noProof/>
        </w:rPr>
        <w:drawing>
          <wp:inline distT="0" distB="0" distL="0" distR="0" wp14:anchorId="41AC64FD" wp14:editId="61CC84F6">
            <wp:extent cx="4914900" cy="1992086"/>
            <wp:effectExtent l="0" t="0" r="0"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BE06DF" w14:textId="5D5E9ACF" w:rsidR="006E52DC" w:rsidRPr="001845F3" w:rsidRDefault="006E52DC" w:rsidP="00D727BF">
      <w:pPr>
        <w:pStyle w:val="ParagraphNumbering"/>
        <w:numPr>
          <w:ilvl w:val="0"/>
          <w:numId w:val="0"/>
        </w:numPr>
        <w:tabs>
          <w:tab w:val="left" w:pos="720"/>
        </w:tabs>
        <w:ind w:left="720"/>
        <w:rPr>
          <w:sz w:val="18"/>
          <w:szCs w:val="18"/>
        </w:rPr>
      </w:pPr>
      <w:r w:rsidRPr="001845F3">
        <w:rPr>
          <w:sz w:val="18"/>
          <w:szCs w:val="18"/>
        </w:rPr>
        <w:t>Source: Estimates based on GHS 2012</w:t>
      </w:r>
      <w:r w:rsidR="009B1D44">
        <w:rPr>
          <w:rFonts w:ascii="Calibri" w:hAnsi="Calibri"/>
          <w:sz w:val="18"/>
          <w:szCs w:val="18"/>
        </w:rPr>
        <w:t>‒</w:t>
      </w:r>
      <w:r w:rsidRPr="001845F3">
        <w:rPr>
          <w:sz w:val="18"/>
          <w:szCs w:val="18"/>
        </w:rPr>
        <w:t>13</w:t>
      </w:r>
    </w:p>
    <w:p w14:paraId="064574FF" w14:textId="6DBC7253" w:rsidR="00746335" w:rsidRDefault="00746335" w:rsidP="00D727BF">
      <w:pPr>
        <w:pStyle w:val="ParagraphNumbering"/>
        <w:numPr>
          <w:ilvl w:val="0"/>
          <w:numId w:val="0"/>
        </w:numPr>
        <w:tabs>
          <w:tab w:val="left" w:pos="720"/>
        </w:tabs>
        <w:ind w:left="720"/>
        <w:rPr>
          <w:sz w:val="18"/>
          <w:szCs w:val="18"/>
        </w:rPr>
      </w:pPr>
      <w:r w:rsidRPr="001845F3">
        <w:rPr>
          <w:sz w:val="18"/>
          <w:szCs w:val="18"/>
        </w:rPr>
        <w:t xml:space="preserve">Note: Population-weighted proportion. Questions used: </w:t>
      </w:r>
      <w:r w:rsidR="00863D16">
        <w:rPr>
          <w:sz w:val="18"/>
          <w:szCs w:val="18"/>
        </w:rPr>
        <w:t>“</w:t>
      </w:r>
      <w:r w:rsidRPr="001845F3">
        <w:rPr>
          <w:sz w:val="18"/>
          <w:szCs w:val="18"/>
        </w:rPr>
        <w:t>In your main activity</w:t>
      </w:r>
      <w:r w:rsidR="00F73CE0">
        <w:rPr>
          <w:sz w:val="18"/>
          <w:szCs w:val="18"/>
        </w:rPr>
        <w:t>/employment</w:t>
      </w:r>
      <w:r w:rsidRPr="001845F3">
        <w:rPr>
          <w:sz w:val="18"/>
          <w:szCs w:val="18"/>
        </w:rPr>
        <w:t>, what is the employer in this job?</w:t>
      </w:r>
      <w:r w:rsidR="00863D16">
        <w:rPr>
          <w:sz w:val="18"/>
          <w:szCs w:val="18"/>
        </w:rPr>
        <w:t>”</w:t>
      </w:r>
      <w:r w:rsidRPr="001845F3">
        <w:rPr>
          <w:sz w:val="18"/>
          <w:szCs w:val="18"/>
        </w:rPr>
        <w:t xml:space="preserve"> combined with </w:t>
      </w:r>
      <w:r w:rsidR="00863D16">
        <w:rPr>
          <w:sz w:val="18"/>
          <w:szCs w:val="18"/>
        </w:rPr>
        <w:t>“</w:t>
      </w:r>
      <w:r w:rsidRPr="001845F3">
        <w:rPr>
          <w:sz w:val="18"/>
          <w:szCs w:val="18"/>
        </w:rPr>
        <w:t>Have you received wages, salary</w:t>
      </w:r>
      <w:r w:rsidR="009B1D44">
        <w:rPr>
          <w:sz w:val="18"/>
          <w:szCs w:val="18"/>
        </w:rPr>
        <w:t>,</w:t>
      </w:r>
      <w:r w:rsidRPr="001845F3">
        <w:rPr>
          <w:sz w:val="18"/>
          <w:szCs w:val="18"/>
        </w:rPr>
        <w:t xml:space="preserve"> or other payments either in cash or in other forms from this employment for this work?</w:t>
      </w:r>
      <w:r w:rsidR="00863D16">
        <w:rPr>
          <w:sz w:val="18"/>
          <w:szCs w:val="18"/>
        </w:rPr>
        <w:t>”</w:t>
      </w:r>
      <w:r w:rsidR="00F73CE0">
        <w:rPr>
          <w:sz w:val="18"/>
          <w:szCs w:val="18"/>
        </w:rPr>
        <w:t xml:space="preserve"> and </w:t>
      </w:r>
      <w:r w:rsidR="00863D16">
        <w:rPr>
          <w:sz w:val="18"/>
          <w:szCs w:val="18"/>
        </w:rPr>
        <w:t>“</w:t>
      </w:r>
      <w:r w:rsidR="00F73CE0">
        <w:rPr>
          <w:sz w:val="18"/>
          <w:szCs w:val="18"/>
        </w:rPr>
        <w:t>In what sector is this main activity?</w:t>
      </w:r>
      <w:r w:rsidR="00863D16">
        <w:rPr>
          <w:sz w:val="18"/>
          <w:szCs w:val="18"/>
        </w:rPr>
        <w:t>”</w:t>
      </w:r>
    </w:p>
    <w:p w14:paraId="717AC6CC" w14:textId="77777777" w:rsidR="007E45C5" w:rsidRPr="001845F3" w:rsidRDefault="007E45C5" w:rsidP="00D727BF">
      <w:pPr>
        <w:pStyle w:val="ParagraphNumbering"/>
        <w:numPr>
          <w:ilvl w:val="0"/>
          <w:numId w:val="0"/>
        </w:numPr>
        <w:tabs>
          <w:tab w:val="left" w:pos="720"/>
        </w:tabs>
        <w:ind w:left="720"/>
        <w:rPr>
          <w:sz w:val="18"/>
          <w:szCs w:val="18"/>
        </w:rPr>
      </w:pPr>
    </w:p>
    <w:p w14:paraId="19BEFE6A" w14:textId="65B10163" w:rsidR="00700CDE" w:rsidRDefault="00700CDE" w:rsidP="00D727BF">
      <w:pPr>
        <w:pStyle w:val="Heading3"/>
        <w:numPr>
          <w:ilvl w:val="0"/>
          <w:numId w:val="0"/>
        </w:numPr>
        <w:tabs>
          <w:tab w:val="left" w:pos="720"/>
        </w:tabs>
        <w:jc w:val="center"/>
      </w:pPr>
      <w:r>
        <w:t>Private sector and job creation</w:t>
      </w:r>
    </w:p>
    <w:p w14:paraId="3A06EB65" w14:textId="05D5EDFE" w:rsidR="00867EE3" w:rsidRPr="00867EE3" w:rsidRDefault="007E45C5" w:rsidP="00D727BF">
      <w:pPr>
        <w:pStyle w:val="ParagraphNumbering"/>
        <w:numPr>
          <w:ilvl w:val="0"/>
          <w:numId w:val="0"/>
        </w:numPr>
        <w:tabs>
          <w:tab w:val="left" w:pos="720"/>
        </w:tabs>
        <w:spacing w:after="240"/>
      </w:pPr>
      <w:r>
        <w:rPr>
          <w:rFonts w:eastAsia="Baskerville"/>
          <w:b/>
        </w:rPr>
        <w:tab/>
      </w:r>
      <w:r w:rsidR="00867EE3" w:rsidRPr="009E73B7">
        <w:rPr>
          <w:rFonts w:eastAsia="Baskerville"/>
          <w:b/>
        </w:rPr>
        <w:t xml:space="preserve">What is the </w:t>
      </w:r>
      <w:r w:rsidR="0027476C" w:rsidRPr="009E73B7">
        <w:rPr>
          <w:rFonts w:eastAsia="Baskerville"/>
          <w:b/>
        </w:rPr>
        <w:t>size</w:t>
      </w:r>
      <w:r w:rsidR="00867EE3" w:rsidRPr="009E73B7">
        <w:rPr>
          <w:rFonts w:eastAsia="Baskerville"/>
          <w:b/>
        </w:rPr>
        <w:t xml:space="preserve"> of the private sector in Nigeria?</w:t>
      </w:r>
      <w:r w:rsidR="00867EE3">
        <w:rPr>
          <w:rFonts w:eastAsia="Baskerville"/>
          <w:b/>
        </w:rPr>
        <w:t xml:space="preserve"> </w:t>
      </w:r>
      <w:r w:rsidR="00D1692A">
        <w:rPr>
          <w:rFonts w:eastAsia="Baskerville"/>
        </w:rPr>
        <w:t xml:space="preserve">This report </w:t>
      </w:r>
      <w:r w:rsidR="00867EE3" w:rsidRPr="00867EE3">
        <w:rPr>
          <w:rFonts w:eastAsia="Baskerville"/>
        </w:rPr>
        <w:t>define</w:t>
      </w:r>
      <w:r w:rsidR="00D1692A">
        <w:rPr>
          <w:rFonts w:eastAsia="Baskerville"/>
        </w:rPr>
        <w:t>s</w:t>
      </w:r>
      <w:r w:rsidR="00867EE3" w:rsidRPr="00867EE3">
        <w:rPr>
          <w:rFonts w:eastAsia="Baskerville"/>
        </w:rPr>
        <w:t xml:space="preserve"> the private sector as </w:t>
      </w:r>
      <w:r w:rsidR="00D1692A">
        <w:rPr>
          <w:rFonts w:eastAsia="Baskerville"/>
        </w:rPr>
        <w:t xml:space="preserve">the population of </w:t>
      </w:r>
      <w:r w:rsidR="00867EE3" w:rsidRPr="00867EE3">
        <w:rPr>
          <w:rFonts w:eastAsia="Baskerville"/>
        </w:rPr>
        <w:t xml:space="preserve">firms that employ </w:t>
      </w:r>
      <w:r w:rsidR="00D1692A">
        <w:rPr>
          <w:rFonts w:eastAsia="Baskerville"/>
        </w:rPr>
        <w:t xml:space="preserve">individuals through remuneration in the form of </w:t>
      </w:r>
      <w:r w:rsidR="00867EE3" w:rsidRPr="00867EE3">
        <w:rPr>
          <w:rFonts w:eastAsia="Baskerville"/>
        </w:rPr>
        <w:t xml:space="preserve">a salary, </w:t>
      </w:r>
      <w:r w:rsidR="00D1692A">
        <w:rPr>
          <w:rFonts w:eastAsia="Baskerville"/>
        </w:rPr>
        <w:t xml:space="preserve">a </w:t>
      </w:r>
      <w:r w:rsidR="00867EE3" w:rsidRPr="00867EE3">
        <w:rPr>
          <w:rFonts w:eastAsia="Baskerville"/>
        </w:rPr>
        <w:t>daily wage</w:t>
      </w:r>
      <w:r w:rsidR="009B1D44">
        <w:rPr>
          <w:rFonts w:eastAsia="Baskerville"/>
        </w:rPr>
        <w:t>,</w:t>
      </w:r>
      <w:r w:rsidR="00867EE3" w:rsidRPr="00867EE3">
        <w:rPr>
          <w:rFonts w:eastAsia="Baskerville"/>
        </w:rPr>
        <w:t xml:space="preserve"> or </w:t>
      </w:r>
      <w:r w:rsidR="00D1692A">
        <w:rPr>
          <w:rFonts w:eastAsia="Baskerville"/>
        </w:rPr>
        <w:t xml:space="preserve">a </w:t>
      </w:r>
      <w:r w:rsidR="00867EE3" w:rsidRPr="00867EE3">
        <w:rPr>
          <w:rFonts w:eastAsia="Baskerville"/>
        </w:rPr>
        <w:t>per-task pay</w:t>
      </w:r>
      <w:r w:rsidR="00D1692A">
        <w:rPr>
          <w:rFonts w:eastAsia="Baskerville"/>
        </w:rPr>
        <w:t>ment</w:t>
      </w:r>
      <w:r w:rsidR="00867EE3" w:rsidRPr="00867EE3">
        <w:rPr>
          <w:rFonts w:eastAsia="Baskerville"/>
        </w:rPr>
        <w:t>.</w:t>
      </w:r>
      <w:r w:rsidR="00867EE3">
        <w:rPr>
          <w:rFonts w:eastAsia="Baskerville"/>
          <w:b/>
        </w:rPr>
        <w:t xml:space="preserve"> </w:t>
      </w:r>
      <w:r w:rsidR="0027476C" w:rsidRPr="0027476C">
        <w:rPr>
          <w:rFonts w:eastAsia="Baskerville"/>
        </w:rPr>
        <w:t>This definition is broad</w:t>
      </w:r>
      <w:r w:rsidR="00D1692A">
        <w:rPr>
          <w:rFonts w:eastAsia="Baskerville"/>
        </w:rPr>
        <w:t>,</w:t>
      </w:r>
      <w:r w:rsidR="0027476C" w:rsidRPr="0027476C">
        <w:rPr>
          <w:rFonts w:eastAsia="Baskerville"/>
        </w:rPr>
        <w:t xml:space="preserve"> and</w:t>
      </w:r>
      <w:r w:rsidR="0027476C">
        <w:rPr>
          <w:rFonts w:eastAsia="Baskerville"/>
        </w:rPr>
        <w:t xml:space="preserve"> as a result,</w:t>
      </w:r>
      <w:r w:rsidR="0027476C" w:rsidRPr="0027476C">
        <w:rPr>
          <w:rFonts w:eastAsia="Baskerville"/>
        </w:rPr>
        <w:t xml:space="preserve"> includes both formal and informal firms</w:t>
      </w:r>
      <w:r w:rsidR="0027476C">
        <w:rPr>
          <w:rFonts w:eastAsia="Baskerville"/>
        </w:rPr>
        <w:t xml:space="preserve">. </w:t>
      </w:r>
      <w:r w:rsidR="00867EE3" w:rsidRPr="00867EE3">
        <w:rPr>
          <w:rFonts w:eastAsia="Baskerville"/>
        </w:rPr>
        <w:t>As shown</w:t>
      </w:r>
      <w:r w:rsidR="00867EE3">
        <w:rPr>
          <w:rFonts w:eastAsia="Baskerville"/>
        </w:rPr>
        <w:t xml:space="preserve"> in </w:t>
      </w:r>
      <w:r w:rsidR="00AF68F9">
        <w:rPr>
          <w:rFonts w:eastAsia="Baskerville"/>
        </w:rPr>
        <w:t>figure 1</w:t>
      </w:r>
      <w:r w:rsidR="009F262B">
        <w:rPr>
          <w:rFonts w:eastAsia="Baskerville"/>
        </w:rPr>
        <w:t xml:space="preserve"> above</w:t>
      </w:r>
      <w:r w:rsidR="00867EE3">
        <w:rPr>
          <w:rFonts w:eastAsia="Baskerville"/>
        </w:rPr>
        <w:t>, the private sector accounts for a very small</w:t>
      </w:r>
      <w:r w:rsidR="009B1D44">
        <w:rPr>
          <w:rFonts w:eastAsia="Baskerville"/>
        </w:rPr>
        <w:t>—</w:t>
      </w:r>
      <w:r w:rsidR="00867EE3">
        <w:rPr>
          <w:rFonts w:eastAsia="Baskerville"/>
        </w:rPr>
        <w:t>but growing</w:t>
      </w:r>
      <w:r w:rsidR="009B1D44">
        <w:rPr>
          <w:rFonts w:eastAsia="Baskerville"/>
        </w:rPr>
        <w:t>—</w:t>
      </w:r>
      <w:r w:rsidR="00867EE3">
        <w:rPr>
          <w:rFonts w:eastAsia="Baskerville"/>
        </w:rPr>
        <w:t>proportion of employment.</w:t>
      </w:r>
      <w:r w:rsidR="00867EE3">
        <w:rPr>
          <w:rFonts w:eastAsia="Baskerville"/>
          <w:b/>
        </w:rPr>
        <w:t xml:space="preserve"> </w:t>
      </w:r>
      <w:r w:rsidR="008B6E95" w:rsidRPr="000343E4">
        <w:rPr>
          <w:rFonts w:eastAsia="Baskerville"/>
        </w:rPr>
        <w:t>While</w:t>
      </w:r>
      <w:r w:rsidR="008B6E95">
        <w:rPr>
          <w:rFonts w:eastAsia="Baskerville"/>
          <w:b/>
        </w:rPr>
        <w:t xml:space="preserve"> </w:t>
      </w:r>
      <w:r w:rsidR="008B6E95">
        <w:rPr>
          <w:rFonts w:eastAsia="Baskerville"/>
        </w:rPr>
        <w:t>t</w:t>
      </w:r>
      <w:r w:rsidR="00867EE3">
        <w:rPr>
          <w:rFonts w:eastAsia="Baskerville"/>
        </w:rPr>
        <w:t xml:space="preserve">he </w:t>
      </w:r>
      <w:r w:rsidR="0027476C">
        <w:rPr>
          <w:rFonts w:eastAsia="Baskerville"/>
        </w:rPr>
        <w:t>predominance</w:t>
      </w:r>
      <w:r w:rsidR="00867EE3">
        <w:rPr>
          <w:rFonts w:eastAsia="Baskerville"/>
        </w:rPr>
        <w:t xml:space="preserve"> of public sector </w:t>
      </w:r>
      <w:r w:rsidR="008B6E95">
        <w:rPr>
          <w:rFonts w:eastAsia="Baskerville"/>
        </w:rPr>
        <w:t xml:space="preserve">employment </w:t>
      </w:r>
      <w:r w:rsidR="00867EE3">
        <w:rPr>
          <w:rFonts w:eastAsia="Baskerville"/>
        </w:rPr>
        <w:t xml:space="preserve">has been slowly </w:t>
      </w:r>
      <w:r w:rsidR="009F262B">
        <w:rPr>
          <w:rFonts w:eastAsia="Baskerville"/>
        </w:rPr>
        <w:t xml:space="preserve">declining </w:t>
      </w:r>
      <w:r w:rsidR="008B6E95">
        <w:rPr>
          <w:rFonts w:eastAsia="Baskerville"/>
        </w:rPr>
        <w:t xml:space="preserve">across </w:t>
      </w:r>
      <w:r w:rsidR="00867EE3">
        <w:rPr>
          <w:rFonts w:eastAsia="Baskerville"/>
        </w:rPr>
        <w:t>all geopolitical zones in Nigeria</w:t>
      </w:r>
      <w:r w:rsidR="008B6E95">
        <w:rPr>
          <w:rFonts w:eastAsia="Baskerville"/>
        </w:rPr>
        <w:t>, t</w:t>
      </w:r>
      <w:r w:rsidR="0027476C">
        <w:rPr>
          <w:rFonts w:eastAsia="Baskerville"/>
        </w:rPr>
        <w:t xml:space="preserve">he </w:t>
      </w:r>
      <w:r w:rsidR="008B6E95">
        <w:rPr>
          <w:rFonts w:eastAsia="Baskerville"/>
        </w:rPr>
        <w:t xml:space="preserve">growth of </w:t>
      </w:r>
      <w:r w:rsidR="0027476C">
        <w:rPr>
          <w:rFonts w:eastAsia="Baskerville"/>
        </w:rPr>
        <w:t xml:space="preserve">the private sector varies widely across the country. </w:t>
      </w:r>
      <w:r w:rsidR="008B6E95">
        <w:rPr>
          <w:rFonts w:eastAsia="Baskerville"/>
        </w:rPr>
        <w:t xml:space="preserve">For example, </w:t>
      </w:r>
      <w:r w:rsidR="009F262B">
        <w:rPr>
          <w:rFonts w:eastAsia="Baskerville"/>
        </w:rPr>
        <w:t xml:space="preserve">private sector wage work </w:t>
      </w:r>
      <w:r w:rsidR="0027476C">
        <w:rPr>
          <w:rFonts w:eastAsia="Baskerville"/>
        </w:rPr>
        <w:t xml:space="preserve">is </w:t>
      </w:r>
      <w:r w:rsidR="009F262B">
        <w:rPr>
          <w:rFonts w:eastAsia="Baskerville"/>
        </w:rPr>
        <w:t xml:space="preserve">a significant contributor in the </w:t>
      </w:r>
      <w:r w:rsidR="006F6842">
        <w:rPr>
          <w:rFonts w:eastAsia="Baskerville"/>
        </w:rPr>
        <w:t>South South</w:t>
      </w:r>
      <w:r w:rsidR="00972AB5">
        <w:rPr>
          <w:rFonts w:eastAsia="Baskerville"/>
        </w:rPr>
        <w:t xml:space="preserve"> and </w:t>
      </w:r>
      <w:r w:rsidR="006F6842">
        <w:rPr>
          <w:rFonts w:eastAsia="Baskerville"/>
        </w:rPr>
        <w:t>South West zone</w:t>
      </w:r>
      <w:r w:rsidR="00972AB5">
        <w:rPr>
          <w:rFonts w:eastAsia="Baskerville"/>
        </w:rPr>
        <w:t>s (12</w:t>
      </w:r>
      <w:r w:rsidR="0027476C">
        <w:rPr>
          <w:rFonts w:eastAsia="Baskerville"/>
        </w:rPr>
        <w:t xml:space="preserve"> percent of </w:t>
      </w:r>
      <w:r w:rsidR="00972AB5">
        <w:rPr>
          <w:rFonts w:eastAsia="Baskerville"/>
        </w:rPr>
        <w:t>labor force</w:t>
      </w:r>
      <w:r w:rsidR="0027476C">
        <w:rPr>
          <w:rFonts w:eastAsia="Baskerville"/>
        </w:rPr>
        <w:t>)</w:t>
      </w:r>
      <w:r w:rsidR="009F262B">
        <w:rPr>
          <w:rFonts w:eastAsia="Baskerville"/>
        </w:rPr>
        <w:t>,</w:t>
      </w:r>
      <w:r w:rsidR="0027476C">
        <w:rPr>
          <w:rFonts w:eastAsia="Baskerville"/>
        </w:rPr>
        <w:t xml:space="preserve"> while almost </w:t>
      </w:r>
      <w:r w:rsidR="009F262B">
        <w:rPr>
          <w:rFonts w:eastAsia="Baskerville"/>
        </w:rPr>
        <w:t xml:space="preserve">nonexistent </w:t>
      </w:r>
      <w:r w:rsidR="0027476C">
        <w:rPr>
          <w:rFonts w:eastAsia="Baskerville"/>
        </w:rPr>
        <w:t xml:space="preserve">in the </w:t>
      </w:r>
      <w:r w:rsidR="006F6842">
        <w:rPr>
          <w:rFonts w:eastAsia="Baskerville"/>
        </w:rPr>
        <w:t>North East</w:t>
      </w:r>
      <w:r w:rsidR="00972AB5">
        <w:rPr>
          <w:rFonts w:eastAsia="Baskerville"/>
        </w:rPr>
        <w:t xml:space="preserve"> and </w:t>
      </w:r>
      <w:r w:rsidR="006F6842">
        <w:rPr>
          <w:rFonts w:eastAsia="Baskerville"/>
        </w:rPr>
        <w:t>North West zone</w:t>
      </w:r>
      <w:r w:rsidR="00972AB5">
        <w:rPr>
          <w:rFonts w:eastAsia="Baskerville"/>
        </w:rPr>
        <w:t>s (1</w:t>
      </w:r>
      <w:r w:rsidR="0027476C">
        <w:rPr>
          <w:rFonts w:eastAsia="Baskerville"/>
        </w:rPr>
        <w:t xml:space="preserve"> percent of </w:t>
      </w:r>
      <w:r w:rsidR="00972AB5">
        <w:rPr>
          <w:rFonts w:eastAsia="Baskerville"/>
        </w:rPr>
        <w:t>labor force</w:t>
      </w:r>
      <w:r w:rsidR="0027476C">
        <w:rPr>
          <w:rFonts w:eastAsia="Baskerville"/>
        </w:rPr>
        <w:t>).</w:t>
      </w:r>
    </w:p>
    <w:p w14:paraId="359594BF" w14:textId="3932691D" w:rsidR="009E3484" w:rsidRPr="009E3484" w:rsidRDefault="007E45C5" w:rsidP="00D727BF">
      <w:pPr>
        <w:pStyle w:val="ParagraphNumbering"/>
        <w:numPr>
          <w:ilvl w:val="0"/>
          <w:numId w:val="0"/>
        </w:numPr>
        <w:tabs>
          <w:tab w:val="left" w:pos="720"/>
        </w:tabs>
        <w:spacing w:after="240"/>
      </w:pPr>
      <w:r>
        <w:rPr>
          <w:b/>
        </w:rPr>
        <w:lastRenderedPageBreak/>
        <w:tab/>
      </w:r>
      <w:r w:rsidR="009E3484" w:rsidRPr="00EB0F1B">
        <w:rPr>
          <w:b/>
        </w:rPr>
        <w:t xml:space="preserve">Nigeria has </w:t>
      </w:r>
      <w:r w:rsidR="009F262B">
        <w:rPr>
          <w:b/>
        </w:rPr>
        <w:t>approximately</w:t>
      </w:r>
      <w:r w:rsidR="009F262B" w:rsidRPr="00EB0F1B">
        <w:rPr>
          <w:b/>
        </w:rPr>
        <w:t xml:space="preserve"> </w:t>
      </w:r>
      <w:r w:rsidR="007C2DCC">
        <w:rPr>
          <w:b/>
        </w:rPr>
        <w:t>thirty-seven</w:t>
      </w:r>
      <w:r w:rsidR="007C2DCC" w:rsidRPr="00EB0F1B">
        <w:rPr>
          <w:b/>
        </w:rPr>
        <w:t xml:space="preserve"> </w:t>
      </w:r>
      <w:r w:rsidR="009E3484" w:rsidRPr="00EB0F1B">
        <w:rPr>
          <w:b/>
        </w:rPr>
        <w:t>million enterprises</w:t>
      </w:r>
      <w:r w:rsidR="00B94320">
        <w:rPr>
          <w:b/>
        </w:rPr>
        <w:t xml:space="preserve">, </w:t>
      </w:r>
      <w:r w:rsidR="008E2290">
        <w:rPr>
          <w:b/>
        </w:rPr>
        <w:t xml:space="preserve">of which </w:t>
      </w:r>
      <w:r w:rsidR="00B94320">
        <w:rPr>
          <w:b/>
        </w:rPr>
        <w:t>a significant proportion are characterized as Non-</w:t>
      </w:r>
      <w:r w:rsidR="008E2290">
        <w:rPr>
          <w:b/>
        </w:rPr>
        <w:t>F</w:t>
      </w:r>
      <w:r w:rsidR="00B94320">
        <w:rPr>
          <w:b/>
        </w:rPr>
        <w:t>arm Household Enterprises (NFEs)</w:t>
      </w:r>
      <w:r w:rsidR="009E3484" w:rsidRPr="00EB0F1B">
        <w:rPr>
          <w:b/>
        </w:rPr>
        <w:t xml:space="preserve">. </w:t>
      </w:r>
      <w:r w:rsidR="00B94320">
        <w:t>A</w:t>
      </w:r>
      <w:r w:rsidR="008B6E95">
        <w:t xml:space="preserve">pproximately </w:t>
      </w:r>
      <w:r w:rsidR="009E3484" w:rsidRPr="009E3484">
        <w:t xml:space="preserve">40 percent </w:t>
      </w:r>
      <w:r w:rsidR="00B94320">
        <w:t xml:space="preserve">of Nigerian enterprises </w:t>
      </w:r>
      <w:r w:rsidR="009E3484" w:rsidRPr="009E3484">
        <w:t>are farm</w:t>
      </w:r>
      <w:r w:rsidR="008B6E95">
        <w:t xml:space="preserve"> enterprises</w:t>
      </w:r>
      <w:r w:rsidR="009E3484" w:rsidRPr="009E3484">
        <w:t xml:space="preserve">, </w:t>
      </w:r>
      <w:r w:rsidR="000D4CFB">
        <w:t>while the</w:t>
      </w:r>
      <w:r w:rsidR="009E3484" w:rsidRPr="009E3484">
        <w:t xml:space="preserve"> rest are </w:t>
      </w:r>
      <w:r w:rsidR="008B6E95">
        <w:t xml:space="preserve">mainly </w:t>
      </w:r>
      <w:r w:rsidR="009E3484" w:rsidRPr="009E3484">
        <w:t>informal</w:t>
      </w:r>
      <w:r w:rsidR="009F262B">
        <w:t>,</w:t>
      </w:r>
      <w:r w:rsidR="009E3484" w:rsidRPr="009E3484">
        <w:t xml:space="preserve"> </w:t>
      </w:r>
      <w:r w:rsidR="00AF68F9">
        <w:t>n</w:t>
      </w:r>
      <w:r w:rsidR="009E3484" w:rsidRPr="009E3484">
        <w:t>on-</w:t>
      </w:r>
      <w:r w:rsidR="00AF68F9">
        <w:t>f</w:t>
      </w:r>
      <w:r w:rsidR="009E3484" w:rsidRPr="009E3484">
        <w:t xml:space="preserve">arm </w:t>
      </w:r>
      <w:r w:rsidR="00AF68F9">
        <w:t>e</w:t>
      </w:r>
      <w:r w:rsidR="009E3484" w:rsidRPr="009E3484">
        <w:t xml:space="preserve">nterprises (NFEs). According to the Small Enterprise Development Agency Nigeria (2014), there are </w:t>
      </w:r>
      <w:r w:rsidR="00716694">
        <w:t xml:space="preserve">approximately </w:t>
      </w:r>
      <w:r w:rsidR="008E2290">
        <w:t>sixty-eight thousand</w:t>
      </w:r>
      <w:r w:rsidR="009E3484" w:rsidRPr="009E3484">
        <w:t xml:space="preserve"> small firms (10</w:t>
      </w:r>
      <w:r w:rsidR="008E2290">
        <w:rPr>
          <w:rFonts w:ascii="Calibri" w:hAnsi="Calibri"/>
        </w:rPr>
        <w:t>‒</w:t>
      </w:r>
      <w:r w:rsidR="009E3484" w:rsidRPr="009E3484">
        <w:t xml:space="preserve">49 employees) and </w:t>
      </w:r>
      <w:r w:rsidR="008E2290">
        <w:t>forty-seven hundred</w:t>
      </w:r>
      <w:r w:rsidR="009E3484" w:rsidRPr="009E3484">
        <w:t xml:space="preserve"> medium firms (50</w:t>
      </w:r>
      <w:r w:rsidR="008E2290">
        <w:rPr>
          <w:rFonts w:ascii="Calibri" w:hAnsi="Calibri"/>
        </w:rPr>
        <w:t>‒</w:t>
      </w:r>
      <w:r w:rsidR="009E3484" w:rsidRPr="009E3484">
        <w:t xml:space="preserve">200 employees). In </w:t>
      </w:r>
      <w:r w:rsidR="009E3484" w:rsidRPr="009E73B7">
        <w:t>2013</w:t>
      </w:r>
      <w:r w:rsidR="009E3484" w:rsidRPr="009E3484">
        <w:t xml:space="preserve">, 63 percent of all households were </w:t>
      </w:r>
      <w:r w:rsidR="00B94320">
        <w:t>operating</w:t>
      </w:r>
      <w:r w:rsidR="00B94320" w:rsidRPr="009E3484">
        <w:t xml:space="preserve"> </w:t>
      </w:r>
      <w:r w:rsidR="009E3484" w:rsidRPr="009E3484">
        <w:t>a</w:t>
      </w:r>
      <w:r w:rsidR="008E2290">
        <w:t>n</w:t>
      </w:r>
      <w:r w:rsidR="009E3484" w:rsidRPr="009E3484">
        <w:t xml:space="preserve"> </w:t>
      </w:r>
      <w:r w:rsidR="00B94320">
        <w:t>NFE</w:t>
      </w:r>
      <w:r w:rsidR="009E3484" w:rsidRPr="009E3484">
        <w:t xml:space="preserve">. This rate </w:t>
      </w:r>
      <w:r w:rsidR="00B94320">
        <w:t>was</w:t>
      </w:r>
      <w:r w:rsidR="00B94320" w:rsidRPr="009E3484">
        <w:t xml:space="preserve"> </w:t>
      </w:r>
      <w:r w:rsidR="009E3484" w:rsidRPr="009E3484">
        <w:t xml:space="preserve">particularly high in the </w:t>
      </w:r>
      <w:r w:rsidR="006F6842">
        <w:t>South West</w:t>
      </w:r>
      <w:r w:rsidR="009E3484" w:rsidRPr="009E3484">
        <w:t xml:space="preserve"> (74 percent) and </w:t>
      </w:r>
      <w:r w:rsidR="006F6842">
        <w:t>North West</w:t>
      </w:r>
      <w:r w:rsidR="009E3484" w:rsidRPr="009E3484">
        <w:t xml:space="preserve"> (67 percent) zones</w:t>
      </w:r>
      <w:r w:rsidR="00716694">
        <w:t>, and with relatively high population densities</w:t>
      </w:r>
      <w:r w:rsidR="009E3484" w:rsidRPr="009E3484">
        <w:t xml:space="preserve">, </w:t>
      </w:r>
      <w:r w:rsidR="00716694">
        <w:t xml:space="preserve">these two </w:t>
      </w:r>
      <w:r w:rsidR="00B94320">
        <w:t xml:space="preserve">regions </w:t>
      </w:r>
      <w:r w:rsidR="009E3484" w:rsidRPr="009E3484">
        <w:t xml:space="preserve">account for more than half the NFEs in the country. Almost all </w:t>
      </w:r>
      <w:r w:rsidR="00716694">
        <w:t xml:space="preserve">NFEs </w:t>
      </w:r>
      <w:r w:rsidR="009E3484" w:rsidRPr="009E3484">
        <w:t>operate with</w:t>
      </w:r>
      <w:r w:rsidR="00411DFA">
        <w:t>out a registration</w:t>
      </w:r>
      <w:r w:rsidR="008E2290">
        <w:t>,</w:t>
      </w:r>
      <w:r w:rsidR="00411DFA">
        <w:t xml:space="preserve"> and about 50 percent</w:t>
      </w:r>
      <w:r w:rsidR="009E3484" w:rsidRPr="009E3484">
        <w:t xml:space="preserve"> are operated from insid</w:t>
      </w:r>
      <w:r w:rsidR="00D61164">
        <w:t>e the household. In 2013, the average size of a</w:t>
      </w:r>
      <w:r w:rsidR="008E2290">
        <w:t>n</w:t>
      </w:r>
      <w:r w:rsidR="009E3484" w:rsidRPr="009E3484">
        <w:t xml:space="preserve"> NFE was 1.5 employees</w:t>
      </w:r>
      <w:r w:rsidR="008E2290">
        <w:t>,</w:t>
      </w:r>
      <w:r w:rsidR="009E3484" w:rsidRPr="009E3484">
        <w:t xml:space="preserve"> including the owner. </w:t>
      </w:r>
    </w:p>
    <w:p w14:paraId="719ECE9A" w14:textId="4C05EE6B" w:rsidR="004302E8" w:rsidRDefault="007E45C5" w:rsidP="00D727BF">
      <w:pPr>
        <w:pStyle w:val="ParagraphNumbering"/>
        <w:numPr>
          <w:ilvl w:val="0"/>
          <w:numId w:val="0"/>
        </w:numPr>
        <w:tabs>
          <w:tab w:val="left" w:pos="720"/>
        </w:tabs>
      </w:pPr>
      <w:r>
        <w:rPr>
          <w:b/>
        </w:rPr>
        <w:tab/>
      </w:r>
      <w:r w:rsidR="00B94320">
        <w:rPr>
          <w:b/>
        </w:rPr>
        <w:t xml:space="preserve">A subset of the informal sector, characterized </w:t>
      </w:r>
      <w:r w:rsidR="00D61164">
        <w:rPr>
          <w:b/>
        </w:rPr>
        <w:t>here</w:t>
      </w:r>
      <w:r w:rsidR="00B94320">
        <w:rPr>
          <w:b/>
        </w:rPr>
        <w:t xml:space="preserve"> as a microenterprise</w:t>
      </w:r>
      <w:r w:rsidR="001C41E0">
        <w:rPr>
          <w:b/>
        </w:rPr>
        <w:t xml:space="preserve"> (ME)</w:t>
      </w:r>
      <w:r w:rsidR="00B94320">
        <w:rPr>
          <w:b/>
        </w:rPr>
        <w:t xml:space="preserve">, </w:t>
      </w:r>
      <w:r w:rsidR="001C41E0">
        <w:rPr>
          <w:b/>
        </w:rPr>
        <w:t>is</w:t>
      </w:r>
      <w:r w:rsidR="004302E8" w:rsidRPr="004302E8">
        <w:rPr>
          <w:b/>
        </w:rPr>
        <w:t xml:space="preserve"> capable of generating wage jobs.</w:t>
      </w:r>
      <w:r w:rsidR="004302E8">
        <w:t xml:space="preserve"> </w:t>
      </w:r>
      <w:r w:rsidR="00D61164" w:rsidRPr="009E73B7">
        <w:t xml:space="preserve">The prevailing assumption regarding the NFE sector is that </w:t>
      </w:r>
      <w:r w:rsidR="00D61164" w:rsidRPr="000343E4">
        <w:t xml:space="preserve">1) </w:t>
      </w:r>
      <w:r w:rsidR="00D61164" w:rsidRPr="009E73B7">
        <w:t xml:space="preserve">informal firms do not generate wage jobs, and </w:t>
      </w:r>
      <w:r w:rsidR="00D61164" w:rsidRPr="000343E4">
        <w:t>2) support to informal firms</w:t>
      </w:r>
      <w:r w:rsidR="00D61164" w:rsidRPr="009E73B7">
        <w:t xml:space="preserve"> would create market distortions and discourage </w:t>
      </w:r>
      <w:r w:rsidR="00D61164" w:rsidRPr="000343E4">
        <w:t>those</w:t>
      </w:r>
      <w:r w:rsidR="00D61164" w:rsidRPr="009E73B7">
        <w:t xml:space="preserve"> firms from formalizing. As a result, the NFE sector has long been excluded from the jobs agenda and private sector development projects. This report demonstrates that there is a subset of NFEs in Nigeria that are capable of generating a substantial number of </w:t>
      </w:r>
      <w:r w:rsidR="00D61164">
        <w:t>wage workers</w:t>
      </w:r>
      <w:r w:rsidR="00D61164" w:rsidRPr="009E73B7">
        <w:t>.</w:t>
      </w:r>
      <w:r w:rsidR="00D61164">
        <w:t xml:space="preserve"> </w:t>
      </w:r>
      <w:r w:rsidR="00716694">
        <w:t>Within t</w:t>
      </w:r>
      <w:r w:rsidR="00700CDE" w:rsidRPr="004302E8">
        <w:t>he</w:t>
      </w:r>
      <w:r w:rsidR="00847FAD" w:rsidRPr="004302E8">
        <w:t xml:space="preserve"> NFE sector</w:t>
      </w:r>
      <w:r w:rsidR="00716694">
        <w:t xml:space="preserve">, </w:t>
      </w:r>
      <w:r w:rsidR="00D61164">
        <w:t xml:space="preserve">we defined two types of </w:t>
      </w:r>
      <w:r w:rsidR="000A713D">
        <w:t>non-farm enterprise</w:t>
      </w:r>
      <w:r w:rsidR="00D61164">
        <w:t>s (NFE</w:t>
      </w:r>
      <w:r w:rsidR="00111729">
        <w:t>s</w:t>
      </w:r>
      <w:r w:rsidR="00D61164">
        <w:t xml:space="preserve">), namely </w:t>
      </w:r>
      <w:r w:rsidR="004302E8">
        <w:t>household enterprises (HEs)</w:t>
      </w:r>
      <w:r w:rsidR="00111729">
        <w:t>,</w:t>
      </w:r>
      <w:r w:rsidR="004302E8">
        <w:t xml:space="preserve"> </w:t>
      </w:r>
      <w:r w:rsidR="00716694">
        <w:t xml:space="preserve">which </w:t>
      </w:r>
      <w:r w:rsidR="004302E8">
        <w:t xml:space="preserve">are </w:t>
      </w:r>
      <w:r w:rsidR="00716694">
        <w:t xml:space="preserve">generally </w:t>
      </w:r>
      <w:r w:rsidR="004302E8">
        <w:t>operated by a single person</w:t>
      </w:r>
      <w:r w:rsidR="00111729">
        <w:t>,</w:t>
      </w:r>
      <w:r w:rsidR="004302E8">
        <w:t xml:space="preserve"> and microenterprises (MEs)</w:t>
      </w:r>
      <w:r w:rsidR="00111729">
        <w:t>,</w:t>
      </w:r>
      <w:r w:rsidR="00D61164">
        <w:t xml:space="preserve"> defined as NFE</w:t>
      </w:r>
      <w:r w:rsidR="00111729">
        <w:t>s</w:t>
      </w:r>
      <w:r w:rsidR="004302E8">
        <w:t xml:space="preserve"> </w:t>
      </w:r>
      <w:r w:rsidR="00111729">
        <w:t xml:space="preserve">that </w:t>
      </w:r>
      <w:r w:rsidR="004302E8">
        <w:t xml:space="preserve">hire workers who are not members of the household and/or are registered with </w:t>
      </w:r>
      <w:r w:rsidR="00F77D81">
        <w:t>the Corporate Affairs Commission (</w:t>
      </w:r>
      <w:r w:rsidR="004302E8">
        <w:t>CAC</w:t>
      </w:r>
      <w:r w:rsidR="00F77D81">
        <w:t>)</w:t>
      </w:r>
      <w:r w:rsidR="004302E8">
        <w:t xml:space="preserve">. </w:t>
      </w:r>
      <w:r w:rsidR="00D61164">
        <w:t>While this distinction is rather arbitrary, t</w:t>
      </w:r>
      <w:r w:rsidR="004302E8">
        <w:t xml:space="preserve">hese two types of NFEs </w:t>
      </w:r>
      <w:r w:rsidR="00D61164">
        <w:t xml:space="preserve">appear to </w:t>
      </w:r>
      <w:r w:rsidR="004302E8">
        <w:t>behave differently, in particular when it comes to job creation.</w:t>
      </w:r>
      <w:r w:rsidR="004302E8" w:rsidRPr="00700CDE">
        <w:t xml:space="preserve"> </w:t>
      </w:r>
      <w:r w:rsidR="004302E8">
        <w:t xml:space="preserve">The data </w:t>
      </w:r>
      <w:r w:rsidR="00AF608E">
        <w:t xml:space="preserve">demonstrate </w:t>
      </w:r>
      <w:r w:rsidR="004302E8">
        <w:t>that</w:t>
      </w:r>
      <w:r w:rsidR="00AF608E">
        <w:t xml:space="preserve"> while</w:t>
      </w:r>
      <w:r w:rsidR="004302E8">
        <w:t xml:space="preserve"> both types </w:t>
      </w:r>
      <w:r w:rsidR="004302E8" w:rsidRPr="00850112">
        <w:t xml:space="preserve">experienced an increase in sales </w:t>
      </w:r>
      <w:r w:rsidR="004302E8">
        <w:t xml:space="preserve">between </w:t>
      </w:r>
      <w:r w:rsidR="00AF608E">
        <w:t>2010 and 2013</w:t>
      </w:r>
      <w:r w:rsidR="004302E8">
        <w:t xml:space="preserve">, </w:t>
      </w:r>
      <w:r w:rsidR="00AF608E">
        <w:t>MEs</w:t>
      </w:r>
      <w:r w:rsidR="004302E8">
        <w:t xml:space="preserve"> hired more workers </w:t>
      </w:r>
      <w:r w:rsidR="00AF608E">
        <w:t xml:space="preserve">and averaged annual growth of </w:t>
      </w:r>
      <w:r w:rsidR="00B94320">
        <w:t>7.5</w:t>
      </w:r>
      <w:r w:rsidR="00AF608E">
        <w:t xml:space="preserve"> percent </w:t>
      </w:r>
      <w:r w:rsidR="004302E8">
        <w:t>during this period.</w:t>
      </w:r>
      <w:r w:rsidR="00B6428F">
        <w:t xml:space="preserve"> </w:t>
      </w:r>
      <w:r w:rsidR="00AF608E">
        <w:t>By comparison</w:t>
      </w:r>
      <w:r w:rsidR="00B6428F">
        <w:t>, HE</w:t>
      </w:r>
      <w:r w:rsidR="00AF608E">
        <w:t>s</w:t>
      </w:r>
      <w:r w:rsidR="00B6428F">
        <w:t xml:space="preserve"> experienced a decline of 5.1 percent in terms of employment growth.</w:t>
      </w:r>
      <w:r w:rsidR="004302E8">
        <w:t xml:space="preserve"> In 2013, </w:t>
      </w:r>
      <w:r w:rsidR="00AF608E">
        <w:t xml:space="preserve">approximately </w:t>
      </w:r>
      <w:r w:rsidR="004302E8">
        <w:t>12 percent of the NFEs</w:t>
      </w:r>
      <w:r w:rsidR="00111729">
        <w:t>—</w:t>
      </w:r>
      <w:r w:rsidR="00D61164">
        <w:t xml:space="preserve">in other words, </w:t>
      </w:r>
      <w:r w:rsidR="00762132">
        <w:t>four</w:t>
      </w:r>
      <w:r w:rsidR="004302E8">
        <w:t xml:space="preserve"> million firms</w:t>
      </w:r>
      <w:r w:rsidR="00111729">
        <w:t>—</w:t>
      </w:r>
      <w:r w:rsidR="004302E8">
        <w:t>were microenterprises</w:t>
      </w:r>
      <w:r w:rsidR="00AF608E">
        <w:t>, and</w:t>
      </w:r>
      <w:r w:rsidR="00111729">
        <w:t>,</w:t>
      </w:r>
      <w:r w:rsidR="00AF608E">
        <w:t xml:space="preserve"> on average</w:t>
      </w:r>
      <w:r w:rsidR="00111729">
        <w:t>,</w:t>
      </w:r>
      <w:r w:rsidR="00AF608E">
        <w:t xml:space="preserve"> these firms </w:t>
      </w:r>
      <w:r w:rsidR="004302E8">
        <w:t>employ</w:t>
      </w:r>
      <w:r w:rsidR="00111729">
        <w:t>ed</w:t>
      </w:r>
      <w:r w:rsidR="004302E8">
        <w:t xml:space="preserve"> </w:t>
      </w:r>
      <w:r w:rsidR="0098173B">
        <w:t>three</w:t>
      </w:r>
      <w:r w:rsidR="004302E8">
        <w:t xml:space="preserve"> workers (owner included). </w:t>
      </w:r>
    </w:p>
    <w:p w14:paraId="1F6CDFC9" w14:textId="1A98533E" w:rsidR="0054763D" w:rsidRDefault="007E45C5" w:rsidP="00D727BF">
      <w:pPr>
        <w:pStyle w:val="ParagraphNumbering"/>
        <w:numPr>
          <w:ilvl w:val="0"/>
          <w:numId w:val="0"/>
        </w:numPr>
        <w:tabs>
          <w:tab w:val="left" w:pos="720"/>
        </w:tabs>
      </w:pPr>
      <w:r>
        <w:rPr>
          <w:b/>
        </w:rPr>
        <w:tab/>
      </w:r>
      <w:r w:rsidR="00D27138" w:rsidRPr="005B7072">
        <w:rPr>
          <w:b/>
        </w:rPr>
        <w:t xml:space="preserve">The formal sector appears to </w:t>
      </w:r>
      <w:r w:rsidR="00B35333">
        <w:rPr>
          <w:b/>
        </w:rPr>
        <w:t xml:space="preserve">have </w:t>
      </w:r>
      <w:r w:rsidR="001A321B" w:rsidRPr="005B7072">
        <w:rPr>
          <w:b/>
        </w:rPr>
        <w:t xml:space="preserve">even </w:t>
      </w:r>
      <w:r w:rsidR="00D27138" w:rsidRPr="005B7072">
        <w:rPr>
          <w:b/>
        </w:rPr>
        <w:t xml:space="preserve">greater potential </w:t>
      </w:r>
      <w:r w:rsidR="00B35333">
        <w:rPr>
          <w:b/>
        </w:rPr>
        <w:t>for growth and job creation</w:t>
      </w:r>
      <w:r w:rsidR="00D27138" w:rsidRPr="005B7072">
        <w:rPr>
          <w:b/>
        </w:rPr>
        <w:t>.</w:t>
      </w:r>
      <w:r w:rsidR="00D27138">
        <w:t xml:space="preserve"> Despite declining sales growth (-5.3 percent annually), employment</w:t>
      </w:r>
      <w:r w:rsidR="002C2A65">
        <w:t xml:space="preserve"> in the formal sector</w:t>
      </w:r>
      <w:r w:rsidR="00D27138">
        <w:t xml:space="preserve"> </w:t>
      </w:r>
      <w:r w:rsidR="00B35333">
        <w:t xml:space="preserve">in Nigeria </w:t>
      </w:r>
      <w:r w:rsidR="00D27138">
        <w:t xml:space="preserve">grew </w:t>
      </w:r>
      <w:r w:rsidR="00B35333">
        <w:t xml:space="preserve">at </w:t>
      </w:r>
      <w:r w:rsidR="00D27138">
        <w:t xml:space="preserve">an average of </w:t>
      </w:r>
      <w:r w:rsidR="001C41E0">
        <w:t xml:space="preserve">6.0 </w:t>
      </w:r>
      <w:r w:rsidR="00D27138">
        <w:t xml:space="preserve">percent </w:t>
      </w:r>
      <w:r w:rsidR="00B35333">
        <w:t xml:space="preserve">per </w:t>
      </w:r>
      <w:r w:rsidR="00D27138">
        <w:t xml:space="preserve">year between 2011 and 2013. </w:t>
      </w:r>
      <w:r w:rsidR="001C41E0">
        <w:t xml:space="preserve">The results from the Enterprise Survey (2014), summarized in </w:t>
      </w:r>
      <w:r w:rsidR="001716A7">
        <w:t>f</w:t>
      </w:r>
      <w:r w:rsidR="008D34FE">
        <w:t>igure 2</w:t>
      </w:r>
      <w:r w:rsidR="001C41E0">
        <w:t xml:space="preserve"> below, indicate that </w:t>
      </w:r>
      <w:r w:rsidR="00B35333">
        <w:t xml:space="preserve">a majority of </w:t>
      </w:r>
      <w:r w:rsidR="005B7072">
        <w:t xml:space="preserve">firms </w:t>
      </w:r>
      <w:r w:rsidR="00B35333">
        <w:t xml:space="preserve">retained </w:t>
      </w:r>
      <w:r w:rsidR="005B7072">
        <w:t>their workforce</w:t>
      </w:r>
      <w:r w:rsidR="00B35333">
        <w:t>,</w:t>
      </w:r>
      <w:r w:rsidR="005B7072">
        <w:t xml:space="preserve"> </w:t>
      </w:r>
      <w:r w:rsidR="00B35333">
        <w:t xml:space="preserve">a significant percentage </w:t>
      </w:r>
      <w:r w:rsidR="001C41E0">
        <w:t xml:space="preserve">hired </w:t>
      </w:r>
      <w:r w:rsidR="005A4C45">
        <w:t xml:space="preserve">additional </w:t>
      </w:r>
      <w:r w:rsidR="005B7072">
        <w:t>workers</w:t>
      </w:r>
      <w:r w:rsidR="001C41E0">
        <w:t xml:space="preserve">, and only 12.3 percent of firms downsized their labor force. </w:t>
      </w:r>
      <w:r w:rsidR="005B7072">
        <w:t xml:space="preserve">A third of respondents </w:t>
      </w:r>
      <w:r w:rsidR="00911ECD">
        <w:t xml:space="preserve">indeed </w:t>
      </w:r>
      <w:r w:rsidR="005B7072">
        <w:t xml:space="preserve">indicated that they were overstaffed, mainly because they anticipated an upturn in sales. </w:t>
      </w:r>
    </w:p>
    <w:p w14:paraId="5D95DCF0" w14:textId="77777777" w:rsidR="001C41E0" w:rsidRDefault="001C41E0" w:rsidP="00D727BF">
      <w:pPr>
        <w:tabs>
          <w:tab w:val="left" w:pos="720"/>
        </w:tabs>
        <w:rPr>
          <w:rFonts w:ascii="Trebuchet MS" w:eastAsia="Calibri" w:hAnsi="Trebuchet MS" w:cs="Times New Roman"/>
          <w:b/>
          <w:bCs/>
          <w:color w:val="0B73B6" w:themeColor="background2" w:themeShade="BF"/>
          <w:sz w:val="20"/>
          <w:szCs w:val="18"/>
        </w:rPr>
      </w:pPr>
      <w:bookmarkStart w:id="22" w:name="_Ref440989971"/>
      <w:r>
        <w:br w:type="page"/>
      </w:r>
    </w:p>
    <w:p w14:paraId="07BFBD92" w14:textId="77777777" w:rsidR="002A5268" w:rsidRDefault="00035788" w:rsidP="00D727BF">
      <w:pPr>
        <w:pStyle w:val="Caption"/>
        <w:tabs>
          <w:tab w:val="left" w:pos="720"/>
        </w:tabs>
        <w:jc w:val="center"/>
      </w:pPr>
      <w:bookmarkStart w:id="23" w:name="_Toc445449620"/>
      <w:r>
        <w:lastRenderedPageBreak/>
        <w:t xml:space="preserve">Figure </w:t>
      </w:r>
      <w:fldSimple w:instr=" SEQ Figure \* ARABIC ">
        <w:r w:rsidR="008A3BBD">
          <w:rPr>
            <w:noProof/>
          </w:rPr>
          <w:t>2</w:t>
        </w:r>
      </w:fldSimple>
      <w:bookmarkEnd w:id="22"/>
      <w:r>
        <w:t>: Percentage of Firms Reporting Shrinking, Unchanged</w:t>
      </w:r>
      <w:r w:rsidR="0008226C">
        <w:t>,</w:t>
      </w:r>
      <w:r>
        <w:t xml:space="preserve"> or Growing Workforce </w:t>
      </w:r>
    </w:p>
    <w:p w14:paraId="1B58B39E" w14:textId="634FCEDC" w:rsidR="00035788" w:rsidRDefault="00035788" w:rsidP="00D727BF">
      <w:pPr>
        <w:pStyle w:val="Caption"/>
        <w:tabs>
          <w:tab w:val="left" w:pos="720"/>
        </w:tabs>
        <w:jc w:val="center"/>
      </w:pPr>
      <w:r>
        <w:t>during the Last Financial Year (2014)</w:t>
      </w:r>
      <w:bookmarkEnd w:id="23"/>
    </w:p>
    <w:p w14:paraId="34EF8313" w14:textId="77777777" w:rsidR="00035788" w:rsidRDefault="00035788" w:rsidP="00D727BF">
      <w:pPr>
        <w:pStyle w:val="Graph"/>
        <w:tabs>
          <w:tab w:val="left" w:pos="720"/>
        </w:tabs>
        <w:rPr>
          <w:rFonts w:ascii="Trebuchet MS" w:hAnsi="Trebuchet MS"/>
          <w:sz w:val="18"/>
          <w:szCs w:val="18"/>
        </w:rPr>
      </w:pPr>
      <w:r>
        <w:rPr>
          <w:noProof/>
        </w:rPr>
        <w:drawing>
          <wp:inline distT="0" distB="0" distL="0" distR="0" wp14:anchorId="6375A20F" wp14:editId="539C341C">
            <wp:extent cx="5534025" cy="2307772"/>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843F1A" w14:textId="7CA65FC0" w:rsidR="00035788" w:rsidRPr="001845F3" w:rsidRDefault="00035788" w:rsidP="00D727BF">
      <w:pPr>
        <w:pStyle w:val="ParagraphNumbering"/>
        <w:numPr>
          <w:ilvl w:val="0"/>
          <w:numId w:val="0"/>
        </w:numPr>
        <w:tabs>
          <w:tab w:val="left" w:pos="720"/>
        </w:tabs>
        <w:ind w:left="720" w:hanging="360"/>
        <w:rPr>
          <w:sz w:val="18"/>
          <w:szCs w:val="18"/>
        </w:rPr>
      </w:pPr>
      <w:r w:rsidRPr="001845F3">
        <w:rPr>
          <w:sz w:val="18"/>
          <w:szCs w:val="18"/>
        </w:rPr>
        <w:t>Source: Authors</w:t>
      </w:r>
      <w:r w:rsidR="00863D16">
        <w:rPr>
          <w:sz w:val="18"/>
          <w:szCs w:val="18"/>
        </w:rPr>
        <w:t>’</w:t>
      </w:r>
      <w:r w:rsidRPr="001845F3">
        <w:rPr>
          <w:sz w:val="18"/>
          <w:szCs w:val="18"/>
        </w:rPr>
        <w:t xml:space="preserve"> calculations based on data from Enterprise Survey 2014</w:t>
      </w:r>
      <w:r w:rsidR="0008226C">
        <w:rPr>
          <w:rFonts w:ascii="Calibri" w:hAnsi="Calibri"/>
          <w:sz w:val="18"/>
          <w:szCs w:val="18"/>
        </w:rPr>
        <w:t>‒</w:t>
      </w:r>
      <w:r w:rsidRPr="001845F3">
        <w:rPr>
          <w:sz w:val="18"/>
          <w:szCs w:val="18"/>
        </w:rPr>
        <w:t>15</w:t>
      </w:r>
    </w:p>
    <w:p w14:paraId="31F1911C" w14:textId="77777777" w:rsidR="00035788" w:rsidRDefault="00035788" w:rsidP="00D727BF">
      <w:pPr>
        <w:pStyle w:val="ParagraphNumbering"/>
        <w:numPr>
          <w:ilvl w:val="0"/>
          <w:numId w:val="0"/>
        </w:numPr>
        <w:tabs>
          <w:tab w:val="left" w:pos="720"/>
        </w:tabs>
        <w:ind w:left="720"/>
      </w:pPr>
    </w:p>
    <w:p w14:paraId="5042A8B6" w14:textId="3A198933" w:rsidR="001D7698" w:rsidRDefault="007E45C5" w:rsidP="00D727BF">
      <w:pPr>
        <w:pStyle w:val="ParagraphNumbering"/>
        <w:numPr>
          <w:ilvl w:val="0"/>
          <w:numId w:val="0"/>
        </w:numPr>
        <w:tabs>
          <w:tab w:val="left" w:pos="720"/>
        </w:tabs>
      </w:pPr>
      <w:r>
        <w:rPr>
          <w:b/>
        </w:rPr>
        <w:tab/>
      </w:r>
      <w:r w:rsidR="001C41E0" w:rsidRPr="00C8596B">
        <w:rPr>
          <w:b/>
        </w:rPr>
        <w:t>However, t</w:t>
      </w:r>
      <w:r w:rsidR="005B7072" w:rsidRPr="00C8596B">
        <w:rPr>
          <w:b/>
        </w:rPr>
        <w:t xml:space="preserve">he contribution of the formal sector to employment is limited by the very small number of firms, </w:t>
      </w:r>
      <w:r w:rsidR="005A4C45" w:rsidRPr="00C8596B">
        <w:rPr>
          <w:b/>
        </w:rPr>
        <w:t>particularly in Nigeria</w:t>
      </w:r>
      <w:r w:rsidR="00863D16">
        <w:rPr>
          <w:b/>
        </w:rPr>
        <w:t>’</w:t>
      </w:r>
      <w:r w:rsidR="005A4C45" w:rsidRPr="00C8596B">
        <w:rPr>
          <w:b/>
        </w:rPr>
        <w:t>s poorest regions</w:t>
      </w:r>
      <w:r w:rsidR="005B7072" w:rsidRPr="00C8596B">
        <w:rPr>
          <w:b/>
        </w:rPr>
        <w:t>.</w:t>
      </w:r>
      <w:r w:rsidR="005B7072">
        <w:t xml:space="preserve"> </w:t>
      </w:r>
      <w:r w:rsidR="002C2A65">
        <w:t xml:space="preserve">According to the National Bureau of Statistics and other local registries, </w:t>
      </w:r>
      <w:r w:rsidR="001C41E0">
        <w:t xml:space="preserve">there are only approximately </w:t>
      </w:r>
      <w:r w:rsidR="0008226C">
        <w:t>twenty-eight thousand</w:t>
      </w:r>
      <w:r w:rsidR="007F77BF">
        <w:t xml:space="preserve"> formal firms </w:t>
      </w:r>
      <w:r w:rsidR="001C41E0">
        <w:t>operating across the county.</w:t>
      </w:r>
      <w:r w:rsidR="007F77BF">
        <w:t xml:space="preserve"> </w:t>
      </w:r>
      <w:r w:rsidR="005B7072">
        <w:fldChar w:fldCharType="begin"/>
      </w:r>
      <w:r w:rsidR="005B7072">
        <w:instrText xml:space="preserve"> REF _Ref440910296 \h </w:instrText>
      </w:r>
      <w:r w:rsidR="005B7072">
        <w:fldChar w:fldCharType="separate"/>
      </w:r>
      <w:r w:rsidR="008A3BBD">
        <w:t xml:space="preserve">Figure </w:t>
      </w:r>
      <w:r w:rsidR="008A3BBD">
        <w:rPr>
          <w:noProof/>
        </w:rPr>
        <w:t>3</w:t>
      </w:r>
      <w:r w:rsidR="005B7072">
        <w:fldChar w:fldCharType="end"/>
      </w:r>
      <w:r w:rsidR="001C41E0">
        <w:t xml:space="preserve"> demonstrates that</w:t>
      </w:r>
      <w:r w:rsidR="005B7072">
        <w:t xml:space="preserve"> </w:t>
      </w:r>
      <w:r w:rsidR="00035788">
        <w:t>formal fi</w:t>
      </w:r>
      <w:r w:rsidR="001D7698">
        <w:t xml:space="preserve">rms are </w:t>
      </w:r>
      <w:r w:rsidR="001C41E0">
        <w:t xml:space="preserve">primarily concentrated in </w:t>
      </w:r>
      <w:r w:rsidR="001D7698">
        <w:t>Lagos</w:t>
      </w:r>
      <w:r w:rsidR="001C41E0">
        <w:t xml:space="preserve"> and</w:t>
      </w:r>
      <w:r w:rsidR="001D7698">
        <w:t xml:space="preserve"> </w:t>
      </w:r>
      <w:r w:rsidR="005B7072">
        <w:t>Oyo and to a lesser extent in Kano, Kaduna</w:t>
      </w:r>
      <w:r w:rsidR="0008226C">
        <w:t>,</w:t>
      </w:r>
      <w:r w:rsidR="001D7698">
        <w:t xml:space="preserve"> and Zamfara.</w:t>
      </w:r>
    </w:p>
    <w:p w14:paraId="10BE3B6F" w14:textId="77777777" w:rsidR="00B0361A" w:rsidRDefault="00B0361A" w:rsidP="00D727BF">
      <w:pPr>
        <w:pStyle w:val="ParagraphNumbering"/>
        <w:numPr>
          <w:ilvl w:val="0"/>
          <w:numId w:val="0"/>
        </w:numPr>
        <w:tabs>
          <w:tab w:val="left" w:pos="720"/>
        </w:tabs>
      </w:pPr>
    </w:p>
    <w:p w14:paraId="284F2DCD" w14:textId="0C38B540" w:rsidR="001D7698" w:rsidRDefault="001D7698" w:rsidP="00D727BF">
      <w:pPr>
        <w:pStyle w:val="Caption"/>
        <w:keepNext/>
        <w:tabs>
          <w:tab w:val="left" w:pos="720"/>
        </w:tabs>
        <w:jc w:val="center"/>
      </w:pPr>
      <w:bookmarkStart w:id="24" w:name="_Ref440910296"/>
      <w:bookmarkStart w:id="25" w:name="_Toc445449621"/>
      <w:r>
        <w:t xml:space="preserve">Figure </w:t>
      </w:r>
      <w:fldSimple w:instr=" SEQ Figure \* ARABIC ">
        <w:r w:rsidR="008A3BBD">
          <w:rPr>
            <w:noProof/>
          </w:rPr>
          <w:t>3</w:t>
        </w:r>
      </w:fldSimple>
      <w:bookmarkEnd w:id="24"/>
      <w:r>
        <w:t xml:space="preserve">: Number of </w:t>
      </w:r>
      <w:r w:rsidR="0008226C">
        <w:t>F</w:t>
      </w:r>
      <w:r>
        <w:t xml:space="preserve">ormal </w:t>
      </w:r>
      <w:r w:rsidR="0008226C">
        <w:t>F</w:t>
      </w:r>
      <w:r>
        <w:t xml:space="preserve">irms in the Nigerian </w:t>
      </w:r>
      <w:r w:rsidR="0008226C">
        <w:t>S</w:t>
      </w:r>
      <w:r>
        <w:t>tates</w:t>
      </w:r>
      <w:r w:rsidR="002A5268">
        <w:t>,</w:t>
      </w:r>
      <w:r>
        <w:t xml:space="preserve"> 2014</w:t>
      </w:r>
      <w:bookmarkEnd w:id="25"/>
    </w:p>
    <w:p w14:paraId="009CE998" w14:textId="77777777" w:rsidR="001D7698" w:rsidRDefault="001D7698" w:rsidP="00D727BF">
      <w:pPr>
        <w:pStyle w:val="Graph"/>
        <w:tabs>
          <w:tab w:val="left" w:pos="720"/>
        </w:tabs>
      </w:pPr>
      <w:r>
        <w:rPr>
          <w:noProof/>
        </w:rPr>
        <w:drawing>
          <wp:inline distT="0" distB="0" distL="0" distR="0" wp14:anchorId="631FDB33" wp14:editId="0615D1F9">
            <wp:extent cx="5486400" cy="234696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F78B59" w14:textId="77777777" w:rsidR="00B0361A" w:rsidRDefault="001D7698" w:rsidP="00D727BF">
      <w:pPr>
        <w:pStyle w:val="ParagraphNumbering"/>
        <w:numPr>
          <w:ilvl w:val="0"/>
          <w:numId w:val="0"/>
        </w:numPr>
        <w:tabs>
          <w:tab w:val="left" w:pos="720"/>
        </w:tabs>
        <w:ind w:left="360"/>
        <w:jc w:val="left"/>
        <w:rPr>
          <w:sz w:val="18"/>
          <w:szCs w:val="18"/>
        </w:rPr>
      </w:pPr>
      <w:r w:rsidRPr="001845F3">
        <w:rPr>
          <w:sz w:val="18"/>
          <w:szCs w:val="18"/>
        </w:rPr>
        <w:t>Source: World Bank universe of formal firms in Nigeria used for the Enterprise Survey (2014) based on NBS dataset and local and municipal registries</w:t>
      </w:r>
    </w:p>
    <w:p w14:paraId="4FB156B6" w14:textId="77777777" w:rsidR="00B0361A" w:rsidRDefault="00B0361A" w:rsidP="00D727BF">
      <w:pPr>
        <w:pStyle w:val="ParagraphNumbering"/>
        <w:numPr>
          <w:ilvl w:val="0"/>
          <w:numId w:val="0"/>
        </w:numPr>
        <w:tabs>
          <w:tab w:val="left" w:pos="720"/>
        </w:tabs>
        <w:ind w:left="360"/>
        <w:jc w:val="left"/>
        <w:rPr>
          <w:sz w:val="18"/>
          <w:szCs w:val="18"/>
        </w:rPr>
      </w:pPr>
    </w:p>
    <w:p w14:paraId="4A3CA507" w14:textId="768E0A56" w:rsidR="0027476C" w:rsidRDefault="0027476C" w:rsidP="00D727BF">
      <w:pPr>
        <w:pStyle w:val="ParagraphNumbering"/>
        <w:numPr>
          <w:ilvl w:val="0"/>
          <w:numId w:val="0"/>
        </w:numPr>
        <w:tabs>
          <w:tab w:val="left" w:pos="720"/>
        </w:tabs>
        <w:ind w:left="360"/>
        <w:jc w:val="left"/>
        <w:rPr>
          <w:sz w:val="18"/>
          <w:szCs w:val="18"/>
        </w:rPr>
      </w:pPr>
    </w:p>
    <w:p w14:paraId="5496AC7D" w14:textId="77777777" w:rsidR="006721D7" w:rsidRDefault="006721D7" w:rsidP="00D727BF">
      <w:pPr>
        <w:pStyle w:val="ParagraphNumbering"/>
        <w:numPr>
          <w:ilvl w:val="0"/>
          <w:numId w:val="0"/>
        </w:numPr>
        <w:tabs>
          <w:tab w:val="left" w:pos="720"/>
        </w:tabs>
        <w:ind w:left="360"/>
        <w:jc w:val="left"/>
        <w:rPr>
          <w:sz w:val="18"/>
          <w:szCs w:val="18"/>
        </w:rPr>
      </w:pPr>
    </w:p>
    <w:p w14:paraId="49EC1491" w14:textId="05686A6C" w:rsidR="00693C66" w:rsidRDefault="00180B4A" w:rsidP="00D727BF">
      <w:pPr>
        <w:pStyle w:val="Heading2"/>
        <w:numPr>
          <w:ilvl w:val="0"/>
          <w:numId w:val="0"/>
        </w:numPr>
        <w:tabs>
          <w:tab w:val="left" w:pos="720"/>
        </w:tabs>
        <w:rPr>
          <w:sz w:val="18"/>
          <w:szCs w:val="18"/>
        </w:rPr>
      </w:pPr>
      <w:bookmarkStart w:id="26" w:name="_Toc444877491"/>
      <w:bookmarkStart w:id="27" w:name="_Toc445450266"/>
      <w:r>
        <w:lastRenderedPageBreak/>
        <w:t xml:space="preserve">2. </w:t>
      </w:r>
      <w:r w:rsidR="00693C66">
        <w:t xml:space="preserve">Constraints of the </w:t>
      </w:r>
      <w:r w:rsidR="00B0361A">
        <w:t>P</w:t>
      </w:r>
      <w:r w:rsidR="00693C66">
        <w:t xml:space="preserve">rivate </w:t>
      </w:r>
      <w:r w:rsidR="00B0361A">
        <w:t>S</w:t>
      </w:r>
      <w:r w:rsidR="00693C66">
        <w:t>ector</w:t>
      </w:r>
      <w:bookmarkEnd w:id="26"/>
      <w:bookmarkEnd w:id="27"/>
    </w:p>
    <w:p w14:paraId="72777BDE" w14:textId="31B00C11" w:rsidR="00693C66" w:rsidRPr="00693C66" w:rsidRDefault="00B6428F" w:rsidP="00D727BF">
      <w:pPr>
        <w:pStyle w:val="Heading3"/>
        <w:numPr>
          <w:ilvl w:val="0"/>
          <w:numId w:val="0"/>
        </w:numPr>
        <w:tabs>
          <w:tab w:val="left" w:pos="720"/>
        </w:tabs>
        <w:ind w:left="187" w:hanging="187"/>
        <w:jc w:val="center"/>
        <w:rPr>
          <w:sz w:val="18"/>
          <w:szCs w:val="18"/>
        </w:rPr>
      </w:pPr>
      <w:r>
        <w:t>The informal sector</w:t>
      </w:r>
    </w:p>
    <w:p w14:paraId="07FAED83" w14:textId="6BC2D937" w:rsidR="0027476C" w:rsidRDefault="007E45C5" w:rsidP="00D727BF">
      <w:pPr>
        <w:pStyle w:val="ParagraphNumbering"/>
        <w:numPr>
          <w:ilvl w:val="0"/>
          <w:numId w:val="0"/>
        </w:numPr>
        <w:tabs>
          <w:tab w:val="left" w:pos="720"/>
        </w:tabs>
        <w:spacing w:after="240"/>
      </w:pPr>
      <w:r>
        <w:rPr>
          <w:b/>
        </w:rPr>
        <w:tab/>
      </w:r>
      <w:r w:rsidR="00693C66" w:rsidRPr="000343E4">
        <w:rPr>
          <w:b/>
        </w:rPr>
        <w:t>Th</w:t>
      </w:r>
      <w:r w:rsidR="005A4C45" w:rsidRPr="000343E4">
        <w:rPr>
          <w:b/>
        </w:rPr>
        <w:t>is report</w:t>
      </w:r>
      <w:r w:rsidR="00863D16">
        <w:rPr>
          <w:b/>
        </w:rPr>
        <w:t>’</w:t>
      </w:r>
      <w:r w:rsidR="005A4C45" w:rsidRPr="000343E4">
        <w:rPr>
          <w:b/>
        </w:rPr>
        <w:t>s</w:t>
      </w:r>
      <w:r w:rsidR="00693C66" w:rsidRPr="000343E4">
        <w:rPr>
          <w:b/>
        </w:rPr>
        <w:t xml:space="preserve"> analysis suggests that </w:t>
      </w:r>
      <w:r w:rsidR="005A4C45" w:rsidRPr="000343E4">
        <w:rPr>
          <w:b/>
        </w:rPr>
        <w:t xml:space="preserve">ME </w:t>
      </w:r>
      <w:r w:rsidR="00693C66" w:rsidRPr="000343E4">
        <w:rPr>
          <w:b/>
        </w:rPr>
        <w:t>firms have the potential to create jobs</w:t>
      </w:r>
      <w:r w:rsidR="005A4C45" w:rsidRPr="000343E4">
        <w:rPr>
          <w:b/>
        </w:rPr>
        <w:t>; however, additional analysis is needed to better understand the growth drivers within this subset of firms</w:t>
      </w:r>
      <w:r w:rsidR="00693C66" w:rsidRPr="000343E4">
        <w:rPr>
          <w:b/>
        </w:rPr>
        <w:t>.</w:t>
      </w:r>
      <w:r w:rsidR="00693C66" w:rsidRPr="00693C66">
        <w:t xml:space="preserve"> </w:t>
      </w:r>
      <w:r w:rsidR="005A4C45">
        <w:t xml:space="preserve">Of the firms </w:t>
      </w:r>
      <w:r w:rsidR="0027476C" w:rsidRPr="00850112">
        <w:t xml:space="preserve">that were </w:t>
      </w:r>
      <w:r w:rsidR="005A4C45">
        <w:t xml:space="preserve">operational </w:t>
      </w:r>
      <w:r w:rsidR="0027476C" w:rsidRPr="00850112">
        <w:t xml:space="preserve">in both 2011 and 2013, 54 percent of the MEs in 2013 were operated as </w:t>
      </w:r>
      <w:r w:rsidR="005A4C45">
        <w:t>HEs</w:t>
      </w:r>
      <w:r w:rsidR="0027476C" w:rsidRPr="00850112">
        <w:t xml:space="preserve"> in 2011</w:t>
      </w:r>
      <w:r w:rsidR="005A4C45">
        <w:t>,</w:t>
      </w:r>
      <w:r w:rsidR="0027476C" w:rsidRPr="00850112">
        <w:t xml:space="preserve"> </w:t>
      </w:r>
      <w:r w:rsidR="005A4C45">
        <w:t xml:space="preserve">which </w:t>
      </w:r>
      <w:r w:rsidR="0027476C" w:rsidRPr="00850112">
        <w:t xml:space="preserve">suggests that </w:t>
      </w:r>
      <w:r w:rsidR="00B6428F">
        <w:t>HEs</w:t>
      </w:r>
      <w:r w:rsidR="0027476C" w:rsidRPr="00850112">
        <w:t xml:space="preserve"> are able to transition</w:t>
      </w:r>
      <w:r w:rsidR="0027476C">
        <w:t xml:space="preserve"> to MEs</w:t>
      </w:r>
      <w:r w:rsidR="005A4C45">
        <w:t xml:space="preserve">. </w:t>
      </w:r>
      <w:r w:rsidR="009865D4">
        <w:t>External shocks play a role in this transition; h</w:t>
      </w:r>
      <w:r w:rsidR="005A4C45">
        <w:t>owever, given</w:t>
      </w:r>
      <w:r w:rsidR="0027476C">
        <w:t xml:space="preserve"> </w:t>
      </w:r>
      <w:r w:rsidR="005A4C45" w:rsidRPr="00850112">
        <w:t xml:space="preserve">the large </w:t>
      </w:r>
      <w:r w:rsidR="005A4C45">
        <w:t>number</w:t>
      </w:r>
      <w:r w:rsidR="005A4C45" w:rsidRPr="00850112">
        <w:t xml:space="preserve"> of firms </w:t>
      </w:r>
      <w:r w:rsidR="00D04907">
        <w:t>that</w:t>
      </w:r>
      <w:r w:rsidR="00D04907" w:rsidRPr="00850112">
        <w:t xml:space="preserve"> </w:t>
      </w:r>
      <w:r w:rsidR="005A4C45" w:rsidRPr="00850112">
        <w:t xml:space="preserve">remain </w:t>
      </w:r>
      <w:r w:rsidR="009865D4">
        <w:t>as HEs, external factors explain only a small fraction. Other factors</w:t>
      </w:r>
      <w:r w:rsidR="00D04907">
        <w:t>—</w:t>
      </w:r>
      <w:r w:rsidR="009865D4">
        <w:t>such as household background, personality traits of the owner, and other external factors that may also be explanatory</w:t>
      </w:r>
      <w:r w:rsidR="00D04907">
        <w:t>—</w:t>
      </w:r>
      <w:r w:rsidR="009865D4">
        <w:t xml:space="preserve">are not captured in the existing dataset and questionnaire. Therefore, it is not yet possible to </w:t>
      </w:r>
      <w:r w:rsidR="00F92483">
        <w:t>fully understand wh</w:t>
      </w:r>
      <w:r w:rsidR="00D04907">
        <w:t>at</w:t>
      </w:r>
      <w:r w:rsidR="00F92483">
        <w:t xml:space="preserve"> makes</w:t>
      </w:r>
      <w:r w:rsidR="009865D4">
        <w:t xml:space="preserve"> HEs transition to MEs. </w:t>
      </w:r>
    </w:p>
    <w:p w14:paraId="4076606E" w14:textId="53055EB0" w:rsidR="0027476C" w:rsidRDefault="007E45C5" w:rsidP="00D727BF">
      <w:pPr>
        <w:pStyle w:val="ParagraphNumbering"/>
        <w:numPr>
          <w:ilvl w:val="0"/>
          <w:numId w:val="0"/>
        </w:numPr>
        <w:tabs>
          <w:tab w:val="left" w:pos="720"/>
        </w:tabs>
        <w:spacing w:after="0"/>
      </w:pPr>
      <w:r>
        <w:rPr>
          <w:b/>
        </w:rPr>
        <w:tab/>
      </w:r>
      <w:r w:rsidR="00C36385" w:rsidRPr="000343E4">
        <w:rPr>
          <w:b/>
        </w:rPr>
        <w:t>T</w:t>
      </w:r>
      <w:r w:rsidR="0027476C" w:rsidRPr="000343E4">
        <w:rPr>
          <w:b/>
        </w:rPr>
        <w:t>h</w:t>
      </w:r>
      <w:r w:rsidR="00C36385" w:rsidRPr="000343E4">
        <w:rPr>
          <w:b/>
        </w:rPr>
        <w:t xml:space="preserve">is </w:t>
      </w:r>
      <w:r w:rsidR="0027476C" w:rsidRPr="000343E4">
        <w:rPr>
          <w:b/>
        </w:rPr>
        <w:t xml:space="preserve">report also investigates the </w:t>
      </w:r>
      <w:r w:rsidR="00184E55">
        <w:rPr>
          <w:b/>
        </w:rPr>
        <w:t>main performance drivers of</w:t>
      </w:r>
      <w:r w:rsidR="00184E55" w:rsidRPr="000343E4">
        <w:rPr>
          <w:b/>
        </w:rPr>
        <w:t xml:space="preserve"> </w:t>
      </w:r>
      <w:r w:rsidR="0027476C" w:rsidRPr="000343E4">
        <w:rPr>
          <w:b/>
        </w:rPr>
        <w:t>both HEs and MEs, with a focus on revenues per worker and total factor productivity (TFP).</w:t>
      </w:r>
      <w:r w:rsidR="0027476C" w:rsidRPr="00B6428F">
        <w:t xml:space="preserve"> </w:t>
      </w:r>
      <w:r w:rsidR="0027476C" w:rsidRPr="00850112">
        <w:t>There are t</w:t>
      </w:r>
      <w:r w:rsidR="0027476C">
        <w:t>wo</w:t>
      </w:r>
      <w:r w:rsidR="0027476C" w:rsidRPr="00850112">
        <w:t xml:space="preserve"> main findings: </w:t>
      </w:r>
    </w:p>
    <w:p w14:paraId="185E2B63" w14:textId="2D140E2A" w:rsidR="0027476C" w:rsidRDefault="0027476C" w:rsidP="00D727BF">
      <w:pPr>
        <w:pStyle w:val="BodyText"/>
        <w:numPr>
          <w:ilvl w:val="0"/>
          <w:numId w:val="9"/>
        </w:numPr>
        <w:tabs>
          <w:tab w:val="left" w:pos="720"/>
        </w:tabs>
        <w:spacing w:before="120" w:after="0"/>
      </w:pPr>
      <w:r>
        <w:t>F</w:t>
      </w:r>
      <w:r w:rsidRPr="00850112">
        <w:t xml:space="preserve">emale-owned </w:t>
      </w:r>
      <w:r w:rsidR="00C36385">
        <w:t xml:space="preserve">HEs </w:t>
      </w:r>
      <w:r w:rsidRPr="00850112">
        <w:t xml:space="preserve">earn far less than </w:t>
      </w:r>
      <w:r w:rsidR="00C36385">
        <w:t xml:space="preserve">male-owned HEs </w:t>
      </w:r>
      <w:r w:rsidRPr="00850112">
        <w:t xml:space="preserve">(30 </w:t>
      </w:r>
      <w:r>
        <w:t xml:space="preserve">and 40 </w:t>
      </w:r>
      <w:r w:rsidRPr="00850112">
        <w:t>percent lower for</w:t>
      </w:r>
      <w:r>
        <w:t xml:space="preserve"> single and married</w:t>
      </w:r>
      <w:r w:rsidR="00C36385">
        <w:t xml:space="preserve"> female owners</w:t>
      </w:r>
      <w:r>
        <w:t>, respectively). However, t</w:t>
      </w:r>
      <w:r w:rsidRPr="00850112">
        <w:t xml:space="preserve">here is no gender gap in the case of </w:t>
      </w:r>
      <w:r w:rsidR="00C36385">
        <w:t>MEs</w:t>
      </w:r>
      <w:r w:rsidR="000E1BD2">
        <w:t>.</w:t>
      </w:r>
      <w:r w:rsidRPr="00850112">
        <w:t xml:space="preserve"> </w:t>
      </w:r>
    </w:p>
    <w:p w14:paraId="6FB33D1E" w14:textId="75702C68" w:rsidR="0027476C" w:rsidRDefault="0027476C" w:rsidP="00D727BF">
      <w:pPr>
        <w:pStyle w:val="BodyText"/>
        <w:numPr>
          <w:ilvl w:val="0"/>
          <w:numId w:val="9"/>
        </w:numPr>
        <w:tabs>
          <w:tab w:val="left" w:pos="720"/>
        </w:tabs>
        <w:spacing w:before="120"/>
      </w:pPr>
      <w:r>
        <w:t>T</w:t>
      </w:r>
      <w:r w:rsidRPr="00850112">
        <w:t xml:space="preserve">here is a positive return on education. </w:t>
      </w:r>
      <w:r w:rsidR="00C36385">
        <w:t>HEs</w:t>
      </w:r>
      <w:r w:rsidRPr="00850112">
        <w:t xml:space="preserve"> operated by owner</w:t>
      </w:r>
      <w:r>
        <w:t>s</w:t>
      </w:r>
      <w:r w:rsidRPr="00850112">
        <w:t xml:space="preserve"> with secondary and tertiary education earn 28 and 42 percent</w:t>
      </w:r>
      <w:r w:rsidR="000E1BD2">
        <w:t xml:space="preserve"> </w:t>
      </w:r>
      <w:r w:rsidR="000E1BD2" w:rsidRPr="00850112">
        <w:t>more</w:t>
      </w:r>
      <w:r w:rsidR="00C36385">
        <w:t xml:space="preserve">, </w:t>
      </w:r>
      <w:r w:rsidR="00C36385" w:rsidRPr="00850112">
        <w:t>respectively</w:t>
      </w:r>
      <w:r w:rsidR="00C36385">
        <w:t>,</w:t>
      </w:r>
      <w:r w:rsidRPr="00850112">
        <w:t xml:space="preserve"> than HE</w:t>
      </w:r>
      <w:r>
        <w:t>s</w:t>
      </w:r>
      <w:r w:rsidRPr="00850112">
        <w:t xml:space="preserve"> operated by an owner without any education or with primary education only. There is also a positive return on tertiary </w:t>
      </w:r>
      <w:r>
        <w:t xml:space="preserve">education for </w:t>
      </w:r>
      <w:r w:rsidR="00C36385">
        <w:t>MEs</w:t>
      </w:r>
      <w:r>
        <w:t>.</w:t>
      </w:r>
    </w:p>
    <w:p w14:paraId="0751CD78" w14:textId="76C5B329" w:rsidR="00704D3C" w:rsidRDefault="00B6428F" w:rsidP="00D727BF">
      <w:pPr>
        <w:pStyle w:val="Heading3"/>
        <w:numPr>
          <w:ilvl w:val="0"/>
          <w:numId w:val="0"/>
        </w:numPr>
        <w:tabs>
          <w:tab w:val="left" w:pos="720"/>
        </w:tabs>
        <w:jc w:val="center"/>
      </w:pPr>
      <w:r>
        <w:t>The formal sector</w:t>
      </w:r>
    </w:p>
    <w:p w14:paraId="4DB8C1D0" w14:textId="3B334F9E" w:rsidR="00980400" w:rsidRPr="00704D3C" w:rsidRDefault="007E45C5" w:rsidP="00D727BF">
      <w:pPr>
        <w:pStyle w:val="ParagraphNumbering"/>
        <w:numPr>
          <w:ilvl w:val="0"/>
          <w:numId w:val="0"/>
        </w:numPr>
        <w:tabs>
          <w:tab w:val="left" w:pos="720"/>
        </w:tabs>
        <w:spacing w:after="240"/>
      </w:pPr>
      <w:r>
        <w:rPr>
          <w:b/>
        </w:rPr>
        <w:tab/>
      </w:r>
      <w:r w:rsidR="00A6456C" w:rsidRPr="00C45EEE">
        <w:rPr>
          <w:b/>
        </w:rPr>
        <w:t xml:space="preserve">Nigerian firms face a </w:t>
      </w:r>
      <w:r w:rsidR="00184E55">
        <w:rPr>
          <w:b/>
        </w:rPr>
        <w:t>challenging</w:t>
      </w:r>
      <w:r w:rsidR="00184E55" w:rsidRPr="00C45EEE">
        <w:rPr>
          <w:b/>
        </w:rPr>
        <w:t xml:space="preserve"> </w:t>
      </w:r>
      <w:r w:rsidR="00A6456C" w:rsidRPr="00C45EEE">
        <w:rPr>
          <w:b/>
        </w:rPr>
        <w:t>business environment.</w:t>
      </w:r>
      <w:r w:rsidR="00A6456C">
        <w:rPr>
          <w:b/>
        </w:rPr>
        <w:t xml:space="preserve"> </w:t>
      </w:r>
      <w:r w:rsidR="00980400" w:rsidRPr="00704D3C">
        <w:t xml:space="preserve">According to the Doing Business </w:t>
      </w:r>
      <w:r w:rsidR="00942839">
        <w:t>R</w:t>
      </w:r>
      <w:r w:rsidR="00942839" w:rsidRPr="00704D3C">
        <w:t>eport</w:t>
      </w:r>
      <w:r w:rsidR="00942839">
        <w:t xml:space="preserve"> (</w:t>
      </w:r>
      <w:r w:rsidR="00AF68F9">
        <w:t>2015</w:t>
      </w:r>
      <w:r w:rsidR="00942839">
        <w:t>)</w:t>
      </w:r>
      <w:r w:rsidR="00980400" w:rsidRPr="00704D3C">
        <w:t xml:space="preserve">, Nigeria ranks near the bottom in </w:t>
      </w:r>
      <w:r w:rsidR="00863D16">
        <w:t>“</w:t>
      </w:r>
      <w:r w:rsidR="00AF68F9">
        <w:t>e</w:t>
      </w:r>
      <w:r w:rsidR="00980400" w:rsidRPr="00704D3C">
        <w:t>ase of doing business</w:t>
      </w:r>
      <w:r w:rsidR="00863D16">
        <w:t>”</w:t>
      </w:r>
      <w:r w:rsidR="00980400" w:rsidRPr="00704D3C">
        <w:t xml:space="preserve"> (170 out of 189 countries). </w:t>
      </w:r>
      <w:r w:rsidR="00C36385">
        <w:t xml:space="preserve">This report </w:t>
      </w:r>
      <w:r w:rsidR="00980400" w:rsidRPr="00704D3C">
        <w:t>consider</w:t>
      </w:r>
      <w:r w:rsidR="00C36385">
        <w:t>s</w:t>
      </w:r>
      <w:r w:rsidR="00980400" w:rsidRPr="00704D3C">
        <w:t xml:space="preserve"> the </w:t>
      </w:r>
      <w:r>
        <w:t>investment climate</w:t>
      </w:r>
      <w:r w:rsidR="00980400" w:rsidRPr="00704D3C">
        <w:t xml:space="preserve"> to include: (a) </w:t>
      </w:r>
      <w:r w:rsidR="00980400" w:rsidRPr="00704D3C">
        <w:rPr>
          <w:i/>
        </w:rPr>
        <w:t>economic incentives</w:t>
      </w:r>
      <w:r w:rsidR="00980400" w:rsidRPr="00704D3C">
        <w:t xml:space="preserve">, which are shaped by a set of macroeconomic policies, a regulatory framework, and public administrative procedures; and (b) </w:t>
      </w:r>
      <w:r w:rsidR="00980400" w:rsidRPr="00704D3C">
        <w:rPr>
          <w:i/>
        </w:rPr>
        <w:t>incentives embodied in institutional arrangements</w:t>
      </w:r>
      <w:r w:rsidR="00980400" w:rsidRPr="00704D3C">
        <w:t>, such as the security of property rights, the rule of law, and governance stability.</w:t>
      </w:r>
      <w:r w:rsidR="00F428F9">
        <w:t xml:space="preserve"> </w:t>
      </w:r>
      <w:r w:rsidR="00980400" w:rsidRPr="00704D3C">
        <w:t>Institutional arrangements influence private investment decisions by structuring the rules of the game as they affect investment uncertainty, risk, and investment safeguards (protection of property rights, enforcement of contracts, and maintenance of integrity of monetary standards).</w:t>
      </w:r>
      <w:r w:rsidR="00980400" w:rsidRPr="00704D3C">
        <w:rPr>
          <w:rStyle w:val="FootnoteReference"/>
        </w:rPr>
        <w:footnoteReference w:id="4"/>
      </w:r>
      <w:r w:rsidR="00F428F9">
        <w:rPr>
          <w:vertAlign w:val="superscript"/>
        </w:rPr>
        <w:t xml:space="preserve"> </w:t>
      </w:r>
      <w:r w:rsidR="00A6456C" w:rsidRPr="00AB05A1">
        <w:t xml:space="preserve">Defined in this manner, the </w:t>
      </w:r>
      <w:r w:rsidR="00A6456C">
        <w:t>business</w:t>
      </w:r>
      <w:r w:rsidR="00A6456C" w:rsidRPr="00AB05A1">
        <w:t xml:space="preserve"> climate </w:t>
      </w:r>
      <w:r w:rsidR="00A6456C">
        <w:t xml:space="preserve">encompasses those attributes </w:t>
      </w:r>
      <w:r w:rsidR="003B71CA">
        <w:t xml:space="preserve">that </w:t>
      </w:r>
      <w:r w:rsidR="00A6456C">
        <w:t xml:space="preserve">will influence </w:t>
      </w:r>
      <w:r w:rsidR="00A6456C" w:rsidRPr="00AB05A1">
        <w:t xml:space="preserve">the </w:t>
      </w:r>
      <w:r w:rsidR="00A6456C">
        <w:t xml:space="preserve">financial </w:t>
      </w:r>
      <w:r w:rsidR="00A6456C" w:rsidRPr="00AB05A1">
        <w:t>return</w:t>
      </w:r>
      <w:r w:rsidR="00A6456C">
        <w:t xml:space="preserve"> </w:t>
      </w:r>
      <w:r w:rsidR="00A6456C">
        <w:lastRenderedPageBreak/>
        <w:t>on</w:t>
      </w:r>
      <w:r w:rsidR="00A6456C" w:rsidRPr="00AB05A1">
        <w:t xml:space="preserve"> dif</w:t>
      </w:r>
      <w:r w:rsidR="00A6456C">
        <w:t>ferent economic activities. Hence, a nonconducive business climate likely will discourage</w:t>
      </w:r>
      <w:r w:rsidR="005F06ED">
        <w:t xml:space="preserve"> </w:t>
      </w:r>
      <w:r w:rsidR="00980400" w:rsidRPr="00704D3C">
        <w:t xml:space="preserve">the private sector from investing in both human and physical capital, leading to low productivity of both labor and capital. According to the last two Nigeria ICAs (2009 and 2011), the three most important constraints were a lack of access to electricity, finance, and transport. </w:t>
      </w:r>
    </w:p>
    <w:p w14:paraId="43F02732" w14:textId="64F06414" w:rsidR="00980400" w:rsidRPr="00086B78" w:rsidRDefault="007E45C5" w:rsidP="00D727BF">
      <w:pPr>
        <w:pStyle w:val="ParagraphNumbering"/>
        <w:numPr>
          <w:ilvl w:val="0"/>
          <w:numId w:val="0"/>
        </w:numPr>
        <w:tabs>
          <w:tab w:val="left" w:pos="720"/>
        </w:tabs>
        <w:rPr>
          <w:rFonts w:ascii="Trebuchet MS" w:eastAsia="Calibri" w:hAnsi="Trebuchet MS"/>
          <w:color w:val="0B73B6" w:themeColor="background2" w:themeShade="BF"/>
          <w:sz w:val="20"/>
          <w:szCs w:val="18"/>
        </w:rPr>
      </w:pPr>
      <w:r>
        <w:rPr>
          <w:b/>
        </w:rPr>
        <w:tab/>
      </w:r>
      <w:r w:rsidR="00704D3C" w:rsidRPr="008D34FE">
        <w:rPr>
          <w:b/>
        </w:rPr>
        <w:t>In 2014</w:t>
      </w:r>
      <w:r w:rsidR="00CE1D9C">
        <w:rPr>
          <w:rFonts w:ascii="Calibri" w:hAnsi="Calibri"/>
          <w:b/>
        </w:rPr>
        <w:t>‒</w:t>
      </w:r>
      <w:r w:rsidR="00704D3C" w:rsidRPr="008D34FE">
        <w:rPr>
          <w:b/>
        </w:rPr>
        <w:t>15, t</w:t>
      </w:r>
      <w:r w:rsidR="00980400" w:rsidRPr="008D34FE">
        <w:rPr>
          <w:b/>
        </w:rPr>
        <w:t xml:space="preserve">he areas of investment climate </w:t>
      </w:r>
      <w:r w:rsidR="000375A9">
        <w:rPr>
          <w:b/>
        </w:rPr>
        <w:t>that</w:t>
      </w:r>
      <w:r w:rsidR="000375A9" w:rsidRPr="008D34FE">
        <w:rPr>
          <w:b/>
        </w:rPr>
        <w:t xml:space="preserve"> </w:t>
      </w:r>
      <w:r w:rsidR="00C36385" w:rsidRPr="008D34FE">
        <w:rPr>
          <w:b/>
        </w:rPr>
        <w:t>most concern</w:t>
      </w:r>
      <w:r w:rsidR="00A22174">
        <w:rPr>
          <w:b/>
        </w:rPr>
        <w:t>ed</w:t>
      </w:r>
      <w:r w:rsidR="00C36385" w:rsidRPr="008D34FE">
        <w:rPr>
          <w:b/>
        </w:rPr>
        <w:t xml:space="preserve"> </w:t>
      </w:r>
      <w:r w:rsidR="00980400" w:rsidRPr="008D34FE">
        <w:rPr>
          <w:b/>
        </w:rPr>
        <w:t xml:space="preserve">firm managers </w:t>
      </w:r>
      <w:r w:rsidR="00A22174">
        <w:rPr>
          <w:b/>
        </w:rPr>
        <w:t>were</w:t>
      </w:r>
      <w:r w:rsidR="00A22174" w:rsidRPr="008D34FE">
        <w:rPr>
          <w:b/>
        </w:rPr>
        <w:t xml:space="preserve"> </w:t>
      </w:r>
      <w:r w:rsidR="00980400" w:rsidRPr="008D34FE">
        <w:rPr>
          <w:b/>
        </w:rPr>
        <w:t>electricity, corruption, and access to finance</w:t>
      </w:r>
      <w:r w:rsidR="00184E55" w:rsidRPr="008D34FE">
        <w:rPr>
          <w:b/>
        </w:rPr>
        <w:t>.</w:t>
      </w:r>
      <w:r w:rsidR="00980400" w:rsidRPr="00704D3C">
        <w:t xml:space="preserve"> </w:t>
      </w:r>
      <w:r w:rsidR="00184E55">
        <w:t xml:space="preserve">When asked to rate the </w:t>
      </w:r>
      <w:r w:rsidR="00F92483">
        <w:t>severity</w:t>
      </w:r>
      <w:r w:rsidR="00184E55">
        <w:t xml:space="preserve"> of </w:t>
      </w:r>
      <w:r>
        <w:t>investment climate</w:t>
      </w:r>
      <w:r w:rsidR="00184E55">
        <w:t xml:space="preserve"> constraints, Nigerian managers were most likely to report electricity, corruption, and access to finance as serious obstacles to business performance. </w:t>
      </w:r>
      <w:r w:rsidR="002D4BE7">
        <w:t>O</w:t>
      </w:r>
      <w:r w:rsidR="00980400" w:rsidRPr="00704D3C">
        <w:t xml:space="preserve">ther areas of </w:t>
      </w:r>
      <w:r>
        <w:t>investment climate</w:t>
      </w:r>
      <w:r w:rsidR="00980400" w:rsidRPr="00704D3C">
        <w:t xml:space="preserve">, </w:t>
      </w:r>
      <w:r w:rsidR="00184E55">
        <w:t xml:space="preserve">such as </w:t>
      </w:r>
      <w:r w:rsidR="00980400" w:rsidRPr="00704D3C">
        <w:t xml:space="preserve">political </w:t>
      </w:r>
      <w:r w:rsidR="00A22174">
        <w:t>in</w:t>
      </w:r>
      <w:r w:rsidR="00980400" w:rsidRPr="00704D3C">
        <w:t>stability, access to land, tax rates and administration, and other regulation</w:t>
      </w:r>
      <w:r w:rsidR="00A22174">
        <w:t>s</w:t>
      </w:r>
      <w:r w:rsidR="0058303A">
        <w:t xml:space="preserve"> </w:t>
      </w:r>
      <w:r w:rsidR="002D4BE7">
        <w:t xml:space="preserve">were rated as less serious obstacles </w:t>
      </w:r>
      <w:r w:rsidR="0058303A">
        <w:t>(</w:t>
      </w:r>
      <w:r w:rsidR="00A22174">
        <w:t>f</w:t>
      </w:r>
      <w:r w:rsidR="008D34FE">
        <w:t xml:space="preserve">igure 4 </w:t>
      </w:r>
      <w:r w:rsidR="002D4BE7">
        <w:t>below</w:t>
      </w:r>
      <w:r w:rsidR="0058303A">
        <w:t>)</w:t>
      </w:r>
      <w:r w:rsidR="00980400" w:rsidRPr="00704D3C">
        <w:t>.</w:t>
      </w:r>
      <w:r w:rsidR="00F428F9">
        <w:t xml:space="preserve"> </w:t>
      </w:r>
      <w:r w:rsidR="00980400" w:rsidRPr="00704D3C">
        <w:t xml:space="preserve">When asked </w:t>
      </w:r>
      <w:r w:rsidR="002D4BE7">
        <w:t>to identify the</w:t>
      </w:r>
      <w:r w:rsidR="002D4BE7" w:rsidRPr="00704D3C">
        <w:t xml:space="preserve"> </w:t>
      </w:r>
      <w:r w:rsidR="00980400" w:rsidRPr="00704D3C">
        <w:t>top three constraints</w:t>
      </w:r>
      <w:r w:rsidR="002D4BE7">
        <w:t xml:space="preserve"> to business performance</w:t>
      </w:r>
      <w:r w:rsidR="00980400" w:rsidRPr="00704D3C">
        <w:t xml:space="preserve">, the </w:t>
      </w:r>
      <w:r w:rsidR="002D4BE7">
        <w:t xml:space="preserve">conclusion </w:t>
      </w:r>
      <w:r w:rsidR="00A22174">
        <w:t>was</w:t>
      </w:r>
      <w:r w:rsidR="002D4BE7">
        <w:t xml:space="preserve"> similar</w:t>
      </w:r>
      <w:r w:rsidR="00A22174">
        <w:t xml:space="preserve">: </w:t>
      </w:r>
      <w:r w:rsidR="00980400" w:rsidRPr="00704D3C">
        <w:t>access to finance (30 percent of firms), electricity (27 percent), and corruption (13 percent)</w:t>
      </w:r>
      <w:r w:rsidR="00524F9D">
        <w:t xml:space="preserve"> were the three most reported constraints to doing business</w:t>
      </w:r>
      <w:r w:rsidR="00980400" w:rsidRPr="00704D3C">
        <w:t>.</w:t>
      </w:r>
      <w:r w:rsidR="00F428F9">
        <w:t xml:space="preserve"> </w:t>
      </w:r>
      <w:r w:rsidR="00980400" w:rsidRPr="00704D3C">
        <w:t xml:space="preserve">None of the other constraints </w:t>
      </w:r>
      <w:r w:rsidR="00524F9D">
        <w:t>were listed by</w:t>
      </w:r>
      <w:r w:rsidR="00980400" w:rsidRPr="00704D3C">
        <w:t xml:space="preserve"> more than </w:t>
      </w:r>
      <w:r w:rsidR="00A22174">
        <w:t>6</w:t>
      </w:r>
      <w:r w:rsidR="00A22174" w:rsidRPr="00704D3C">
        <w:t xml:space="preserve"> </w:t>
      </w:r>
      <w:r w:rsidR="00980400" w:rsidRPr="00704D3C">
        <w:t>percent of firms.</w:t>
      </w:r>
      <w:r w:rsidR="00F428F9">
        <w:t xml:space="preserve"> </w:t>
      </w:r>
    </w:p>
    <w:p w14:paraId="6F1C92CF" w14:textId="54EC9AD6" w:rsidR="00980400" w:rsidRPr="00344CC4" w:rsidRDefault="00980400" w:rsidP="00D727BF">
      <w:pPr>
        <w:pStyle w:val="Caption"/>
        <w:tabs>
          <w:tab w:val="left" w:pos="720"/>
        </w:tabs>
        <w:jc w:val="center"/>
      </w:pPr>
      <w:bookmarkStart w:id="28" w:name="_Ref433188915"/>
      <w:bookmarkStart w:id="29" w:name="_Toc445449622"/>
      <w:r w:rsidRPr="00344CC4">
        <w:t xml:space="preserve">Figure </w:t>
      </w:r>
      <w:fldSimple w:instr=" SEQ Figure \* ARABIC ">
        <w:r w:rsidR="008A3BBD">
          <w:rPr>
            <w:noProof/>
          </w:rPr>
          <w:t>4</w:t>
        </w:r>
      </w:fldSimple>
      <w:bookmarkEnd w:id="28"/>
      <w:r w:rsidRPr="00344CC4">
        <w:t>:</w:t>
      </w:r>
      <w:r w:rsidR="00F428F9">
        <w:t xml:space="preserve"> </w:t>
      </w:r>
      <w:r>
        <w:t>Percentage of Firms Citing a Major Obstacle in the Investment Climate</w:t>
      </w:r>
      <w:bookmarkEnd w:id="29"/>
      <w:r>
        <w:t xml:space="preserve"> </w:t>
      </w:r>
    </w:p>
    <w:p w14:paraId="363913C0" w14:textId="77777777" w:rsidR="00980400" w:rsidRPr="006B4370" w:rsidRDefault="00980400" w:rsidP="00D727BF">
      <w:pPr>
        <w:pStyle w:val="Graph"/>
        <w:tabs>
          <w:tab w:val="left" w:pos="720"/>
        </w:tabs>
        <w:rPr>
          <w:rFonts w:ascii="Trebuchet MS" w:hAnsi="Trebuchet MS"/>
        </w:rPr>
      </w:pPr>
      <w:r w:rsidRPr="006B4370">
        <w:rPr>
          <w:rFonts w:ascii="Trebuchet MS" w:hAnsi="Trebuchet MS"/>
          <w:noProof/>
          <w:shd w:val="clear" w:color="auto" w:fill="F2F2F2" w:themeFill="background1" w:themeFillShade="F2"/>
        </w:rPr>
        <w:drawing>
          <wp:inline distT="0" distB="0" distL="0" distR="0" wp14:anchorId="5315BB8F" wp14:editId="03C942C8">
            <wp:extent cx="57912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B76CAA" w14:textId="5F6A0ECC" w:rsidR="00980400" w:rsidRPr="001845F3" w:rsidRDefault="00980400" w:rsidP="00D727BF">
      <w:pPr>
        <w:keepNext/>
        <w:tabs>
          <w:tab w:val="left" w:pos="720"/>
        </w:tabs>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calculations based on data from Enterprise Survey 2014</w:t>
      </w:r>
      <w:r w:rsidR="00CE1D9C">
        <w:rPr>
          <w:rFonts w:ascii="Calibri" w:hAnsi="Calibri" w:cs="Times New Roman"/>
          <w:sz w:val="18"/>
          <w:szCs w:val="18"/>
        </w:rPr>
        <w:t>‒</w:t>
      </w:r>
      <w:r w:rsidR="00CE1D9C">
        <w:rPr>
          <w:rFonts w:cs="Times New Roman"/>
          <w:sz w:val="18"/>
          <w:szCs w:val="18"/>
        </w:rPr>
        <w:t>1</w:t>
      </w:r>
      <w:r w:rsidRPr="001845F3">
        <w:rPr>
          <w:rFonts w:cs="Times New Roman"/>
          <w:sz w:val="18"/>
          <w:szCs w:val="18"/>
        </w:rPr>
        <w:t>5</w:t>
      </w:r>
    </w:p>
    <w:p w14:paraId="0F008AE0" w14:textId="02C6A2D9" w:rsidR="00B55118" w:rsidRDefault="007E45C5" w:rsidP="00D727BF">
      <w:pPr>
        <w:pStyle w:val="ParagraphNumbering"/>
        <w:numPr>
          <w:ilvl w:val="0"/>
          <w:numId w:val="0"/>
        </w:numPr>
        <w:tabs>
          <w:tab w:val="left" w:pos="720"/>
        </w:tabs>
        <w:spacing w:after="240"/>
      </w:pPr>
      <w:r>
        <w:rPr>
          <w:b/>
        </w:rPr>
        <w:tab/>
      </w:r>
      <w:r w:rsidR="00B55118" w:rsidRPr="00B55118">
        <w:rPr>
          <w:b/>
        </w:rPr>
        <w:t xml:space="preserve">Business environment in Nigeria is less conducive than in any other comparator country. </w:t>
      </w:r>
      <w:r w:rsidR="00B55118" w:rsidRPr="0035258E">
        <w:rPr>
          <w:noProof/>
        </w:rPr>
        <w:t>Power</w:t>
      </w:r>
      <w:r w:rsidR="00B55118" w:rsidRPr="0035258E">
        <w:t xml:space="preserve"> outages appear to be a more serious problem in Nigeria than in other countries</w:t>
      </w:r>
      <w:r w:rsidR="00CE1D9C">
        <w:t>,</w:t>
      </w:r>
      <w:r w:rsidR="00B55118">
        <w:t xml:space="preserve"> resulting in higher losses, a larger proportion of firms with generators, and ultimately higher costs for electricity and fuel</w:t>
      </w:r>
      <w:r w:rsidR="00B55118" w:rsidRPr="0035258E">
        <w:t xml:space="preserve">. </w:t>
      </w:r>
      <w:r w:rsidR="00B55118">
        <w:t xml:space="preserve">About 24 percent of managers said that bribes are needed to get things done in Nigeria, compared to only about five percent of Chinese managers, ten percent of Brazilian managers, and 15 percent of managers in South Africa. </w:t>
      </w:r>
      <w:r w:rsidR="00B55118" w:rsidRPr="00940481">
        <w:t>Regarding access to finance</w:t>
      </w:r>
      <w:r w:rsidR="00B55118">
        <w:t>,</w:t>
      </w:r>
      <w:r w:rsidR="00B55118" w:rsidRPr="00940481">
        <w:rPr>
          <w:noProof/>
        </w:rPr>
        <w:t xml:space="preserve"> although small firms commonly</w:t>
      </w:r>
      <w:r w:rsidR="00B55118" w:rsidRPr="00940481">
        <w:t xml:space="preserve"> have worse access than large firms, small firms in Nigeria appear to be particularly disadvantaged in this respect when compared to the comparator countries (except Ethiopia). Comparisons with the other benchmark countries also reveal that tax administration </w:t>
      </w:r>
      <w:r w:rsidR="00B55118">
        <w:t>is more of a problem than in comparator countries</w:t>
      </w:r>
      <w:r w:rsidR="00B55118" w:rsidRPr="00940481">
        <w:t>. Overall</w:t>
      </w:r>
      <w:r w:rsidR="00B55118">
        <w:t>,</w:t>
      </w:r>
      <w:r w:rsidR="00B55118" w:rsidRPr="00940481">
        <w:t xml:space="preserve"> the business environment in Nigeria appear</w:t>
      </w:r>
      <w:r w:rsidR="00B55118">
        <w:t>s</w:t>
      </w:r>
      <w:r w:rsidR="00B55118" w:rsidRPr="00940481">
        <w:t xml:space="preserve"> </w:t>
      </w:r>
      <w:r w:rsidR="00B55118">
        <w:t>unattractive</w:t>
      </w:r>
      <w:r w:rsidR="00B55118" w:rsidRPr="00940481">
        <w:t xml:space="preserve">. </w:t>
      </w:r>
    </w:p>
    <w:p w14:paraId="05D08D47" w14:textId="5FAD91AB" w:rsidR="00980400" w:rsidRDefault="007E45C5" w:rsidP="00D727BF">
      <w:pPr>
        <w:pStyle w:val="ParagraphNumbering"/>
        <w:numPr>
          <w:ilvl w:val="0"/>
          <w:numId w:val="0"/>
        </w:numPr>
        <w:tabs>
          <w:tab w:val="left" w:pos="720"/>
        </w:tabs>
      </w:pPr>
      <w:r>
        <w:lastRenderedPageBreak/>
        <w:tab/>
      </w:r>
      <w:r w:rsidR="002D4BE7">
        <w:t xml:space="preserve">While </w:t>
      </w:r>
      <w:r>
        <w:t>investment climate</w:t>
      </w:r>
      <w:r w:rsidR="002D4BE7">
        <w:t xml:space="preserve"> obstacles vary somewhat across the country, e</w:t>
      </w:r>
      <w:r w:rsidR="00980400" w:rsidRPr="00704D3C">
        <w:t xml:space="preserve">lectricity </w:t>
      </w:r>
      <w:r w:rsidR="002D4BE7">
        <w:t xml:space="preserve">reliability </w:t>
      </w:r>
      <w:r w:rsidR="00980400" w:rsidRPr="00704D3C">
        <w:t xml:space="preserve">and corruption are </w:t>
      </w:r>
      <w:r w:rsidR="002D4BE7">
        <w:t>common to all regions</w:t>
      </w:r>
      <w:r w:rsidR="00524F9D">
        <w:t xml:space="preserve">. </w:t>
      </w:r>
      <w:r w:rsidR="002D4BE7">
        <w:t>Electricity reliability and corruption</w:t>
      </w:r>
      <w:r w:rsidR="00524F9D">
        <w:t xml:space="preserve"> consistently </w:t>
      </w:r>
      <w:r w:rsidR="00980400" w:rsidRPr="00704D3C">
        <w:t xml:space="preserve">rank among the top three </w:t>
      </w:r>
      <w:r w:rsidR="002D4BE7">
        <w:t xml:space="preserve">reported constraints </w:t>
      </w:r>
      <w:r w:rsidR="00980400" w:rsidRPr="00704D3C">
        <w:t xml:space="preserve">in all </w:t>
      </w:r>
      <w:r w:rsidR="002D4BE7">
        <w:t>n</w:t>
      </w:r>
      <w:r w:rsidR="00980400" w:rsidRPr="00704D3C">
        <w:t xml:space="preserve">orthern and </w:t>
      </w:r>
      <w:r w:rsidR="002D4BE7">
        <w:t>s</w:t>
      </w:r>
      <w:r w:rsidR="00980400" w:rsidRPr="00704D3C">
        <w:t>outhern states</w:t>
      </w:r>
      <w:r w:rsidR="0058303A">
        <w:t xml:space="preserve"> (</w:t>
      </w:r>
      <w:r w:rsidR="00CE1D9C">
        <w:t>f</w:t>
      </w:r>
      <w:r w:rsidR="008D34FE">
        <w:t>igure 5 below)</w:t>
      </w:r>
      <w:r w:rsidR="00980400" w:rsidRPr="00704D3C">
        <w:t>.</w:t>
      </w:r>
      <w:r w:rsidR="00F428F9">
        <w:t xml:space="preserve"> </w:t>
      </w:r>
      <w:r w:rsidR="00980400" w:rsidRPr="00704D3C">
        <w:t>There are, however, some differences among provinces.</w:t>
      </w:r>
      <w:r w:rsidR="00F428F9">
        <w:t xml:space="preserve"> </w:t>
      </w:r>
      <w:r w:rsidR="00980400" w:rsidRPr="00704D3C">
        <w:t xml:space="preserve">Firms in </w:t>
      </w:r>
      <w:r w:rsidR="002D4BE7">
        <w:t>n</w:t>
      </w:r>
      <w:r w:rsidR="00980400" w:rsidRPr="00704D3C">
        <w:t xml:space="preserve">orthern states </w:t>
      </w:r>
      <w:r w:rsidR="00524F9D">
        <w:t xml:space="preserve">are more likely to </w:t>
      </w:r>
      <w:r w:rsidR="00980400" w:rsidRPr="00704D3C">
        <w:t>rank political instability among the biggest constraints</w:t>
      </w:r>
      <w:r w:rsidR="00815D39">
        <w:t xml:space="preserve">, whereas in </w:t>
      </w:r>
      <w:r w:rsidR="002D4BE7">
        <w:t>s</w:t>
      </w:r>
      <w:r w:rsidR="00815D39">
        <w:t xml:space="preserve">outhern regions, firms are more concerned with tax rates and access to finance. </w:t>
      </w:r>
    </w:p>
    <w:p w14:paraId="3F1DE88A" w14:textId="77777777" w:rsidR="00704D3C" w:rsidRDefault="00704D3C" w:rsidP="00D727BF">
      <w:pPr>
        <w:pStyle w:val="Caption"/>
        <w:tabs>
          <w:tab w:val="left" w:pos="720"/>
        </w:tabs>
        <w:jc w:val="center"/>
      </w:pPr>
    </w:p>
    <w:p w14:paraId="2CC89644" w14:textId="24C82284" w:rsidR="00980400" w:rsidRPr="00D15501" w:rsidRDefault="00980400" w:rsidP="00D727BF">
      <w:pPr>
        <w:pStyle w:val="Caption"/>
        <w:tabs>
          <w:tab w:val="left" w:pos="720"/>
        </w:tabs>
        <w:jc w:val="center"/>
      </w:pPr>
      <w:bookmarkStart w:id="30" w:name="_Ref433188978"/>
      <w:bookmarkStart w:id="31" w:name="_Toc445449623"/>
      <w:r w:rsidRPr="00D15501">
        <w:t xml:space="preserve">Figure </w:t>
      </w:r>
      <w:fldSimple w:instr=" SEQ Figure \* ARABIC ">
        <w:r w:rsidR="008A3BBD">
          <w:rPr>
            <w:noProof/>
          </w:rPr>
          <w:t>5</w:t>
        </w:r>
      </w:fldSimple>
      <w:bookmarkEnd w:id="30"/>
      <w:r w:rsidRPr="00D15501">
        <w:t xml:space="preserve">: </w:t>
      </w:r>
      <w:r>
        <w:t>Percentage of</w:t>
      </w:r>
      <w:r w:rsidR="00460131">
        <w:t xml:space="preserve"> </w:t>
      </w:r>
      <w:r>
        <w:t>Firms Citing Obstacles in Different Regions</w:t>
      </w:r>
      <w:bookmarkEnd w:id="31"/>
    </w:p>
    <w:p w14:paraId="26396E65" w14:textId="77777777" w:rsidR="00980400" w:rsidRPr="00A926E2" w:rsidRDefault="00980400" w:rsidP="00D727BF">
      <w:pPr>
        <w:pStyle w:val="Graph"/>
        <w:tabs>
          <w:tab w:val="left" w:pos="720"/>
        </w:tabs>
      </w:pPr>
      <w:r>
        <w:rPr>
          <w:noProof/>
        </w:rPr>
        <w:drawing>
          <wp:inline distT="0" distB="0" distL="0" distR="0" wp14:anchorId="5B13A05C" wp14:editId="1AFBE1FC">
            <wp:extent cx="5857875"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191E0B" w14:textId="20BA3D5E" w:rsidR="00704D3C" w:rsidRPr="001845F3" w:rsidRDefault="00980400" w:rsidP="00D727BF">
      <w:pPr>
        <w:keepNext/>
        <w:tabs>
          <w:tab w:val="left" w:pos="720"/>
        </w:tabs>
        <w:spacing w:after="12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calculations based on data from Enterprise Survey 2014</w:t>
      </w:r>
      <w:r w:rsidR="00CE1D9C">
        <w:rPr>
          <w:rFonts w:ascii="Calibri" w:hAnsi="Calibri" w:cs="Times New Roman"/>
          <w:sz w:val="18"/>
          <w:szCs w:val="18"/>
        </w:rPr>
        <w:t>‒</w:t>
      </w:r>
      <w:r w:rsidRPr="001845F3">
        <w:rPr>
          <w:rFonts w:cs="Times New Roman"/>
          <w:sz w:val="18"/>
          <w:szCs w:val="18"/>
        </w:rPr>
        <w:t>15</w:t>
      </w:r>
    </w:p>
    <w:p w14:paraId="2D2B9947" w14:textId="237FF8E6" w:rsidR="0058303A" w:rsidRDefault="0058303A" w:rsidP="00D727BF">
      <w:pPr>
        <w:pStyle w:val="Caption"/>
        <w:tabs>
          <w:tab w:val="left" w:pos="720"/>
        </w:tabs>
        <w:jc w:val="center"/>
      </w:pPr>
    </w:p>
    <w:p w14:paraId="49394CFC" w14:textId="5EF2D3C5" w:rsidR="00BE0B46" w:rsidRPr="006721D7" w:rsidRDefault="00943B33" w:rsidP="00D727BF">
      <w:pPr>
        <w:pStyle w:val="ParagraphNumbering"/>
        <w:numPr>
          <w:ilvl w:val="0"/>
          <w:numId w:val="0"/>
        </w:numPr>
        <w:tabs>
          <w:tab w:val="left" w:pos="720"/>
        </w:tabs>
      </w:pPr>
      <w:bookmarkStart w:id="32" w:name="_Ref433189000"/>
      <w:r>
        <w:rPr>
          <w:b/>
        </w:rPr>
        <w:tab/>
      </w:r>
      <w:r w:rsidR="002D4BE7" w:rsidRPr="006721D7">
        <w:rPr>
          <w:b/>
        </w:rPr>
        <w:t xml:space="preserve">Smaller firms are more concerned by access to finance, while large firms report tax rates and tax administration as serious obstacles. </w:t>
      </w:r>
      <w:r w:rsidR="008D34FE" w:rsidRPr="006721D7">
        <w:t xml:space="preserve">Figure 6 </w:t>
      </w:r>
      <w:r w:rsidR="002D4BE7" w:rsidRPr="006721D7">
        <w:t>below demonstrates that access to finance ranks among the top three constraints for formal manufacturing firms of all sizes. However, small and medium firms tend to be more concerned about access to finance than larger firms</w:t>
      </w:r>
      <w:r w:rsidR="00CE1D9C">
        <w:t>;</w:t>
      </w:r>
      <w:r w:rsidR="002D4BE7" w:rsidRPr="006721D7">
        <w:t xml:space="preserve"> while over 30 percent of small and medium firms report access to finance as a major obstacle, only about 8 percent of large firms felt similarly. Indeed, small firms are far less likely than large firms to have access to bank loans. This is also the case in all comparator countries; however, the difference is particularly striking in Nigeria, where only about 26 percent of small and medium firms have bank loans, compared to 55 percent of large firms</w:t>
      </w:r>
      <w:r w:rsidR="00652236">
        <w:t xml:space="preserve">, </w:t>
      </w:r>
      <w:r w:rsidR="002D4BE7" w:rsidRPr="006721D7">
        <w:t xml:space="preserve">a difference of 29 percent. This </w:t>
      </w:r>
      <w:r w:rsidR="00D8225C" w:rsidRPr="006721D7">
        <w:t xml:space="preserve">difference </w:t>
      </w:r>
      <w:r w:rsidR="002D4BE7" w:rsidRPr="006721D7">
        <w:t>is larger than in any of the comparator countries except Ethiopia, where the difference is 31 percent</w:t>
      </w:r>
      <w:r w:rsidR="00D8225C" w:rsidRPr="006721D7">
        <w:t xml:space="preserve">, which </w:t>
      </w:r>
      <w:r w:rsidR="002D4BE7" w:rsidRPr="006721D7">
        <w:t>suggests that the banking and trade credit systems in Nigeria work well for large firms but not necessarily for small and medium firms. In contrast, large firms were far more concerned than smaller firms about tax rates and tax administration, with 37 and 33 percent of large firms reporting these constraints to be major obstacles, respectively. Fewer than 20 percent of small firms ranked tax rates and administration as serious obstacles. A possible explanation is that small firms can more easily evade tax requirements than large firms and are therefore less concerned about tax rates and administration.</w:t>
      </w:r>
    </w:p>
    <w:p w14:paraId="364B2BD3" w14:textId="77777777" w:rsidR="00BE0B46" w:rsidRDefault="00BE0B46" w:rsidP="00D727BF">
      <w:pPr>
        <w:pStyle w:val="Caption"/>
        <w:tabs>
          <w:tab w:val="left" w:pos="720"/>
        </w:tabs>
        <w:jc w:val="center"/>
      </w:pPr>
    </w:p>
    <w:p w14:paraId="7CDD140B" w14:textId="77777777" w:rsidR="00BE0B46" w:rsidRDefault="00BE0B46" w:rsidP="00D727BF">
      <w:pPr>
        <w:pStyle w:val="Caption"/>
        <w:tabs>
          <w:tab w:val="left" w:pos="720"/>
        </w:tabs>
        <w:jc w:val="center"/>
      </w:pPr>
    </w:p>
    <w:p w14:paraId="186238EC" w14:textId="77777777" w:rsidR="00D8225C" w:rsidRDefault="00D8225C" w:rsidP="00D727BF">
      <w:pPr>
        <w:tabs>
          <w:tab w:val="left" w:pos="720"/>
        </w:tabs>
        <w:rPr>
          <w:rFonts w:ascii="Trebuchet MS" w:eastAsia="Calibri" w:hAnsi="Trebuchet MS" w:cs="Times New Roman"/>
          <w:b/>
          <w:bCs/>
          <w:color w:val="0B73B6" w:themeColor="background2" w:themeShade="BF"/>
          <w:sz w:val="20"/>
          <w:szCs w:val="18"/>
        </w:rPr>
      </w:pPr>
      <w:bookmarkStart w:id="33" w:name="_Ref444674324"/>
      <w:r>
        <w:br w:type="page"/>
      </w:r>
    </w:p>
    <w:p w14:paraId="7CA3F7E1" w14:textId="0060E641" w:rsidR="0058303A" w:rsidRPr="00D15501" w:rsidRDefault="0058303A" w:rsidP="00D727BF">
      <w:pPr>
        <w:pStyle w:val="Caption"/>
        <w:tabs>
          <w:tab w:val="left" w:pos="720"/>
        </w:tabs>
        <w:jc w:val="center"/>
      </w:pPr>
      <w:bookmarkStart w:id="34" w:name="_Toc445449624"/>
      <w:r>
        <w:lastRenderedPageBreak/>
        <w:t>F</w:t>
      </w:r>
      <w:r w:rsidRPr="00D15501">
        <w:t xml:space="preserve">igure </w:t>
      </w:r>
      <w:fldSimple w:instr=" SEQ Figure \* ARABIC ">
        <w:r w:rsidR="008A3BBD">
          <w:rPr>
            <w:noProof/>
          </w:rPr>
          <w:t>6</w:t>
        </w:r>
      </w:fldSimple>
      <w:bookmarkEnd w:id="32"/>
      <w:bookmarkEnd w:id="33"/>
      <w:r w:rsidRPr="00D15501">
        <w:t xml:space="preserve">: </w:t>
      </w:r>
      <w:r>
        <w:t>Percen</w:t>
      </w:r>
      <w:r w:rsidR="00414E57">
        <w:t>tage of Small, Medium</w:t>
      </w:r>
      <w:r w:rsidR="00D94E0A">
        <w:t>,</w:t>
      </w:r>
      <w:r w:rsidR="00414E57">
        <w:t xml:space="preserve"> and Large</w:t>
      </w:r>
      <w:r w:rsidR="00460131">
        <w:t xml:space="preserve"> </w:t>
      </w:r>
      <w:r>
        <w:t>Firms Citing Major Obstacles</w:t>
      </w:r>
      <w:bookmarkEnd w:id="34"/>
    </w:p>
    <w:p w14:paraId="396970B2" w14:textId="00D223A1" w:rsidR="0058303A" w:rsidRPr="00264D25" w:rsidRDefault="0058303A" w:rsidP="00D727BF">
      <w:pPr>
        <w:pStyle w:val="Graph"/>
        <w:tabs>
          <w:tab w:val="left" w:pos="720"/>
        </w:tabs>
        <w:spacing w:before="0"/>
        <w:rPr>
          <w:rFonts w:ascii="Trebuchet MS" w:hAnsi="Trebuchet MS"/>
        </w:rPr>
      </w:pPr>
      <w:r w:rsidRPr="00264D25">
        <w:rPr>
          <w:rFonts w:ascii="Trebuchet MS" w:hAnsi="Trebuchet MS"/>
          <w:noProof/>
        </w:rPr>
        <w:drawing>
          <wp:inline distT="0" distB="0" distL="0" distR="0" wp14:anchorId="4E0D303F" wp14:editId="6B00C61D">
            <wp:extent cx="5810250" cy="2476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6B4AD0" w14:textId="77777777" w:rsidR="00652236" w:rsidRDefault="00652236" w:rsidP="00D727BF">
      <w:pPr>
        <w:keepNext/>
        <w:tabs>
          <w:tab w:val="left" w:pos="720"/>
        </w:tabs>
        <w:spacing w:after="0"/>
        <w:rPr>
          <w:rFonts w:cs="Times New Roman"/>
          <w:sz w:val="18"/>
          <w:szCs w:val="18"/>
        </w:rPr>
      </w:pPr>
    </w:p>
    <w:p w14:paraId="1D151D2E" w14:textId="078A4199" w:rsidR="0058303A" w:rsidRPr="001845F3" w:rsidRDefault="0058303A" w:rsidP="00D727BF">
      <w:pPr>
        <w:keepNext/>
        <w:tabs>
          <w:tab w:val="left" w:pos="720"/>
        </w:tabs>
        <w:spacing w:after="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calculations based on data from Enterprise Survey 2014</w:t>
      </w:r>
      <w:r w:rsidR="00D94E0A">
        <w:rPr>
          <w:rFonts w:ascii="Calibri" w:hAnsi="Calibri" w:cs="Times New Roman"/>
          <w:sz w:val="18"/>
          <w:szCs w:val="18"/>
        </w:rPr>
        <w:t>‒</w:t>
      </w:r>
      <w:r w:rsidRPr="001845F3">
        <w:rPr>
          <w:rFonts w:cs="Times New Roman"/>
          <w:sz w:val="18"/>
          <w:szCs w:val="18"/>
        </w:rPr>
        <w:t>15</w:t>
      </w:r>
    </w:p>
    <w:p w14:paraId="04E40AD0" w14:textId="77777777" w:rsidR="00DE66FF" w:rsidRDefault="00DE66FF" w:rsidP="00D727BF">
      <w:pPr>
        <w:pStyle w:val="ParagraphNumbering"/>
        <w:numPr>
          <w:ilvl w:val="0"/>
          <w:numId w:val="0"/>
        </w:numPr>
        <w:tabs>
          <w:tab w:val="left" w:pos="720"/>
        </w:tabs>
      </w:pPr>
    </w:p>
    <w:p w14:paraId="265F30CD" w14:textId="4101BC92" w:rsidR="00980400" w:rsidRDefault="00414E57" w:rsidP="00D727BF">
      <w:pPr>
        <w:pStyle w:val="Heading3"/>
        <w:numPr>
          <w:ilvl w:val="0"/>
          <w:numId w:val="0"/>
        </w:numPr>
        <w:tabs>
          <w:tab w:val="left" w:pos="720"/>
        </w:tabs>
        <w:jc w:val="center"/>
      </w:pPr>
      <w:r>
        <w:t xml:space="preserve">Focus on the </w:t>
      </w:r>
      <w:r w:rsidR="00F7672E">
        <w:t>m</w:t>
      </w:r>
      <w:r>
        <w:t xml:space="preserve">anufacturing </w:t>
      </w:r>
      <w:r w:rsidR="00F7672E">
        <w:t>s</w:t>
      </w:r>
      <w:r>
        <w:t xml:space="preserve">ector: </w:t>
      </w:r>
      <w:r w:rsidR="00F7672E">
        <w:t>c</w:t>
      </w:r>
      <w:r>
        <w:t xml:space="preserve">ompetitiveness and </w:t>
      </w:r>
      <w:r w:rsidR="00F7672E">
        <w:t>b</w:t>
      </w:r>
      <w:r>
        <w:t xml:space="preserve">usiness </w:t>
      </w:r>
      <w:r w:rsidR="00F7672E">
        <w:t>e</w:t>
      </w:r>
      <w:r>
        <w:t>nvironment</w:t>
      </w:r>
    </w:p>
    <w:p w14:paraId="542C6227" w14:textId="41CE989B" w:rsidR="00AC0176" w:rsidRDefault="00943B33" w:rsidP="00D727BF">
      <w:pPr>
        <w:pStyle w:val="ParagraphNumbering"/>
        <w:numPr>
          <w:ilvl w:val="0"/>
          <w:numId w:val="0"/>
        </w:numPr>
        <w:tabs>
          <w:tab w:val="left" w:pos="720"/>
        </w:tabs>
        <w:spacing w:after="240"/>
      </w:pPr>
      <w:r>
        <w:rPr>
          <w:b/>
        </w:rPr>
        <w:tab/>
      </w:r>
      <w:r w:rsidR="00AC0176">
        <w:rPr>
          <w:b/>
        </w:rPr>
        <w:t xml:space="preserve">The manufacturing sector has been in recession in recent years while services are stagnant. </w:t>
      </w:r>
      <w:r w:rsidR="00AC0176" w:rsidRPr="00AC0176">
        <w:t>According to the Enterprise Survey, b</w:t>
      </w:r>
      <w:r w:rsidR="00AC0176">
        <w:t>etween 2011 and 2014, the average manufacturing firm had sales growth of -5.3 percent. The large decline in sales is not just due to inflation</w:t>
      </w:r>
      <w:r w:rsidR="0094341E">
        <w:t>—</w:t>
      </w:r>
      <w:r w:rsidR="00AC0176">
        <w:t>the average firm reported that sales dropped by 1.3 percent in nominal terms over this period. The largest annual drop in sales between 2011 and 2014 was observed in the chemicals sector (-47 percent), followed by the textile industry (-19 percent), the food and beverage industry (-13 percent) and construction materials (-12 percent). Growth was positive in metals and machinery and paper and publishing. In the service sector,</w:t>
      </w:r>
      <w:r w:rsidR="00AC0176" w:rsidRPr="000F6A00">
        <w:t xml:space="preserve"> growth was </w:t>
      </w:r>
      <w:r w:rsidR="00AC0176">
        <w:t xml:space="preserve">overall </w:t>
      </w:r>
      <w:r w:rsidR="00AC0176" w:rsidRPr="000F6A00">
        <w:t>positive</w:t>
      </w:r>
      <w:r w:rsidR="00652236">
        <w:t>—</w:t>
      </w:r>
      <w:r w:rsidR="00AC0176">
        <w:t>although close to stagnant</w:t>
      </w:r>
      <w:r w:rsidR="00AC0176" w:rsidRPr="000F6A00">
        <w:t>.</w:t>
      </w:r>
      <w:r w:rsidR="00AC0176">
        <w:t xml:space="preserve"> </w:t>
      </w:r>
      <w:r w:rsidR="00C91316">
        <w:t xml:space="preserve">What has prevented the manufacturing </w:t>
      </w:r>
      <w:r w:rsidR="00D94E0A">
        <w:t xml:space="preserve">sector </w:t>
      </w:r>
      <w:r w:rsidR="00C91316">
        <w:t>from being more performance</w:t>
      </w:r>
      <w:r w:rsidR="00D94E0A">
        <w:t xml:space="preserve"> oriented</w:t>
      </w:r>
      <w:r w:rsidR="00C91316">
        <w:t xml:space="preserve"> and growing over the past </w:t>
      </w:r>
      <w:r w:rsidR="0094341E">
        <w:t xml:space="preserve">four </w:t>
      </w:r>
      <w:r w:rsidR="00C91316">
        <w:t>years?</w:t>
      </w:r>
    </w:p>
    <w:p w14:paraId="2CDFF2A7" w14:textId="2DC156B7" w:rsidR="00980400" w:rsidRDefault="00943B33" w:rsidP="00D727BF">
      <w:pPr>
        <w:pStyle w:val="ParagraphNumbering"/>
        <w:numPr>
          <w:ilvl w:val="0"/>
          <w:numId w:val="0"/>
        </w:numPr>
        <w:tabs>
          <w:tab w:val="left" w:pos="720"/>
        </w:tabs>
        <w:spacing w:after="240"/>
      </w:pPr>
      <w:r>
        <w:tab/>
      </w:r>
      <w:r w:rsidR="00A843A2" w:rsidRPr="00C91316">
        <w:t>D</w:t>
      </w:r>
      <w:r w:rsidR="00980400" w:rsidRPr="00C91316">
        <w:t>ifferent measures of firm performance</w:t>
      </w:r>
      <w:r w:rsidR="00A843A2" w:rsidRPr="00C91316">
        <w:t xml:space="preserve"> are derived from analysis of the Enterprise Survey results</w:t>
      </w:r>
      <w:r w:rsidR="00980400" w:rsidRPr="00C91316">
        <w:t>.</w:t>
      </w:r>
      <w:r w:rsidR="00980400" w:rsidRPr="00F33D50">
        <w:t xml:space="preserve"> First, total factor productivity (TFP) is calculated using regression analysis and </w:t>
      </w:r>
      <w:r w:rsidR="00D8225C">
        <w:t>includes</w:t>
      </w:r>
      <w:r w:rsidR="00D8225C" w:rsidRPr="00F33D50">
        <w:t xml:space="preserve"> </w:t>
      </w:r>
      <w:r w:rsidR="00A843A2">
        <w:t xml:space="preserve">consideration </w:t>
      </w:r>
      <w:r w:rsidR="00D8225C">
        <w:t xml:space="preserve">of both </w:t>
      </w:r>
      <w:r w:rsidR="00980400" w:rsidRPr="00F33D50">
        <w:t xml:space="preserve">capital and labor use. </w:t>
      </w:r>
      <w:r w:rsidR="00C91316">
        <w:t>However,</w:t>
      </w:r>
      <w:r w:rsidR="00980400" w:rsidRPr="00F33D50">
        <w:t xml:space="preserve"> productivity is only one </w:t>
      </w:r>
      <w:r w:rsidR="00A843A2">
        <w:t>aspect</w:t>
      </w:r>
      <w:r w:rsidR="00A843A2" w:rsidRPr="00F33D50">
        <w:t xml:space="preserve"> </w:t>
      </w:r>
      <w:r w:rsidR="00980400" w:rsidRPr="00F33D50">
        <w:t xml:space="preserve">of the competitiveness story. Firms with low productivity can remain competitive when wages are comparatively lower. The second measure of firm performance is unit labor cost, calculated as total labor cost divided by value added. Unit labor costs are higher when high labor costs are not fully reflected in high productivity. That is, when unit labor costs are high, all else equal, workers are earning higher wages than their productivity would justify. When this is the case, all else equal, firms will find it difficult to compete </w:t>
      </w:r>
      <w:r w:rsidR="00A843A2">
        <w:t>in</w:t>
      </w:r>
      <w:r w:rsidR="00A843A2" w:rsidRPr="00F33D50">
        <w:t xml:space="preserve"> </w:t>
      </w:r>
      <w:r w:rsidR="00980400" w:rsidRPr="00F33D50">
        <w:t xml:space="preserve">international markets. </w:t>
      </w:r>
      <w:r w:rsidR="00D8225C">
        <w:t>The</w:t>
      </w:r>
      <w:r w:rsidR="00980400" w:rsidRPr="00F33D50">
        <w:t xml:space="preserve"> analysis </w:t>
      </w:r>
      <w:r w:rsidR="00D8225C">
        <w:t xml:space="preserve">additionally </w:t>
      </w:r>
      <w:r w:rsidR="00980400" w:rsidRPr="00F33D50">
        <w:t>presents measures of firm growth, defined as growth of sales and employment.</w:t>
      </w:r>
      <w:r w:rsidR="00980400" w:rsidRPr="00EE2FA7">
        <w:rPr>
          <w:rStyle w:val="FootnoteReference"/>
        </w:rPr>
        <w:footnoteReference w:id="5"/>
      </w:r>
    </w:p>
    <w:p w14:paraId="30B661E2" w14:textId="6D286D3D" w:rsidR="00F33D50" w:rsidRPr="00F33D50" w:rsidRDefault="00D8225C" w:rsidP="00D727BF">
      <w:pPr>
        <w:pStyle w:val="Heading3"/>
        <w:numPr>
          <w:ilvl w:val="0"/>
          <w:numId w:val="0"/>
        </w:numPr>
        <w:tabs>
          <w:tab w:val="left" w:pos="720"/>
        </w:tabs>
        <w:jc w:val="center"/>
      </w:pPr>
      <w:bookmarkStart w:id="35" w:name="_Toc431671638"/>
      <w:r>
        <w:lastRenderedPageBreak/>
        <w:t>L</w:t>
      </w:r>
      <w:r w:rsidR="00980400">
        <w:t xml:space="preserve">ow productivity driven by firms in the </w:t>
      </w:r>
      <w:r>
        <w:t>n</w:t>
      </w:r>
      <w:r w:rsidR="00980400">
        <w:t>orth</w:t>
      </w:r>
      <w:bookmarkEnd w:id="35"/>
    </w:p>
    <w:p w14:paraId="34401A23" w14:textId="756235FD" w:rsidR="00414E57" w:rsidRPr="00560563" w:rsidRDefault="00943B33" w:rsidP="00D727BF">
      <w:pPr>
        <w:pStyle w:val="ParagraphNumbering"/>
        <w:numPr>
          <w:ilvl w:val="0"/>
          <w:numId w:val="0"/>
        </w:numPr>
        <w:tabs>
          <w:tab w:val="left" w:pos="720"/>
        </w:tabs>
        <w:spacing w:after="240"/>
      </w:pPr>
      <w:r>
        <w:rPr>
          <w:b/>
        </w:rPr>
        <w:tab/>
      </w:r>
      <w:r w:rsidR="00D8225C">
        <w:rPr>
          <w:b/>
        </w:rPr>
        <w:t>The TFP of Nigeria</w:t>
      </w:r>
      <w:r w:rsidR="00863D16">
        <w:rPr>
          <w:b/>
        </w:rPr>
        <w:t>’</w:t>
      </w:r>
      <w:r w:rsidR="00D8225C">
        <w:rPr>
          <w:b/>
        </w:rPr>
        <w:t xml:space="preserve">s manufacturing sector is lower than its </w:t>
      </w:r>
      <w:r w:rsidR="001A099C" w:rsidRPr="00560563">
        <w:rPr>
          <w:b/>
        </w:rPr>
        <w:t xml:space="preserve">per capita income </w:t>
      </w:r>
      <w:r w:rsidR="00D8225C">
        <w:rPr>
          <w:b/>
        </w:rPr>
        <w:t>would indicate</w:t>
      </w:r>
      <w:r w:rsidR="00414E57" w:rsidRPr="00560563">
        <w:rPr>
          <w:b/>
        </w:rPr>
        <w:t>.</w:t>
      </w:r>
      <w:r w:rsidR="00414E57" w:rsidRPr="00560563">
        <w:t xml:space="preserve"> </w:t>
      </w:r>
      <w:r w:rsidR="009D0B19" w:rsidRPr="00560563">
        <w:t>When compared with other emerging markets, the TFP of Nigeria</w:t>
      </w:r>
      <w:r w:rsidR="00863D16">
        <w:t>’</w:t>
      </w:r>
      <w:r w:rsidR="009D0B19" w:rsidRPr="00560563">
        <w:t>s manufacturing sector is low. T</w:t>
      </w:r>
      <w:r w:rsidR="00414E57" w:rsidRPr="00560563">
        <w:t>he median manufacturing firm in each of the BRICS economies</w:t>
      </w:r>
      <w:r w:rsidR="009D0B19" w:rsidRPr="00560563">
        <w:t xml:space="preserve"> possesses a TFP that </w:t>
      </w:r>
      <w:r w:rsidR="00414E57" w:rsidRPr="00560563">
        <w:t>is between 376 percent and 982 percent of the median manufacturing firm in Nigeria</w:t>
      </w:r>
      <w:r w:rsidR="00877DF5">
        <w:t xml:space="preserve"> (</w:t>
      </w:r>
      <w:r w:rsidR="00877DF5">
        <w:fldChar w:fldCharType="begin"/>
      </w:r>
      <w:r w:rsidR="00877DF5">
        <w:instrText xml:space="preserve"> REF _Ref445117401 \h </w:instrText>
      </w:r>
      <w:r w:rsidR="00877DF5">
        <w:fldChar w:fldCharType="separate"/>
      </w:r>
      <w:r w:rsidR="002A5268">
        <w:t>f</w:t>
      </w:r>
      <w:r w:rsidR="008A3BBD" w:rsidRPr="004D4126">
        <w:t xml:space="preserve">igure </w:t>
      </w:r>
      <w:r w:rsidR="008A3BBD">
        <w:rPr>
          <w:noProof/>
        </w:rPr>
        <w:t>7</w:t>
      </w:r>
      <w:r w:rsidR="00877DF5">
        <w:fldChar w:fldCharType="end"/>
      </w:r>
      <w:r w:rsidR="00877DF5">
        <w:t xml:space="preserve"> below)</w:t>
      </w:r>
      <w:r w:rsidR="00414E57" w:rsidRPr="00560563">
        <w:t xml:space="preserve">. </w:t>
      </w:r>
      <w:r w:rsidR="009D0B19" w:rsidRPr="00560563">
        <w:t xml:space="preserve">TFP tends to be higher in countries where per capita income is higher, and because </w:t>
      </w:r>
      <w:r w:rsidR="00414E57" w:rsidRPr="00560563">
        <w:t xml:space="preserve">per capita income </w:t>
      </w:r>
      <w:r w:rsidR="009D0B19" w:rsidRPr="00560563">
        <w:t xml:space="preserve">in Nigeria </w:t>
      </w:r>
      <w:r w:rsidR="00414E57" w:rsidRPr="00560563">
        <w:t xml:space="preserve">is </w:t>
      </w:r>
      <w:r w:rsidR="009D0B19" w:rsidRPr="00560563">
        <w:t xml:space="preserve">lower than </w:t>
      </w:r>
      <w:r w:rsidR="00414E57" w:rsidRPr="00560563">
        <w:t xml:space="preserve">in most of the BRICS </w:t>
      </w:r>
      <w:r w:rsidR="009D0B19" w:rsidRPr="00560563">
        <w:t>countries, this finding is not surprising</w:t>
      </w:r>
      <w:r w:rsidR="00414E57" w:rsidRPr="00560563">
        <w:t xml:space="preserve">. However, </w:t>
      </w:r>
      <w:r w:rsidR="002A71BB" w:rsidRPr="000343E4">
        <w:t xml:space="preserve">even by the standards of countries with lower per capita incomes than Nigeria, the </w:t>
      </w:r>
      <w:r w:rsidR="003B0938" w:rsidRPr="00560563">
        <w:t>TFP</w:t>
      </w:r>
      <w:r w:rsidR="00414E57" w:rsidRPr="00560563">
        <w:t xml:space="preserve"> </w:t>
      </w:r>
      <w:r w:rsidR="002A71BB" w:rsidRPr="000343E4">
        <w:t xml:space="preserve">of its manufacturing sector </w:t>
      </w:r>
      <w:r w:rsidR="00414E57" w:rsidRPr="00560563">
        <w:t xml:space="preserve">is </w:t>
      </w:r>
      <w:r w:rsidR="002A71BB" w:rsidRPr="000343E4">
        <w:t xml:space="preserve">considered </w:t>
      </w:r>
      <w:r w:rsidR="00414E57" w:rsidRPr="00560563">
        <w:t>low</w:t>
      </w:r>
      <w:r w:rsidR="002A71BB" w:rsidRPr="000343E4">
        <w:t xml:space="preserve">. TFP is </w:t>
      </w:r>
      <w:r w:rsidR="00414E57" w:rsidRPr="00560563">
        <w:t>between two and three times higher in Ethiopia, C</w:t>
      </w:r>
      <w:r w:rsidR="0094341E">
        <w:t>ô</w:t>
      </w:r>
      <w:r w:rsidR="00414E57" w:rsidRPr="00560563">
        <w:t>te d</w:t>
      </w:r>
      <w:r w:rsidR="00863D16">
        <w:t>’</w:t>
      </w:r>
      <w:r w:rsidR="00414E57" w:rsidRPr="00560563">
        <w:t>Ivoire</w:t>
      </w:r>
      <w:r w:rsidR="0094341E">
        <w:t>,</w:t>
      </w:r>
      <w:r w:rsidR="00414E57" w:rsidRPr="00560563">
        <w:t xml:space="preserve"> and Ghana</w:t>
      </w:r>
      <w:r w:rsidR="00D8225C">
        <w:t>,</w:t>
      </w:r>
      <w:r w:rsidR="00414E57" w:rsidRPr="00560563">
        <w:t xml:space="preserve"> and </w:t>
      </w:r>
      <w:r w:rsidR="007333FE">
        <w:t xml:space="preserve">it’s </w:t>
      </w:r>
      <w:r w:rsidR="00414E57" w:rsidRPr="00560563">
        <w:t xml:space="preserve">almost five times higher in Kenya. Overall, these results suggest that TFP in Nigeria should be substantially higher. </w:t>
      </w:r>
    </w:p>
    <w:p w14:paraId="593DC0E9" w14:textId="5B3DAF61" w:rsidR="00980400" w:rsidRPr="004D4126" w:rsidRDefault="00980400" w:rsidP="00D727BF">
      <w:pPr>
        <w:pStyle w:val="Caption"/>
        <w:tabs>
          <w:tab w:val="left" w:pos="720"/>
        </w:tabs>
        <w:jc w:val="center"/>
      </w:pPr>
      <w:bookmarkStart w:id="36" w:name="_Ref445117401"/>
      <w:bookmarkStart w:id="37" w:name="_Toc445449625"/>
      <w:r>
        <w:t>F</w:t>
      </w:r>
      <w:r w:rsidRPr="004D4126">
        <w:t xml:space="preserve">igure </w:t>
      </w:r>
      <w:fldSimple w:instr=" SEQ Figure \* ARABIC ">
        <w:r w:rsidR="008A3BBD">
          <w:rPr>
            <w:noProof/>
          </w:rPr>
          <w:t>7</w:t>
        </w:r>
      </w:fldSimple>
      <w:bookmarkEnd w:id="36"/>
      <w:r w:rsidRPr="004D4126">
        <w:t xml:space="preserve">: </w:t>
      </w:r>
      <w:r>
        <w:t>TFP for a Median Manufacturing Firm in Nigeria and Comparator Countries</w:t>
      </w:r>
      <w:bookmarkEnd w:id="37"/>
    </w:p>
    <w:p w14:paraId="311E86E2" w14:textId="77777777" w:rsidR="00980400" w:rsidRDefault="00980400" w:rsidP="00D727BF">
      <w:pPr>
        <w:keepNext/>
        <w:tabs>
          <w:tab w:val="left" w:pos="720"/>
        </w:tabs>
        <w:spacing w:after="0"/>
      </w:pPr>
      <w:r>
        <w:rPr>
          <w:noProof/>
        </w:rPr>
        <w:drawing>
          <wp:inline distT="0" distB="0" distL="0" distR="0" wp14:anchorId="5C0C71C7" wp14:editId="0F3235C4">
            <wp:extent cx="5915025" cy="22479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295694" w14:textId="4B3C49D1" w:rsidR="00980400" w:rsidRPr="001845F3" w:rsidRDefault="00980400" w:rsidP="00D727BF">
      <w:pPr>
        <w:keepNext/>
        <w:tabs>
          <w:tab w:val="left" w:pos="720"/>
        </w:tabs>
        <w:spacing w:after="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 based on data from Enterprise Survey (2014</w:t>
      </w:r>
      <w:r w:rsidR="0094341E">
        <w:rPr>
          <w:rFonts w:ascii="Calibri" w:hAnsi="Calibri" w:cs="Times New Roman"/>
          <w:sz w:val="18"/>
          <w:szCs w:val="18"/>
        </w:rPr>
        <w:t>‒</w:t>
      </w:r>
      <w:r w:rsidRPr="001845F3">
        <w:rPr>
          <w:rFonts w:cs="Times New Roman"/>
          <w:sz w:val="18"/>
          <w:szCs w:val="18"/>
        </w:rPr>
        <w:t xml:space="preserve">15 for Nigeria, </w:t>
      </w:r>
      <w:r w:rsidR="0094341E">
        <w:rPr>
          <w:rFonts w:cs="Times New Roman"/>
          <w:sz w:val="18"/>
          <w:szCs w:val="18"/>
        </w:rPr>
        <w:t>l</w:t>
      </w:r>
      <w:r w:rsidRPr="001845F3">
        <w:rPr>
          <w:rFonts w:cs="Times New Roman"/>
          <w:sz w:val="18"/>
          <w:szCs w:val="18"/>
        </w:rPr>
        <w:t>atest available year for other countries) Note:</w:t>
      </w:r>
      <w:r w:rsidR="00F428F9" w:rsidRPr="001845F3">
        <w:rPr>
          <w:rFonts w:cs="Times New Roman"/>
          <w:sz w:val="18"/>
          <w:szCs w:val="18"/>
        </w:rPr>
        <w:t xml:space="preserve"> </w:t>
      </w:r>
      <w:r w:rsidRPr="001845F3">
        <w:rPr>
          <w:rFonts w:cs="Times New Roman"/>
          <w:sz w:val="18"/>
          <w:szCs w:val="18"/>
        </w:rPr>
        <w:t>Country estimates are from LAD regressions.</w:t>
      </w:r>
      <w:r w:rsidR="00F428F9" w:rsidRPr="001845F3">
        <w:rPr>
          <w:rFonts w:cs="Times New Roman"/>
          <w:sz w:val="18"/>
          <w:szCs w:val="18"/>
        </w:rPr>
        <w:t xml:space="preserve"> </w:t>
      </w:r>
    </w:p>
    <w:p w14:paraId="4F1EB58F" w14:textId="77777777" w:rsidR="006366A0" w:rsidRDefault="006366A0" w:rsidP="00D727BF">
      <w:pPr>
        <w:pStyle w:val="Caption"/>
        <w:tabs>
          <w:tab w:val="left" w:pos="720"/>
        </w:tabs>
        <w:rPr>
          <w:rFonts w:ascii="Times New Roman" w:hAnsi="Times New Roman"/>
          <w:b w:val="0"/>
          <w:color w:val="auto"/>
          <w:sz w:val="24"/>
          <w:szCs w:val="24"/>
        </w:rPr>
      </w:pPr>
      <w:bookmarkStart w:id="38" w:name="_Ref433189191"/>
    </w:p>
    <w:p w14:paraId="28A34566" w14:textId="5E7C4E18" w:rsidR="00C91316" w:rsidRDefault="00943B33" w:rsidP="00D727BF">
      <w:pPr>
        <w:pStyle w:val="ParagraphNumbering"/>
        <w:numPr>
          <w:ilvl w:val="0"/>
          <w:numId w:val="0"/>
        </w:numPr>
        <w:tabs>
          <w:tab w:val="left" w:pos="720"/>
        </w:tabs>
        <w:spacing w:after="240"/>
      </w:pPr>
      <w:r>
        <w:rPr>
          <w:b/>
        </w:rPr>
        <w:tab/>
      </w:r>
      <w:r w:rsidR="00877DF5" w:rsidRPr="00086B78">
        <w:rPr>
          <w:b/>
        </w:rPr>
        <w:t>Why is TFP so low in Nigeria?</w:t>
      </w:r>
      <w:r w:rsidR="00877DF5">
        <w:t xml:space="preserve"> At least in part, Nigeria</w:t>
      </w:r>
      <w:r w:rsidR="00863D16">
        <w:t>’</w:t>
      </w:r>
      <w:r w:rsidR="00877DF5">
        <w:t>s low productivity measure appears to be driven by low productivity in the country</w:t>
      </w:r>
      <w:r w:rsidR="00863D16">
        <w:t>’</w:t>
      </w:r>
      <w:r w:rsidR="00877DF5">
        <w:t>s north (</w:t>
      </w:r>
      <w:r w:rsidR="00877DF5">
        <w:rPr>
          <w:bCs w:val="0"/>
        </w:rPr>
        <w:fldChar w:fldCharType="begin"/>
      </w:r>
      <w:r w:rsidR="00877DF5">
        <w:instrText xml:space="preserve"> REF _Ref445117554 \h </w:instrText>
      </w:r>
      <w:r w:rsidR="00877DF5">
        <w:rPr>
          <w:bCs w:val="0"/>
        </w:rPr>
      </w:r>
      <w:r w:rsidR="00877DF5">
        <w:rPr>
          <w:bCs w:val="0"/>
        </w:rPr>
        <w:fldChar w:fldCharType="separate"/>
      </w:r>
      <w:r w:rsidR="002A5268">
        <w:t>f</w:t>
      </w:r>
      <w:r w:rsidR="008A3BBD" w:rsidRPr="00914FD1">
        <w:t xml:space="preserve">igure </w:t>
      </w:r>
      <w:r w:rsidR="008A3BBD">
        <w:rPr>
          <w:noProof/>
        </w:rPr>
        <w:t>10</w:t>
      </w:r>
      <w:r w:rsidR="00877DF5">
        <w:rPr>
          <w:bCs w:val="0"/>
        </w:rPr>
        <w:fldChar w:fldCharType="end"/>
      </w:r>
      <w:r w:rsidR="00877DF5">
        <w:t>). While firm productivity in Lagos is similar to that in Ethiopia, Côte d</w:t>
      </w:r>
      <w:r w:rsidR="00863D16">
        <w:t>’</w:t>
      </w:r>
      <w:r w:rsidR="00877DF5">
        <w:t>Ivoire</w:t>
      </w:r>
      <w:r w:rsidR="00C278B2">
        <w:t>,</w:t>
      </w:r>
      <w:r w:rsidR="00877DF5">
        <w:t xml:space="preserve"> or Ghana, cities in Nigeria</w:t>
      </w:r>
      <w:r w:rsidR="00863D16">
        <w:t>’</w:t>
      </w:r>
      <w:r w:rsidR="00877DF5">
        <w:t>s north lag behind considerably</w:t>
      </w:r>
      <w:r w:rsidR="0048243E">
        <w:t>.</w:t>
      </w:r>
      <w:r w:rsidR="00863D16">
        <w:t xml:space="preserve"> </w:t>
      </w:r>
      <w:r w:rsidR="0048243E">
        <w:t>Besides Kano</w:t>
      </w:r>
      <w:r w:rsidR="00C91316">
        <w:t xml:space="preserve"> and Kaduna states</w:t>
      </w:r>
      <w:r w:rsidR="0048243E">
        <w:t xml:space="preserve">, northern cities possess a </w:t>
      </w:r>
      <w:r w:rsidR="00877DF5">
        <w:t xml:space="preserve">TFP </w:t>
      </w:r>
      <w:r w:rsidR="0048243E">
        <w:t xml:space="preserve">that </w:t>
      </w:r>
      <w:r w:rsidR="00877DF5">
        <w:t xml:space="preserve">is approximately </w:t>
      </w:r>
      <w:r w:rsidR="00152840">
        <w:t>one-quarter of</w:t>
      </w:r>
      <w:r w:rsidR="00877DF5">
        <w:t xml:space="preserve"> Lagos</w:t>
      </w:r>
      <w:r w:rsidR="00863D16">
        <w:t>’</w:t>
      </w:r>
      <w:r w:rsidR="0094341E">
        <w:t>s</w:t>
      </w:r>
      <w:r w:rsidR="0048243E">
        <w:t xml:space="preserve">, and approximately </w:t>
      </w:r>
      <w:r w:rsidR="00877DF5">
        <w:t>one-third of southern states</w:t>
      </w:r>
      <w:r w:rsidR="00863D16">
        <w:t>’</w:t>
      </w:r>
      <w:r w:rsidR="00877DF5">
        <w:t xml:space="preserve"> (except Lagos). Overall, this suggests that </w:t>
      </w:r>
      <w:r w:rsidR="00152840">
        <w:t xml:space="preserve">the </w:t>
      </w:r>
      <w:r w:rsidR="00877DF5">
        <w:t xml:space="preserve">low TFP </w:t>
      </w:r>
      <w:r w:rsidR="00152840">
        <w:t>measure</w:t>
      </w:r>
      <w:r w:rsidR="00EE3726">
        <w:t xml:space="preserve"> in </w:t>
      </w:r>
      <w:r w:rsidR="002A2158">
        <w:t xml:space="preserve">the north </w:t>
      </w:r>
      <w:r w:rsidR="00877DF5">
        <w:t>partially accounts for Nigeria</w:t>
      </w:r>
      <w:r w:rsidR="00863D16">
        <w:t>’</w:t>
      </w:r>
      <w:r w:rsidR="00877DF5">
        <w:t xml:space="preserve">s overall low productivity. </w:t>
      </w:r>
    </w:p>
    <w:p w14:paraId="44D796D0" w14:textId="77777777" w:rsidR="00C91316" w:rsidRDefault="00C91316" w:rsidP="00D727BF">
      <w:pPr>
        <w:pStyle w:val="ParagraphNumbering"/>
        <w:numPr>
          <w:ilvl w:val="0"/>
          <w:numId w:val="0"/>
        </w:numPr>
        <w:tabs>
          <w:tab w:val="left" w:pos="720"/>
        </w:tabs>
        <w:spacing w:after="240"/>
        <w:ind w:left="806" w:hanging="360"/>
      </w:pPr>
    </w:p>
    <w:p w14:paraId="154A84DA" w14:textId="77777777" w:rsidR="00C91316" w:rsidRDefault="00C91316" w:rsidP="00D727BF">
      <w:pPr>
        <w:pStyle w:val="ParagraphNumbering"/>
        <w:numPr>
          <w:ilvl w:val="0"/>
          <w:numId w:val="0"/>
        </w:numPr>
        <w:tabs>
          <w:tab w:val="left" w:pos="720"/>
        </w:tabs>
        <w:spacing w:after="240"/>
        <w:ind w:left="806" w:hanging="360"/>
      </w:pPr>
    </w:p>
    <w:p w14:paraId="0F488A59" w14:textId="39944E73" w:rsidR="00C91316" w:rsidRPr="00D92B55" w:rsidRDefault="00C91316" w:rsidP="00D727BF">
      <w:pPr>
        <w:pStyle w:val="ParagraphNumbering"/>
        <w:numPr>
          <w:ilvl w:val="0"/>
          <w:numId w:val="0"/>
        </w:numPr>
        <w:tabs>
          <w:tab w:val="left" w:pos="720"/>
        </w:tabs>
        <w:spacing w:after="240"/>
        <w:ind w:left="806" w:hanging="360"/>
      </w:pPr>
    </w:p>
    <w:p w14:paraId="0F04B897" w14:textId="69A6ED92" w:rsidR="00980400" w:rsidRPr="009664BA" w:rsidRDefault="00980400" w:rsidP="00D727BF">
      <w:pPr>
        <w:pStyle w:val="Caption"/>
        <w:tabs>
          <w:tab w:val="left" w:pos="720"/>
        </w:tabs>
        <w:jc w:val="center"/>
      </w:pPr>
      <w:bookmarkStart w:id="39" w:name="_Toc445449626"/>
      <w:r w:rsidRPr="009664BA">
        <w:t xml:space="preserve">Figure </w:t>
      </w:r>
      <w:fldSimple w:instr=" SEQ Figure \* ARABIC ">
        <w:r w:rsidR="008A3BBD">
          <w:rPr>
            <w:noProof/>
          </w:rPr>
          <w:t>8</w:t>
        </w:r>
      </w:fldSimple>
      <w:bookmarkEnd w:id="38"/>
      <w:r w:rsidRPr="009664BA">
        <w:t xml:space="preserve">: TFP </w:t>
      </w:r>
      <w:r>
        <w:t>for a Median Manufacturing Firm in Lagos and the Other Nigerian Regions</w:t>
      </w:r>
      <w:bookmarkEnd w:id="39"/>
    </w:p>
    <w:p w14:paraId="432A27B0" w14:textId="77777777" w:rsidR="00980400" w:rsidRDefault="00980400" w:rsidP="00D727BF">
      <w:pPr>
        <w:keepNext/>
        <w:tabs>
          <w:tab w:val="left" w:pos="720"/>
        </w:tabs>
        <w:spacing w:after="0"/>
      </w:pPr>
      <w:r>
        <w:rPr>
          <w:noProof/>
        </w:rPr>
        <w:lastRenderedPageBreak/>
        <w:drawing>
          <wp:inline distT="0" distB="0" distL="0" distR="0" wp14:anchorId="16EF7520" wp14:editId="5C375AEE">
            <wp:extent cx="5937250" cy="2303813"/>
            <wp:effectExtent l="0" t="0" r="6350" b="127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415292" w14:textId="68CCABF2" w:rsidR="00980400" w:rsidRPr="001845F3" w:rsidRDefault="00980400" w:rsidP="00D727BF">
      <w:pPr>
        <w:keepNext/>
        <w:tabs>
          <w:tab w:val="left" w:pos="720"/>
        </w:tabs>
        <w:spacing w:after="0"/>
        <w:rPr>
          <w:rFonts w:cs="Times New Roman"/>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 based on data from Enterprise Survey (2014</w:t>
      </w:r>
      <w:r w:rsidR="00C278B2">
        <w:rPr>
          <w:rFonts w:ascii="Calibri" w:hAnsi="Calibri" w:cs="Times New Roman"/>
          <w:sz w:val="18"/>
          <w:szCs w:val="18"/>
        </w:rPr>
        <w:t>‒</w:t>
      </w:r>
      <w:r w:rsidRPr="001845F3">
        <w:rPr>
          <w:rFonts w:cs="Times New Roman"/>
          <w:sz w:val="18"/>
          <w:szCs w:val="18"/>
        </w:rPr>
        <w:t xml:space="preserve">15 for Nigeria, </w:t>
      </w:r>
      <w:r w:rsidR="00C278B2">
        <w:rPr>
          <w:rFonts w:cs="Times New Roman"/>
          <w:sz w:val="18"/>
          <w:szCs w:val="18"/>
        </w:rPr>
        <w:t>l</w:t>
      </w:r>
      <w:r w:rsidRPr="001845F3">
        <w:rPr>
          <w:rFonts w:cs="Times New Roman"/>
          <w:sz w:val="18"/>
          <w:szCs w:val="18"/>
        </w:rPr>
        <w:t>atest available year for other countries) Note:</w:t>
      </w:r>
      <w:r w:rsidR="00F428F9" w:rsidRPr="001845F3">
        <w:rPr>
          <w:rFonts w:cs="Times New Roman"/>
          <w:sz w:val="18"/>
          <w:szCs w:val="18"/>
        </w:rPr>
        <w:t xml:space="preserve"> </w:t>
      </w:r>
      <w:r w:rsidRPr="001845F3">
        <w:rPr>
          <w:rFonts w:cs="Times New Roman"/>
          <w:sz w:val="18"/>
          <w:szCs w:val="18"/>
        </w:rPr>
        <w:t>Country estimates are from LAD regressions.</w:t>
      </w:r>
      <w:r w:rsidR="00F428F9" w:rsidRPr="001845F3">
        <w:rPr>
          <w:rFonts w:cs="Times New Roman"/>
          <w:sz w:val="18"/>
          <w:szCs w:val="18"/>
        </w:rPr>
        <w:t xml:space="preserve"> </w:t>
      </w:r>
    </w:p>
    <w:p w14:paraId="3C097764" w14:textId="77777777" w:rsidR="00980400" w:rsidRDefault="00980400" w:rsidP="00D727BF">
      <w:pPr>
        <w:tabs>
          <w:tab w:val="left" w:pos="720"/>
        </w:tabs>
        <w:spacing w:after="0"/>
      </w:pPr>
    </w:p>
    <w:p w14:paraId="523614B0" w14:textId="3F48FDE3" w:rsidR="00980400" w:rsidRDefault="00980400" w:rsidP="00D727BF">
      <w:pPr>
        <w:pStyle w:val="Heading4"/>
        <w:tabs>
          <w:tab w:val="left" w:pos="720"/>
        </w:tabs>
        <w:spacing w:before="0"/>
      </w:pPr>
      <w:bookmarkStart w:id="40" w:name="_Toc431671639"/>
      <w:r>
        <w:t xml:space="preserve">Nigerian </w:t>
      </w:r>
      <w:r w:rsidR="00F7672E">
        <w:t>M</w:t>
      </w:r>
      <w:r>
        <w:t xml:space="preserve">anufacturing </w:t>
      </w:r>
      <w:r w:rsidR="00F7672E">
        <w:t>S</w:t>
      </w:r>
      <w:r>
        <w:t>ector</w:t>
      </w:r>
      <w:r w:rsidR="00C278B2">
        <w:t>—</w:t>
      </w:r>
      <w:r w:rsidR="00F7672E">
        <w:t>N</w:t>
      </w:r>
      <w:r>
        <w:t xml:space="preserve">oncompetitive </w:t>
      </w:r>
      <w:r w:rsidR="00F7672E">
        <w:t>R</w:t>
      </w:r>
      <w:r>
        <w:t xml:space="preserve">elative to </w:t>
      </w:r>
      <w:r w:rsidR="00F7672E">
        <w:t>O</w:t>
      </w:r>
      <w:r>
        <w:t xml:space="preserve">ther </w:t>
      </w:r>
      <w:r w:rsidR="00F7672E">
        <w:t>C</w:t>
      </w:r>
      <w:r>
        <w:t>ountries</w:t>
      </w:r>
      <w:bookmarkEnd w:id="40"/>
    </w:p>
    <w:p w14:paraId="13F3A579" w14:textId="77777777" w:rsidR="00F33D50" w:rsidRPr="00F33D50" w:rsidRDefault="00F33D50" w:rsidP="00D727BF">
      <w:pPr>
        <w:tabs>
          <w:tab w:val="left" w:pos="720"/>
        </w:tabs>
        <w:spacing w:after="0"/>
      </w:pPr>
    </w:p>
    <w:p w14:paraId="18FC3B0F" w14:textId="7A14D54D" w:rsidR="00414E57" w:rsidRDefault="00F7672E" w:rsidP="00D727BF">
      <w:pPr>
        <w:pStyle w:val="ParagraphNumbering"/>
        <w:numPr>
          <w:ilvl w:val="0"/>
          <w:numId w:val="0"/>
        </w:numPr>
        <w:tabs>
          <w:tab w:val="left" w:pos="720"/>
        </w:tabs>
        <w:spacing w:after="240"/>
        <w:rPr>
          <w:b/>
        </w:rPr>
      </w:pPr>
      <w:r>
        <w:rPr>
          <w:b/>
        </w:rPr>
        <w:tab/>
      </w:r>
      <w:r w:rsidR="00414E57" w:rsidRPr="00FE742B">
        <w:rPr>
          <w:b/>
        </w:rPr>
        <w:t>Unit labor costs are relatively high in Nigeria compared to other African countries.</w:t>
      </w:r>
      <w:r w:rsidR="00414E57">
        <w:rPr>
          <w:b/>
        </w:rPr>
        <w:t xml:space="preserve"> </w:t>
      </w:r>
      <w:r w:rsidR="00414E57" w:rsidRPr="00414E57">
        <w:t xml:space="preserve">The median firm </w:t>
      </w:r>
      <w:r w:rsidR="0004785A">
        <w:t xml:space="preserve">in Nigeria </w:t>
      </w:r>
      <w:r w:rsidR="00414E57" w:rsidRPr="00414E57">
        <w:t>has</w:t>
      </w:r>
      <w:r w:rsidR="00152840">
        <w:t xml:space="preserve"> a</w:t>
      </w:r>
      <w:r w:rsidR="00414E57" w:rsidRPr="00414E57">
        <w:t xml:space="preserve"> unit labor cost</w:t>
      </w:r>
      <w:r w:rsidR="00152840">
        <w:t xml:space="preserve"> </w:t>
      </w:r>
      <w:r w:rsidR="00414E57" w:rsidRPr="00414E57">
        <w:t xml:space="preserve">equal to </w:t>
      </w:r>
      <w:r w:rsidR="0004785A">
        <w:t>approximately</w:t>
      </w:r>
      <w:r w:rsidR="0004785A" w:rsidRPr="00414E57">
        <w:t xml:space="preserve"> </w:t>
      </w:r>
      <w:r w:rsidR="00414E57" w:rsidRPr="00414E57">
        <w:t>31 percent of output (</w:t>
      </w:r>
      <w:r w:rsidR="00152840">
        <w:fldChar w:fldCharType="begin"/>
      </w:r>
      <w:r w:rsidR="00152840">
        <w:instrText xml:space="preserve"> REF _Ref445121545 \h </w:instrText>
      </w:r>
      <w:r w:rsidR="00152840">
        <w:fldChar w:fldCharType="separate"/>
      </w:r>
      <w:r w:rsidR="008A3BBD" w:rsidRPr="00507F70">
        <w:t xml:space="preserve">Figure </w:t>
      </w:r>
      <w:r w:rsidR="008A3BBD">
        <w:rPr>
          <w:noProof/>
        </w:rPr>
        <w:t>9</w:t>
      </w:r>
      <w:r w:rsidR="00152840">
        <w:fldChar w:fldCharType="end"/>
      </w:r>
      <w:r w:rsidR="00414E57" w:rsidRPr="00414E57">
        <w:t xml:space="preserve">). </w:t>
      </w:r>
      <w:r w:rsidR="00152840">
        <w:t xml:space="preserve">The only other African countries that possess a higher unit labor cost are </w:t>
      </w:r>
      <w:r w:rsidR="0004785A" w:rsidRPr="00414E57">
        <w:t>Côte d</w:t>
      </w:r>
      <w:r w:rsidR="00863D16">
        <w:t>’</w:t>
      </w:r>
      <w:r w:rsidR="0004785A" w:rsidRPr="00414E57">
        <w:t>Ivoire (34 percent) and South Africa (45 percent, which is particularly high</w:t>
      </w:r>
      <w:r w:rsidR="00C278B2" w:rsidRPr="00414E57">
        <w:t>)</w:t>
      </w:r>
      <w:r w:rsidR="00C278B2">
        <w:t>.</w:t>
      </w:r>
      <w:r w:rsidR="0004785A" w:rsidRPr="000343E4">
        <w:rPr>
          <w:vertAlign w:val="superscript"/>
        </w:rPr>
        <w:footnoteReference w:id="6"/>
      </w:r>
      <w:r w:rsidR="00152840">
        <w:t xml:space="preserve"> </w:t>
      </w:r>
      <w:r w:rsidR="00414E57" w:rsidRPr="00414E57">
        <w:t>Nigeria</w:t>
      </w:r>
      <w:r w:rsidR="00863D16">
        <w:t>’</w:t>
      </w:r>
      <w:r w:rsidR="00414E57" w:rsidRPr="00414E57">
        <w:t>s unit labor cost compare</w:t>
      </w:r>
      <w:r w:rsidR="00152840">
        <w:t>s</w:t>
      </w:r>
      <w:r w:rsidR="00414E57" w:rsidRPr="00414E57">
        <w:t xml:space="preserve"> more favorably with those in the BRIC economies</w:t>
      </w:r>
      <w:r w:rsidR="00152840">
        <w:t xml:space="preserve">, where it is </w:t>
      </w:r>
      <w:r w:rsidR="00414E57" w:rsidRPr="00414E57">
        <w:t xml:space="preserve">only slightly higher </w:t>
      </w:r>
      <w:r w:rsidR="0004785A">
        <w:t xml:space="preserve">than </w:t>
      </w:r>
      <w:r w:rsidR="00414E57" w:rsidRPr="00414E57">
        <w:t>in China (27 percent), comparable with India and Brazil (31 and 33 percent</w:t>
      </w:r>
      <w:r w:rsidR="0004785A">
        <w:t>, respectively</w:t>
      </w:r>
      <w:r w:rsidR="00414E57" w:rsidRPr="00414E57">
        <w:t>), and lower than in Russia (41 percent).</w:t>
      </w:r>
      <w:r w:rsidR="00414E57" w:rsidRPr="00414E57">
        <w:rPr>
          <w:b/>
        </w:rPr>
        <w:t xml:space="preserve"> </w:t>
      </w:r>
    </w:p>
    <w:p w14:paraId="2CB2F603" w14:textId="6F88DA28" w:rsidR="00B35CEC" w:rsidRPr="00414E57" w:rsidRDefault="00F7672E" w:rsidP="00D727BF">
      <w:pPr>
        <w:pStyle w:val="ParagraphNumbering"/>
        <w:numPr>
          <w:ilvl w:val="0"/>
          <w:numId w:val="0"/>
        </w:numPr>
        <w:tabs>
          <w:tab w:val="left" w:pos="720"/>
        </w:tabs>
        <w:spacing w:after="240"/>
        <w:rPr>
          <w:b/>
        </w:rPr>
      </w:pPr>
      <w:r>
        <w:rPr>
          <w:b/>
        </w:rPr>
        <w:tab/>
      </w:r>
      <w:r w:rsidR="00B35CEC" w:rsidRPr="00FE742B">
        <w:rPr>
          <w:b/>
        </w:rPr>
        <w:t>Unit labor costs differ substantially across Nigeria.</w:t>
      </w:r>
      <w:r w:rsidR="00B35CEC" w:rsidRPr="00414E57">
        <w:rPr>
          <w:b/>
        </w:rPr>
        <w:t xml:space="preserve"> </w:t>
      </w:r>
      <w:r w:rsidR="00B35CEC" w:rsidRPr="00414E57">
        <w:t>In Kano</w:t>
      </w:r>
      <w:r w:rsidR="00B35CEC">
        <w:t xml:space="preserve"> state, </w:t>
      </w:r>
      <w:r w:rsidR="00B35CEC" w:rsidRPr="00414E57">
        <w:t>Kaduna</w:t>
      </w:r>
      <w:r w:rsidR="00B35CEC">
        <w:t xml:space="preserve"> state</w:t>
      </w:r>
      <w:r w:rsidR="00C278B2">
        <w:t>,</w:t>
      </w:r>
      <w:r w:rsidR="00B35CEC" w:rsidRPr="00414E57">
        <w:t xml:space="preserve"> and </w:t>
      </w:r>
      <w:r w:rsidR="00B35CEC">
        <w:t>the rest of the s</w:t>
      </w:r>
      <w:r w:rsidR="00B35CEC" w:rsidRPr="00414E57">
        <w:t>outh</w:t>
      </w:r>
      <w:r w:rsidR="00B35CEC">
        <w:t>ern states</w:t>
      </w:r>
      <w:r w:rsidR="00B35CEC" w:rsidRPr="00414E57">
        <w:t xml:space="preserve">, </w:t>
      </w:r>
      <w:r w:rsidR="00B35CEC">
        <w:t xml:space="preserve">the unit labor cost is </w:t>
      </w:r>
      <w:r w:rsidR="00B35CEC" w:rsidRPr="00414E57">
        <w:t xml:space="preserve">comparable to countries with the lowest </w:t>
      </w:r>
      <w:r w:rsidR="00B35CEC">
        <w:t xml:space="preserve">measures such as Ethiopia, Kenya, and Ghana </w:t>
      </w:r>
      <w:r w:rsidR="00B35CEC" w:rsidRPr="00414E57">
        <w:t>(</w:t>
      </w:r>
      <w:r w:rsidR="00B35CEC">
        <w:fldChar w:fldCharType="begin"/>
      </w:r>
      <w:r w:rsidR="00B35CEC">
        <w:instrText xml:space="preserve"> REF _Ref445117554 \h </w:instrText>
      </w:r>
      <w:r w:rsidR="00B35CEC">
        <w:fldChar w:fldCharType="separate"/>
      </w:r>
      <w:r w:rsidR="002A5268">
        <w:t>f</w:t>
      </w:r>
      <w:r w:rsidR="008A3BBD" w:rsidRPr="00914FD1">
        <w:t xml:space="preserve">igure </w:t>
      </w:r>
      <w:r w:rsidR="008A3BBD">
        <w:rPr>
          <w:noProof/>
        </w:rPr>
        <w:t>10</w:t>
      </w:r>
      <w:r w:rsidR="00B35CEC">
        <w:fldChar w:fldCharType="end"/>
      </w:r>
      <w:r w:rsidR="00AD50AE">
        <w:t>)</w:t>
      </w:r>
      <w:r w:rsidR="00C278B2">
        <w:t>,</w:t>
      </w:r>
      <w:r w:rsidR="00AD50AE">
        <w:t xml:space="preserve"> which suggests a comparative advantage of these states (compared to Lagos)</w:t>
      </w:r>
      <w:r w:rsidR="00AD50AE" w:rsidRPr="00414E57">
        <w:t xml:space="preserve">. Although productivity is low in other </w:t>
      </w:r>
      <w:r w:rsidR="00942839">
        <w:t>northern</w:t>
      </w:r>
      <w:r w:rsidR="00AD50AE" w:rsidRPr="00414E57">
        <w:t xml:space="preserve"> provinces, unit labor costs remain </w:t>
      </w:r>
      <w:r w:rsidR="00AD50AE">
        <w:t xml:space="preserve">also </w:t>
      </w:r>
      <w:r w:rsidR="00AD50AE" w:rsidRPr="00414E57">
        <w:t>relatively modest</w:t>
      </w:r>
      <w:r w:rsidR="00AD50AE">
        <w:t>, which</w:t>
      </w:r>
      <w:r w:rsidR="00AD50AE" w:rsidRPr="00414E57">
        <w:t xml:space="preserve"> suggests that wages are relatively low in </w:t>
      </w:r>
      <w:r w:rsidR="002A2158">
        <w:t xml:space="preserve">the north </w:t>
      </w:r>
      <w:r w:rsidR="00AD50AE" w:rsidRPr="00414E57">
        <w:t xml:space="preserve">compared to other states. In contrast, unit labor costs </w:t>
      </w:r>
      <w:r w:rsidR="00AD50AE">
        <w:t xml:space="preserve">in Lagos </w:t>
      </w:r>
      <w:r w:rsidR="00AD50AE" w:rsidRPr="00414E57">
        <w:t>are high; at 57 percent, they are higher than in any comparator country including South Africa</w:t>
      </w:r>
      <w:r w:rsidR="00C278B2">
        <w:t>—</w:t>
      </w:r>
      <w:r w:rsidR="00AD50AE">
        <w:t>which is not the case for TFP</w:t>
      </w:r>
      <w:r w:rsidR="00AD50AE" w:rsidRPr="00414E57">
        <w:t xml:space="preserve">. This indicates that labor costs in Lagos are too high compared to TFP. As a result, </w:t>
      </w:r>
      <w:r w:rsidR="00AD50AE">
        <w:t>firms</w:t>
      </w:r>
      <w:r w:rsidR="00AD50AE" w:rsidRPr="00414E57">
        <w:t xml:space="preserve"> in Lagos </w:t>
      </w:r>
      <w:r w:rsidR="00AD50AE">
        <w:t>do not appear</w:t>
      </w:r>
      <w:r w:rsidR="00AD50AE" w:rsidRPr="00414E57">
        <w:t xml:space="preserve"> competitive when compared to other countries</w:t>
      </w:r>
      <w:r w:rsidR="00AD50AE">
        <w:t>.</w:t>
      </w:r>
    </w:p>
    <w:p w14:paraId="4CB73D2E" w14:textId="77777777" w:rsidR="00B35CEC" w:rsidRDefault="00B35CEC" w:rsidP="00D727BF">
      <w:pPr>
        <w:pStyle w:val="ParagraphNumbering"/>
        <w:numPr>
          <w:ilvl w:val="0"/>
          <w:numId w:val="0"/>
        </w:numPr>
        <w:tabs>
          <w:tab w:val="left" w:pos="720"/>
        </w:tabs>
        <w:spacing w:after="240"/>
        <w:rPr>
          <w:b/>
        </w:rPr>
      </w:pPr>
    </w:p>
    <w:p w14:paraId="6894A4EF" w14:textId="77777777" w:rsidR="00B35CEC" w:rsidRDefault="00B35CEC" w:rsidP="00D727BF">
      <w:pPr>
        <w:pStyle w:val="ParagraphNumbering"/>
        <w:numPr>
          <w:ilvl w:val="0"/>
          <w:numId w:val="0"/>
        </w:numPr>
        <w:tabs>
          <w:tab w:val="left" w:pos="720"/>
        </w:tabs>
        <w:spacing w:after="240"/>
        <w:rPr>
          <w:b/>
        </w:rPr>
      </w:pPr>
    </w:p>
    <w:p w14:paraId="08EF7208" w14:textId="77777777" w:rsidR="00B35CEC" w:rsidRDefault="00B35CEC" w:rsidP="00D727BF">
      <w:pPr>
        <w:pStyle w:val="ParagraphNumbering"/>
        <w:numPr>
          <w:ilvl w:val="0"/>
          <w:numId w:val="0"/>
        </w:numPr>
        <w:tabs>
          <w:tab w:val="left" w:pos="720"/>
        </w:tabs>
        <w:spacing w:after="240"/>
        <w:rPr>
          <w:b/>
        </w:rPr>
      </w:pPr>
    </w:p>
    <w:p w14:paraId="2C630D22" w14:textId="77777777" w:rsidR="00B35CEC" w:rsidRPr="00414E57" w:rsidRDefault="00B35CEC" w:rsidP="00D727BF">
      <w:pPr>
        <w:pStyle w:val="ParagraphNumbering"/>
        <w:numPr>
          <w:ilvl w:val="0"/>
          <w:numId w:val="0"/>
        </w:numPr>
        <w:tabs>
          <w:tab w:val="left" w:pos="720"/>
        </w:tabs>
        <w:spacing w:after="240"/>
        <w:rPr>
          <w:b/>
        </w:rPr>
      </w:pPr>
    </w:p>
    <w:p w14:paraId="31F7377F" w14:textId="0E1EA935" w:rsidR="00980400" w:rsidRPr="00507F70" w:rsidRDefault="00980400" w:rsidP="00D727BF">
      <w:pPr>
        <w:pStyle w:val="Caption"/>
        <w:tabs>
          <w:tab w:val="left" w:pos="720"/>
        </w:tabs>
        <w:jc w:val="center"/>
      </w:pPr>
      <w:bookmarkStart w:id="41" w:name="_Ref445121545"/>
      <w:bookmarkStart w:id="42" w:name="_Toc445449627"/>
      <w:r w:rsidRPr="00507F70">
        <w:t xml:space="preserve">Figure </w:t>
      </w:r>
      <w:fldSimple w:instr=" SEQ Figure \* ARABIC ">
        <w:r w:rsidR="008A3BBD">
          <w:rPr>
            <w:noProof/>
          </w:rPr>
          <w:t>9</w:t>
        </w:r>
      </w:fldSimple>
      <w:bookmarkEnd w:id="41"/>
      <w:r w:rsidRPr="00507F70">
        <w:t xml:space="preserve">: Unit </w:t>
      </w:r>
      <w:r w:rsidR="002935D8">
        <w:t>L</w:t>
      </w:r>
      <w:r w:rsidRPr="00507F70">
        <w:t xml:space="preserve">abor </w:t>
      </w:r>
      <w:r w:rsidR="002935D8">
        <w:t>C</w:t>
      </w:r>
      <w:r w:rsidRPr="00507F70">
        <w:t>osts</w:t>
      </w:r>
      <w:r>
        <w:t xml:space="preserve"> in </w:t>
      </w:r>
      <w:r w:rsidR="002935D8">
        <w:t>M</w:t>
      </w:r>
      <w:r>
        <w:t>anufacturing</w:t>
      </w:r>
      <w:r w:rsidR="008A7A51">
        <w:t xml:space="preserve"> in 2014</w:t>
      </w:r>
      <w:r w:rsidR="002935D8">
        <w:t>—</w:t>
      </w:r>
      <w:r>
        <w:t xml:space="preserve">Nigeria and </w:t>
      </w:r>
      <w:r w:rsidR="002935D8">
        <w:t>I</w:t>
      </w:r>
      <w:r>
        <w:t xml:space="preserve">ts </w:t>
      </w:r>
      <w:r w:rsidR="00C278B2">
        <w:t>C</w:t>
      </w:r>
      <w:r>
        <w:t xml:space="preserve">omparator </w:t>
      </w:r>
      <w:r w:rsidR="00C278B2">
        <w:t>C</w:t>
      </w:r>
      <w:r>
        <w:t>ountries</w:t>
      </w:r>
      <w:bookmarkEnd w:id="42"/>
    </w:p>
    <w:p w14:paraId="7418E2F8" w14:textId="77777777" w:rsidR="00980400" w:rsidRPr="00507F70" w:rsidRDefault="00980400" w:rsidP="00D727BF">
      <w:pPr>
        <w:keepNext/>
        <w:tabs>
          <w:tab w:val="left" w:pos="720"/>
        </w:tabs>
        <w:spacing w:after="0"/>
        <w:rPr>
          <w:rFonts w:ascii="Trebuchet MS" w:hAnsi="Trebuchet MS"/>
        </w:rPr>
      </w:pPr>
      <w:r w:rsidRPr="00507F70">
        <w:rPr>
          <w:rFonts w:ascii="Trebuchet MS" w:hAnsi="Trebuchet MS"/>
          <w:noProof/>
        </w:rPr>
        <w:lastRenderedPageBreak/>
        <w:drawing>
          <wp:inline distT="0" distB="0" distL="0" distR="0" wp14:anchorId="20B7EAF6" wp14:editId="4A2ED4C3">
            <wp:extent cx="5937250" cy="2434442"/>
            <wp:effectExtent l="0" t="0" r="6350" b="444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C82A25" w14:textId="6E3EB081" w:rsidR="00980400" w:rsidRPr="001845F3" w:rsidRDefault="00980400" w:rsidP="00D727BF">
      <w:pPr>
        <w:keepNext/>
        <w:tabs>
          <w:tab w:val="left" w:pos="720"/>
        </w:tabs>
        <w:spacing w:after="12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calculations based on data from Enterprise Survey (2014</w:t>
      </w:r>
      <w:r w:rsidR="002935D8">
        <w:rPr>
          <w:rFonts w:ascii="Calibri" w:hAnsi="Calibri" w:cs="Times New Roman"/>
          <w:sz w:val="18"/>
          <w:szCs w:val="18"/>
        </w:rPr>
        <w:t>‒</w:t>
      </w:r>
      <w:r w:rsidRPr="001845F3">
        <w:rPr>
          <w:rFonts w:cs="Times New Roman"/>
          <w:sz w:val="18"/>
          <w:szCs w:val="18"/>
        </w:rPr>
        <w:t xml:space="preserve">15 for Nigeria, </w:t>
      </w:r>
      <w:r w:rsidR="002935D8">
        <w:rPr>
          <w:rFonts w:cs="Times New Roman"/>
          <w:sz w:val="18"/>
          <w:szCs w:val="18"/>
        </w:rPr>
        <w:t>l</w:t>
      </w:r>
      <w:r w:rsidRPr="001845F3">
        <w:rPr>
          <w:rFonts w:cs="Times New Roman"/>
          <w:sz w:val="18"/>
          <w:szCs w:val="18"/>
        </w:rPr>
        <w:t xml:space="preserve">atest available year for other countries) </w:t>
      </w:r>
    </w:p>
    <w:p w14:paraId="0F05B692" w14:textId="3D03252B" w:rsidR="00980400" w:rsidRPr="001845F3" w:rsidRDefault="00980400" w:rsidP="00D727BF">
      <w:pPr>
        <w:tabs>
          <w:tab w:val="left" w:pos="720"/>
        </w:tabs>
        <w:spacing w:after="0"/>
        <w:rPr>
          <w:rFonts w:cs="Times New Roman"/>
          <w:sz w:val="18"/>
          <w:szCs w:val="18"/>
        </w:rPr>
      </w:pPr>
      <w:r w:rsidRPr="001845F3">
        <w:rPr>
          <w:rFonts w:cs="Times New Roman"/>
          <w:sz w:val="18"/>
          <w:szCs w:val="18"/>
        </w:rPr>
        <w:t>Note:</w:t>
      </w:r>
      <w:r w:rsidR="00F428F9" w:rsidRPr="001845F3">
        <w:rPr>
          <w:rFonts w:cs="Times New Roman"/>
          <w:sz w:val="18"/>
          <w:szCs w:val="18"/>
        </w:rPr>
        <w:t xml:space="preserve"> </w:t>
      </w:r>
      <w:r w:rsidRPr="001845F3">
        <w:rPr>
          <w:rFonts w:cs="Times New Roman"/>
          <w:sz w:val="18"/>
          <w:szCs w:val="18"/>
        </w:rPr>
        <w:t>Unit labor costs are the ratio of labor costs to labor productivity.</w:t>
      </w:r>
      <w:r w:rsidR="00F428F9" w:rsidRPr="001845F3">
        <w:rPr>
          <w:rFonts w:cs="Times New Roman"/>
          <w:sz w:val="18"/>
          <w:szCs w:val="18"/>
        </w:rPr>
        <w:t xml:space="preserve"> </w:t>
      </w:r>
      <w:r w:rsidRPr="001845F3">
        <w:rPr>
          <w:rFonts w:cs="Times New Roman"/>
          <w:sz w:val="18"/>
          <w:szCs w:val="18"/>
        </w:rPr>
        <w:t xml:space="preserve">See Annex 3 for details. </w:t>
      </w:r>
    </w:p>
    <w:p w14:paraId="6939AC85" w14:textId="77777777" w:rsidR="00980400" w:rsidRDefault="00980400" w:rsidP="00D727BF">
      <w:pPr>
        <w:tabs>
          <w:tab w:val="left" w:pos="720"/>
        </w:tabs>
        <w:spacing w:after="0"/>
        <w:rPr>
          <w:rFonts w:cs="Times New Roman"/>
          <w:szCs w:val="24"/>
        </w:rPr>
      </w:pPr>
    </w:p>
    <w:p w14:paraId="5B681343" w14:textId="5E8E7A31" w:rsidR="00980400" w:rsidRPr="00914FD1" w:rsidRDefault="00980400" w:rsidP="00D727BF">
      <w:pPr>
        <w:pStyle w:val="Caption"/>
        <w:tabs>
          <w:tab w:val="left" w:pos="720"/>
        </w:tabs>
        <w:jc w:val="center"/>
      </w:pPr>
      <w:bookmarkStart w:id="43" w:name="_Ref445117554"/>
      <w:bookmarkStart w:id="44" w:name="_Toc445449628"/>
      <w:r w:rsidRPr="00914FD1">
        <w:t xml:space="preserve">Figure </w:t>
      </w:r>
      <w:fldSimple w:instr=" SEQ Figure \* ARABIC ">
        <w:r w:rsidR="008A3BBD">
          <w:rPr>
            <w:noProof/>
          </w:rPr>
          <w:t>10</w:t>
        </w:r>
      </w:fldSimple>
      <w:bookmarkEnd w:id="43"/>
      <w:r w:rsidRPr="00914FD1">
        <w:t xml:space="preserve">: Unit </w:t>
      </w:r>
      <w:r w:rsidR="002935D8">
        <w:t>L</w:t>
      </w:r>
      <w:r w:rsidRPr="00914FD1">
        <w:t xml:space="preserve">abor </w:t>
      </w:r>
      <w:r w:rsidR="002935D8">
        <w:t>C</w:t>
      </w:r>
      <w:r w:rsidRPr="00914FD1">
        <w:t xml:space="preserve">osts </w:t>
      </w:r>
      <w:r>
        <w:t xml:space="preserve">in </w:t>
      </w:r>
      <w:r w:rsidR="002935D8">
        <w:t>M</w:t>
      </w:r>
      <w:r>
        <w:t xml:space="preserve">anufacturing </w:t>
      </w:r>
      <w:r w:rsidR="008A7A51">
        <w:t>in 20</w:t>
      </w:r>
      <w:r w:rsidR="0058303A">
        <w:t>14</w:t>
      </w:r>
      <w:r w:rsidR="002935D8">
        <w:t>—</w:t>
      </w:r>
      <w:r>
        <w:t xml:space="preserve">Lagos and the </w:t>
      </w:r>
      <w:r w:rsidR="002935D8">
        <w:t>O</w:t>
      </w:r>
      <w:r>
        <w:t xml:space="preserve">ther Nigerian </w:t>
      </w:r>
      <w:r w:rsidR="002935D8">
        <w:t>R</w:t>
      </w:r>
      <w:r>
        <w:t>egions</w:t>
      </w:r>
      <w:bookmarkEnd w:id="44"/>
    </w:p>
    <w:p w14:paraId="42B7C7F5" w14:textId="77777777" w:rsidR="00980400" w:rsidRDefault="00980400" w:rsidP="00D727BF">
      <w:pPr>
        <w:keepNext/>
        <w:tabs>
          <w:tab w:val="left" w:pos="720"/>
        </w:tabs>
        <w:spacing w:after="0"/>
      </w:pPr>
      <w:r>
        <w:rPr>
          <w:noProof/>
        </w:rPr>
        <w:drawing>
          <wp:inline distT="0" distB="0" distL="0" distR="0" wp14:anchorId="6AD5FF2A" wp14:editId="483F0596">
            <wp:extent cx="5962650" cy="2276475"/>
            <wp:effectExtent l="0" t="0" r="0" b="0"/>
            <wp:docPr id="6144" name="Chart 6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7EDAF2" w14:textId="6920692A" w:rsidR="00980400" w:rsidRPr="001845F3" w:rsidRDefault="00980400" w:rsidP="00D727BF">
      <w:pPr>
        <w:keepNext/>
        <w:tabs>
          <w:tab w:val="left" w:pos="720"/>
        </w:tabs>
        <w:spacing w:after="12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calculations based on data from Enterprise Survey 2014</w:t>
      </w:r>
      <w:r w:rsidR="002935D8">
        <w:rPr>
          <w:rFonts w:ascii="Calibri" w:hAnsi="Calibri" w:cs="Times New Roman"/>
          <w:sz w:val="18"/>
          <w:szCs w:val="18"/>
        </w:rPr>
        <w:t>‒</w:t>
      </w:r>
      <w:r w:rsidRPr="001845F3">
        <w:rPr>
          <w:rFonts w:cs="Times New Roman"/>
          <w:sz w:val="18"/>
          <w:szCs w:val="18"/>
        </w:rPr>
        <w:t>15</w:t>
      </w:r>
    </w:p>
    <w:p w14:paraId="60A240B1" w14:textId="1FB432E0" w:rsidR="00980400" w:rsidRPr="001845F3" w:rsidRDefault="00980400" w:rsidP="00D727BF">
      <w:pPr>
        <w:tabs>
          <w:tab w:val="left" w:pos="720"/>
        </w:tabs>
        <w:spacing w:after="0"/>
        <w:rPr>
          <w:rFonts w:cs="Times New Roman"/>
          <w:sz w:val="18"/>
          <w:szCs w:val="18"/>
        </w:rPr>
      </w:pPr>
      <w:r w:rsidRPr="001845F3">
        <w:rPr>
          <w:rFonts w:cs="Times New Roman"/>
          <w:sz w:val="18"/>
          <w:szCs w:val="18"/>
        </w:rPr>
        <w:t>Note:</w:t>
      </w:r>
      <w:r w:rsidR="00F428F9" w:rsidRPr="001845F3">
        <w:rPr>
          <w:rFonts w:cs="Times New Roman"/>
          <w:sz w:val="18"/>
          <w:szCs w:val="18"/>
        </w:rPr>
        <w:t xml:space="preserve"> </w:t>
      </w:r>
      <w:r w:rsidRPr="001845F3">
        <w:rPr>
          <w:rFonts w:cs="Times New Roman"/>
          <w:sz w:val="18"/>
          <w:szCs w:val="18"/>
        </w:rPr>
        <w:t>Unit labor costs are the ratio of labor costs to labor productivity.</w:t>
      </w:r>
      <w:r w:rsidR="00F428F9" w:rsidRPr="001845F3">
        <w:rPr>
          <w:rFonts w:cs="Times New Roman"/>
          <w:sz w:val="18"/>
          <w:szCs w:val="18"/>
        </w:rPr>
        <w:t xml:space="preserve"> </w:t>
      </w:r>
      <w:r w:rsidRPr="001845F3">
        <w:rPr>
          <w:rFonts w:cs="Times New Roman"/>
          <w:sz w:val="18"/>
          <w:szCs w:val="18"/>
        </w:rPr>
        <w:t xml:space="preserve">See Annex 3 for details. </w:t>
      </w:r>
    </w:p>
    <w:p w14:paraId="79E09307" w14:textId="77777777" w:rsidR="00A367E7" w:rsidRDefault="00A367E7" w:rsidP="00D727BF">
      <w:pPr>
        <w:tabs>
          <w:tab w:val="left" w:pos="720"/>
        </w:tabs>
      </w:pPr>
    </w:p>
    <w:p w14:paraId="3ADC8463" w14:textId="67738A74" w:rsidR="00980400" w:rsidRDefault="00152840" w:rsidP="00D727BF">
      <w:pPr>
        <w:pStyle w:val="Heading4"/>
        <w:tabs>
          <w:tab w:val="left" w:pos="720"/>
        </w:tabs>
      </w:pPr>
      <w:r>
        <w:t>L</w:t>
      </w:r>
      <w:r w:rsidR="00414E57">
        <w:t xml:space="preserve">ow </w:t>
      </w:r>
      <w:r w:rsidR="00F7672E">
        <w:t>I</w:t>
      </w:r>
      <w:r w:rsidR="00414E57">
        <w:t xml:space="preserve">nvestment, </w:t>
      </w:r>
      <w:r w:rsidR="00F7672E">
        <w:t>P</w:t>
      </w:r>
      <w:r>
        <w:t xml:space="preserve">articularly </w:t>
      </w:r>
      <w:r w:rsidR="00414E57">
        <w:t xml:space="preserve">in the </w:t>
      </w:r>
      <w:r w:rsidR="00F7672E">
        <w:t>N</w:t>
      </w:r>
      <w:r w:rsidR="00414E57">
        <w:t>orth</w:t>
      </w:r>
    </w:p>
    <w:p w14:paraId="56466C21" w14:textId="77777777" w:rsidR="00414E57" w:rsidRPr="00414E57" w:rsidRDefault="00414E57" w:rsidP="00D727BF">
      <w:pPr>
        <w:tabs>
          <w:tab w:val="left" w:pos="720"/>
        </w:tabs>
        <w:spacing w:after="0"/>
      </w:pPr>
    </w:p>
    <w:p w14:paraId="4C95E5AC" w14:textId="4DA4667C" w:rsidR="00414E57" w:rsidRPr="00F26C12" w:rsidRDefault="00F7672E" w:rsidP="00D727BF">
      <w:pPr>
        <w:pStyle w:val="ParagraphNumbering"/>
        <w:numPr>
          <w:ilvl w:val="0"/>
          <w:numId w:val="0"/>
        </w:numPr>
        <w:tabs>
          <w:tab w:val="left" w:pos="720"/>
        </w:tabs>
        <w:spacing w:after="240"/>
        <w:rPr>
          <w:b/>
        </w:rPr>
      </w:pPr>
      <w:r>
        <w:rPr>
          <w:b/>
        </w:rPr>
        <w:tab/>
      </w:r>
      <w:r w:rsidR="00414E57" w:rsidRPr="00F26C12">
        <w:rPr>
          <w:b/>
        </w:rPr>
        <w:t xml:space="preserve">Nigerian manufacturing firms </w:t>
      </w:r>
      <w:r w:rsidR="00B27D4C">
        <w:rPr>
          <w:b/>
        </w:rPr>
        <w:t>are not big investors</w:t>
      </w:r>
      <w:r w:rsidR="00414E57" w:rsidRPr="00F26C12">
        <w:rPr>
          <w:b/>
        </w:rPr>
        <w:t>.</w:t>
      </w:r>
      <w:r w:rsidR="005F06ED">
        <w:rPr>
          <w:b/>
        </w:rPr>
        <w:t xml:space="preserve"> </w:t>
      </w:r>
      <w:r w:rsidR="00414E57" w:rsidRPr="00414E57">
        <w:t>One possible explanation for this is that firms might underinvest because they think long-term investment is risky.</w:t>
      </w:r>
      <w:r w:rsidR="005F06ED">
        <w:t xml:space="preserve"> </w:t>
      </w:r>
      <w:r w:rsidR="00414E57" w:rsidRPr="00414E57">
        <w:t>Political risk, for example, might discourage firms from investing.</w:t>
      </w:r>
      <w:r w:rsidR="005F06ED">
        <w:t xml:space="preserve"> </w:t>
      </w:r>
      <w:r w:rsidR="00414E57" w:rsidRPr="00414E57">
        <w:t>Similarly, previous studies have found that corruption can discourage investment</w:t>
      </w:r>
      <w:r w:rsidR="002935D8">
        <w:t>—</w:t>
      </w:r>
      <w:r w:rsidR="00414E57" w:rsidRPr="00414E57">
        <w:t xml:space="preserve">firms that are highly capital intensive are more vulnerable to corruption than firms that are highly labor intensive </w:t>
      </w:r>
      <w:r w:rsidR="00414E57" w:rsidRPr="00414E57">
        <w:fldChar w:fldCharType="begin"/>
      </w:r>
      <w:r w:rsidR="00414E57" w:rsidRPr="00414E57">
        <w:instrText xml:space="preserve"> ADDIN EN.CITE &lt;EndNote&gt;&lt;Cite&gt;&lt;Author&gt;Svensson&lt;/Author&gt;&lt;Year&gt;2003&lt;/Year&gt;&lt;RecNum&gt;1500&lt;/RecNum&gt;&lt;DisplayText&gt;(Svensson, 2003)&lt;/DisplayText&gt;&lt;record&gt;&lt;rec-number&gt;1500&lt;/rec-number&gt;&lt;foreign-keys&gt;&lt;key app="EN" db-id="a2axxpp0vxrx2ye0waextew499dexfxaa0v9"&gt;1500&lt;/key&gt;&lt;/foreign-keys&gt;&lt;ref-type name="Journal Article"&gt;17&lt;/ref-type&gt;&lt;contributors&gt;&lt;authors&gt;&lt;author&gt;Svensson, Jakob&lt;/author&gt;&lt;/authors&gt;&lt;/contributors&gt;&lt;titles&gt;&lt;title&gt;Who Must Pay Bribes and How Much? Evidence from a Cross Section of Firms&lt;/title&gt;&lt;secondary-title&gt;Quarterly Journal of Economics&lt;/secondary-title&gt;&lt;/titles&gt;&lt;periodical&gt;&lt;full-title&gt;Quarterly Journal of Economics&lt;/full-title&gt;&lt;/periodical&gt;&lt;pages&gt;207-230&lt;/pages&gt;&lt;volume&gt;118&lt;/volume&gt;&lt;number&gt;1&lt;/number&gt;&lt;reprint-edition&gt;NOT IN FILE&lt;/reprint-edition&gt;&lt;dates&gt;&lt;year&gt;2003&lt;/year&gt;&lt;/dates&gt;&lt;urls&gt;&lt;related-urls&gt;&lt;url&gt;http://dx.doi.org/ doi:10.1162/00335530360535180&lt;/url&gt;&lt;/related-urls&gt;&lt;/urls&gt;&lt;/record&gt;&lt;/Cite&gt;&lt;/EndNote&gt;</w:instrText>
      </w:r>
      <w:r w:rsidR="00414E57" w:rsidRPr="00414E57">
        <w:fldChar w:fldCharType="separate"/>
      </w:r>
      <w:r w:rsidR="00414E57" w:rsidRPr="00414E57">
        <w:t>(</w:t>
      </w:r>
      <w:hyperlink w:anchor="_ENREF_31" w:tooltip="Svensson, 2003 #1500" w:history="1">
        <w:r w:rsidR="00414E57" w:rsidRPr="00414E57">
          <w:t>Svensson 2003</w:t>
        </w:r>
      </w:hyperlink>
      <w:r w:rsidR="00414E57" w:rsidRPr="00414E57">
        <w:t>)</w:t>
      </w:r>
      <w:r w:rsidR="00414E57" w:rsidRPr="00414E57">
        <w:fldChar w:fldCharType="end"/>
      </w:r>
      <w:r w:rsidR="00414E57" w:rsidRPr="00414E57">
        <w:t>.</w:t>
      </w:r>
      <w:r w:rsidR="005F06ED">
        <w:t xml:space="preserve"> </w:t>
      </w:r>
      <w:r w:rsidR="00414E57" w:rsidRPr="00414E57">
        <w:t>Finally, when financial markets are underdeveloped, firms might underinvest because they have to finance investment with internal funds.</w:t>
      </w:r>
      <w:r w:rsidR="005F06ED">
        <w:t xml:space="preserve"> </w:t>
      </w:r>
      <w:r w:rsidR="00414E57" w:rsidRPr="00414E57">
        <w:t xml:space="preserve">As discussed in the next section, Nigerian firms </w:t>
      </w:r>
      <w:r w:rsidR="00B27D4C">
        <w:t>cite</w:t>
      </w:r>
      <w:r w:rsidR="00414E57" w:rsidRPr="00414E57">
        <w:t xml:space="preserve"> corruption, political instability, and access to finance (see section above)</w:t>
      </w:r>
      <w:r w:rsidR="00B27D4C">
        <w:t xml:space="preserve"> as the biggest </w:t>
      </w:r>
      <w:r w:rsidR="00B27D4C">
        <w:lastRenderedPageBreak/>
        <w:t>constraints to doing business</w:t>
      </w:r>
      <w:r w:rsidR="00414E57" w:rsidRPr="00414E57">
        <w:t>.</w:t>
      </w:r>
      <w:r w:rsidR="005F06ED">
        <w:t xml:space="preserve"> </w:t>
      </w:r>
      <w:r w:rsidR="00B27D4C">
        <w:t>Together,</w:t>
      </w:r>
      <w:r w:rsidR="00414E57" w:rsidRPr="00414E57">
        <w:t xml:space="preserve"> these </w:t>
      </w:r>
      <w:r w:rsidR="00B27D4C">
        <w:t xml:space="preserve">constraints may </w:t>
      </w:r>
      <w:r w:rsidR="00414E57" w:rsidRPr="00414E57">
        <w:t xml:space="preserve">discourage </w:t>
      </w:r>
      <w:r w:rsidR="00B27D4C">
        <w:t>investment by Nigerian firms and</w:t>
      </w:r>
      <w:r w:rsidR="00414E57" w:rsidRPr="00414E57">
        <w:t xml:space="preserve"> </w:t>
      </w:r>
      <w:r w:rsidR="00B27D4C">
        <w:t xml:space="preserve">somewhat artificially produce a high </w:t>
      </w:r>
      <w:r w:rsidR="00414E57" w:rsidRPr="00414E57">
        <w:t xml:space="preserve">capital productivity </w:t>
      </w:r>
      <w:r w:rsidR="00B27D4C">
        <w:t>measure</w:t>
      </w:r>
      <w:r w:rsidR="00414E57" w:rsidRPr="00414E57">
        <w:t>.</w:t>
      </w:r>
      <w:r w:rsidR="00F26C12">
        <w:t xml:space="preserve"> </w:t>
      </w:r>
      <w:r w:rsidR="00414E57" w:rsidRPr="00F26C12">
        <w:t xml:space="preserve">The </w:t>
      </w:r>
      <w:r w:rsidR="00B27D4C">
        <w:t xml:space="preserve">issue </w:t>
      </w:r>
      <w:r w:rsidR="00414E57" w:rsidRPr="00F26C12">
        <w:t>seems to be more acute in the northern part of Nigeria</w:t>
      </w:r>
      <w:r w:rsidR="00F26C12">
        <w:t xml:space="preserve">, where firms </w:t>
      </w:r>
      <w:r w:rsidR="00B27D4C">
        <w:t xml:space="preserve">are the most likely to be concerned with </w:t>
      </w:r>
      <w:r w:rsidR="00D71FD4">
        <w:t xml:space="preserve">those </w:t>
      </w:r>
      <w:r w:rsidR="002935D8">
        <w:t>i</w:t>
      </w:r>
      <w:r w:rsidR="00D71FD4">
        <w:t xml:space="preserve">nvestment </w:t>
      </w:r>
      <w:r w:rsidR="002935D8">
        <w:t>c</w:t>
      </w:r>
      <w:r w:rsidR="00D71FD4">
        <w:t>onstraints that might limit investment</w:t>
      </w:r>
      <w:r w:rsidR="00414E57" w:rsidRPr="00F26C12">
        <w:t xml:space="preserve">. </w:t>
      </w:r>
    </w:p>
    <w:p w14:paraId="0D69F7E7" w14:textId="0E2934BA" w:rsidR="00F26C12" w:rsidRDefault="00F26C12" w:rsidP="00D727BF">
      <w:pPr>
        <w:pStyle w:val="Heading4"/>
        <w:tabs>
          <w:tab w:val="left" w:pos="720"/>
        </w:tabs>
      </w:pPr>
      <w:r>
        <w:t>A more conducive business environment in Nigeria could improve firm productivity by 40 percent</w:t>
      </w:r>
      <w:r w:rsidR="002935D8">
        <w:t>.</w:t>
      </w:r>
    </w:p>
    <w:p w14:paraId="2D26A134" w14:textId="77777777" w:rsidR="00F26C12" w:rsidRPr="00F26C12" w:rsidRDefault="00F26C12" w:rsidP="00D727BF">
      <w:pPr>
        <w:tabs>
          <w:tab w:val="left" w:pos="720"/>
        </w:tabs>
        <w:spacing w:after="0"/>
      </w:pPr>
    </w:p>
    <w:p w14:paraId="198F7148" w14:textId="65F9FE5F" w:rsidR="00F26C12" w:rsidRPr="00F26C12" w:rsidRDefault="00F7672E" w:rsidP="00D727BF">
      <w:pPr>
        <w:pStyle w:val="ParagraphNumbering"/>
        <w:numPr>
          <w:ilvl w:val="0"/>
          <w:numId w:val="0"/>
        </w:numPr>
        <w:tabs>
          <w:tab w:val="left" w:pos="720"/>
        </w:tabs>
        <w:spacing w:after="240"/>
        <w:rPr>
          <w:b/>
        </w:rPr>
      </w:pPr>
      <w:r>
        <w:rPr>
          <w:b/>
        </w:rPr>
        <w:tab/>
      </w:r>
      <w:r w:rsidR="00D137D4" w:rsidRPr="000343E4">
        <w:rPr>
          <w:b/>
        </w:rPr>
        <w:t xml:space="preserve">Across </w:t>
      </w:r>
      <w:r w:rsidR="00510AD1" w:rsidRPr="000343E4">
        <w:rPr>
          <w:b/>
        </w:rPr>
        <w:t>every</w:t>
      </w:r>
      <w:r w:rsidR="00D137D4" w:rsidRPr="000343E4">
        <w:rPr>
          <w:b/>
        </w:rPr>
        <w:t xml:space="preserve"> metric of the Enterprise Survey, t</w:t>
      </w:r>
      <w:r w:rsidR="00F26C12" w:rsidRPr="00B023B3">
        <w:rPr>
          <w:b/>
        </w:rPr>
        <w:t xml:space="preserve">he </w:t>
      </w:r>
      <w:r w:rsidR="007E45C5">
        <w:rPr>
          <w:b/>
        </w:rPr>
        <w:t>investment climate</w:t>
      </w:r>
      <w:r w:rsidR="00F26C12" w:rsidRPr="00B023B3">
        <w:rPr>
          <w:b/>
        </w:rPr>
        <w:t xml:space="preserve"> in Nigeria is more </w:t>
      </w:r>
      <w:r w:rsidR="00F56895" w:rsidRPr="00B023B3">
        <w:rPr>
          <w:b/>
        </w:rPr>
        <w:t>challeng</w:t>
      </w:r>
      <w:r w:rsidR="00B023B3" w:rsidRPr="000343E4">
        <w:rPr>
          <w:b/>
        </w:rPr>
        <w:t>ing</w:t>
      </w:r>
      <w:r w:rsidR="00F56895" w:rsidRPr="00B023B3">
        <w:rPr>
          <w:b/>
        </w:rPr>
        <w:t xml:space="preserve"> </w:t>
      </w:r>
      <w:r w:rsidR="00F26C12" w:rsidRPr="00B023B3">
        <w:rPr>
          <w:b/>
        </w:rPr>
        <w:t>than the median developing</w:t>
      </w:r>
      <w:r w:rsidR="00F56895" w:rsidRPr="000343E4">
        <w:rPr>
          <w:b/>
        </w:rPr>
        <w:t>-</w:t>
      </w:r>
      <w:r w:rsidR="00F26C12" w:rsidRPr="00B023B3">
        <w:rPr>
          <w:b/>
        </w:rPr>
        <w:t>country</w:t>
      </w:r>
      <w:r w:rsidR="00F56895" w:rsidRPr="000343E4">
        <w:rPr>
          <w:b/>
        </w:rPr>
        <w:t xml:space="preserve"> level</w:t>
      </w:r>
      <w:r w:rsidR="00F26C12" w:rsidRPr="00B023B3">
        <w:rPr>
          <w:b/>
        </w:rPr>
        <w:t>.</w:t>
      </w:r>
      <w:r w:rsidR="00F26C12" w:rsidRPr="00F26C12">
        <w:rPr>
          <w:b/>
        </w:rPr>
        <w:t xml:space="preserve"> </w:t>
      </w:r>
      <w:r w:rsidR="00F26C12" w:rsidRPr="00F26C12">
        <w:t xml:space="preserve">Manufacturing firms in Nigeria spend more time </w:t>
      </w:r>
      <w:r w:rsidR="00D137D4">
        <w:t>meeting</w:t>
      </w:r>
      <w:r w:rsidR="00F26C12" w:rsidRPr="00F26C12">
        <w:t xml:space="preserve"> regulation</w:t>
      </w:r>
      <w:r w:rsidR="00D137D4">
        <w:t xml:space="preserve"> requirements, pay more bribes, </w:t>
      </w:r>
      <w:r w:rsidR="00F26C12" w:rsidRPr="00F26C12">
        <w:t>and lose more to crime, insecurity</w:t>
      </w:r>
      <w:r w:rsidR="00D71FD4">
        <w:t>,</w:t>
      </w:r>
      <w:r w:rsidR="00F26C12" w:rsidRPr="00F26C12">
        <w:t xml:space="preserve"> and power outages than the median developing country. Manufacturing firms in Nigeria are also less likely to have bank credit, less likely to have their own website</w:t>
      </w:r>
      <w:r w:rsidR="00C52FBB">
        <w:t>s</w:t>
      </w:r>
      <w:r w:rsidR="00F26C12" w:rsidRPr="00F26C12">
        <w:t xml:space="preserve">, less likely to license foreign technologies, and less likely to have training programs. They are also less likely to export and less likely to be foreign owned. All of these factors </w:t>
      </w:r>
      <w:r w:rsidR="00510AD1">
        <w:t xml:space="preserve">contribute to a </w:t>
      </w:r>
      <w:r w:rsidR="00F26C12" w:rsidRPr="00F26C12">
        <w:t>lower TFP.</w:t>
      </w:r>
    </w:p>
    <w:p w14:paraId="2EF99918" w14:textId="0B1C3C50" w:rsidR="00F26C12" w:rsidRPr="00F26C12" w:rsidRDefault="00F7672E" w:rsidP="00D727BF">
      <w:pPr>
        <w:pStyle w:val="ParagraphNumbering"/>
        <w:numPr>
          <w:ilvl w:val="0"/>
          <w:numId w:val="0"/>
        </w:numPr>
        <w:tabs>
          <w:tab w:val="left" w:pos="720"/>
        </w:tabs>
        <w:spacing w:after="240"/>
        <w:rPr>
          <w:b/>
        </w:rPr>
      </w:pPr>
      <w:r>
        <w:tab/>
      </w:r>
      <w:r w:rsidR="00F26C12" w:rsidRPr="004970DC">
        <w:t>If Nigeria</w:t>
      </w:r>
      <w:r w:rsidR="00863D16">
        <w:t>’</w:t>
      </w:r>
      <w:r w:rsidR="00F26C12" w:rsidRPr="004970DC">
        <w:t xml:space="preserve">s </w:t>
      </w:r>
      <w:r w:rsidR="007E45C5">
        <w:t>Investment climate</w:t>
      </w:r>
      <w:r w:rsidR="00F26C12" w:rsidRPr="004970DC">
        <w:t xml:space="preserve"> </w:t>
      </w:r>
      <w:r w:rsidR="00510AD1" w:rsidRPr="004970DC">
        <w:t xml:space="preserve">reached the median level </w:t>
      </w:r>
      <w:r w:rsidR="004970DC" w:rsidRPr="004970DC">
        <w:t xml:space="preserve">of developing countries </w:t>
      </w:r>
      <w:r w:rsidR="00510AD1" w:rsidRPr="004970DC">
        <w:t xml:space="preserve">within </w:t>
      </w:r>
      <w:r w:rsidR="00F26C12" w:rsidRPr="004970DC">
        <w:t xml:space="preserve">each </w:t>
      </w:r>
      <w:r w:rsidR="00F56895" w:rsidRPr="004970DC">
        <w:t xml:space="preserve">performance </w:t>
      </w:r>
      <w:r w:rsidR="00510AD1" w:rsidRPr="004970DC">
        <w:t>metric</w:t>
      </w:r>
      <w:r w:rsidR="00F56895" w:rsidRPr="004970DC">
        <w:t xml:space="preserve"> measured by the Enterprise Survey</w:t>
      </w:r>
      <w:r w:rsidR="00F26C12" w:rsidRPr="004970DC">
        <w:t xml:space="preserve">, TFP would be </w:t>
      </w:r>
      <w:r w:rsidR="00F56895" w:rsidRPr="004970DC">
        <w:t xml:space="preserve">approximately </w:t>
      </w:r>
      <w:r w:rsidR="00F26C12" w:rsidRPr="004970DC">
        <w:t>40 percent higher.</w:t>
      </w:r>
      <w:r w:rsidR="00F26C12" w:rsidRPr="00F26C12">
        <w:t xml:space="preserve"> The biggest gains would come from reducing crime, improving access to credit, reducing losses due to power outages, and increasing use of the Internet. </w:t>
      </w:r>
    </w:p>
    <w:p w14:paraId="524B655E" w14:textId="7579CC65" w:rsidR="00980400" w:rsidRDefault="00980400" w:rsidP="00D727BF">
      <w:pPr>
        <w:pStyle w:val="Heading3"/>
        <w:numPr>
          <w:ilvl w:val="0"/>
          <w:numId w:val="0"/>
        </w:numPr>
        <w:tabs>
          <w:tab w:val="left" w:pos="720"/>
        </w:tabs>
        <w:jc w:val="center"/>
      </w:pPr>
      <w:r>
        <w:t>Innovation</w:t>
      </w:r>
      <w:r w:rsidR="00F33D50">
        <w:t xml:space="preserve"> in Nigeria</w:t>
      </w:r>
    </w:p>
    <w:p w14:paraId="317CAB1B" w14:textId="71BF16AA" w:rsidR="00980400" w:rsidRPr="00F33D50" w:rsidRDefault="00F7672E" w:rsidP="00D727BF">
      <w:pPr>
        <w:pStyle w:val="ParagraphNumbering"/>
        <w:numPr>
          <w:ilvl w:val="0"/>
          <w:numId w:val="0"/>
        </w:numPr>
        <w:tabs>
          <w:tab w:val="left" w:pos="720"/>
        </w:tabs>
        <w:spacing w:after="240"/>
        <w:rPr>
          <w:rFonts w:eastAsia="Calibri"/>
        </w:rPr>
      </w:pPr>
      <w:r>
        <w:rPr>
          <w:rFonts w:eastAsia="Calibri"/>
          <w:b/>
        </w:rPr>
        <w:tab/>
      </w:r>
      <w:r w:rsidR="00F878E5">
        <w:rPr>
          <w:rFonts w:eastAsia="Calibri"/>
          <w:b/>
        </w:rPr>
        <w:t xml:space="preserve">Nigerian firms </w:t>
      </w:r>
      <w:r w:rsidR="00D71FD4">
        <w:rPr>
          <w:rFonts w:eastAsia="Calibri"/>
          <w:b/>
        </w:rPr>
        <w:t xml:space="preserve">possess </w:t>
      </w:r>
      <w:r w:rsidR="00F878E5">
        <w:rPr>
          <w:rFonts w:eastAsia="Calibri"/>
          <w:b/>
        </w:rPr>
        <w:t>a low degree of technological innovation.</w:t>
      </w:r>
      <w:r w:rsidR="00F878E5">
        <w:rPr>
          <w:rFonts w:eastAsia="Calibri"/>
        </w:rPr>
        <w:t xml:space="preserve"> </w:t>
      </w:r>
      <w:r w:rsidR="008A7A51">
        <w:rPr>
          <w:rFonts w:eastAsia="Calibri"/>
        </w:rPr>
        <w:t>In 2014, o</w:t>
      </w:r>
      <w:r w:rsidR="00980400" w:rsidRPr="00F33D50">
        <w:rPr>
          <w:rFonts w:eastAsia="Calibri"/>
        </w:rPr>
        <w:t>nly 14 percent of Nigerian firms introduced a product innovation</w:t>
      </w:r>
      <w:r w:rsidR="002935D8">
        <w:rPr>
          <w:rFonts w:eastAsia="Calibri"/>
        </w:rPr>
        <w:t>,</w:t>
      </w:r>
      <w:r w:rsidR="00980400" w:rsidRPr="00F33D50">
        <w:rPr>
          <w:rFonts w:eastAsia="Calibri"/>
        </w:rPr>
        <w:t xml:space="preserve"> and </w:t>
      </w:r>
      <w:r w:rsidR="00D71FD4">
        <w:rPr>
          <w:rFonts w:eastAsia="Calibri"/>
        </w:rPr>
        <w:t>approximately</w:t>
      </w:r>
      <w:r w:rsidR="00D71FD4" w:rsidRPr="00F33D50">
        <w:rPr>
          <w:rFonts w:eastAsia="Calibri"/>
        </w:rPr>
        <w:t xml:space="preserve"> </w:t>
      </w:r>
      <w:r w:rsidR="00980400" w:rsidRPr="00F33D50">
        <w:rPr>
          <w:rFonts w:eastAsia="Calibri"/>
        </w:rPr>
        <w:t xml:space="preserve">30 percent introduced a process innovation. Technological innovations, product or/and process, </w:t>
      </w:r>
      <w:r w:rsidR="00510AD1">
        <w:rPr>
          <w:rFonts w:eastAsia="Calibri"/>
        </w:rPr>
        <w:t>were</w:t>
      </w:r>
      <w:r w:rsidR="00510AD1" w:rsidRPr="00F33D50">
        <w:rPr>
          <w:rFonts w:eastAsia="Calibri"/>
        </w:rPr>
        <w:t xml:space="preserve"> </w:t>
      </w:r>
      <w:r w:rsidR="00980400" w:rsidRPr="00F33D50">
        <w:rPr>
          <w:rFonts w:eastAsia="Calibri"/>
        </w:rPr>
        <w:t xml:space="preserve">introduced by </w:t>
      </w:r>
      <w:r w:rsidR="00D71FD4">
        <w:rPr>
          <w:rFonts w:eastAsia="Calibri"/>
        </w:rPr>
        <w:t xml:space="preserve">only </w:t>
      </w:r>
      <w:r w:rsidR="00980400" w:rsidRPr="00F33D50">
        <w:rPr>
          <w:rFonts w:eastAsia="Calibri"/>
        </w:rPr>
        <w:t xml:space="preserve">37 percent of firms. Nontechnological innovations </w:t>
      </w:r>
      <w:r w:rsidR="002935D8">
        <w:rPr>
          <w:rFonts w:eastAsia="Calibri"/>
        </w:rPr>
        <w:t>were</w:t>
      </w:r>
      <w:r w:rsidR="00980400" w:rsidRPr="00F33D50">
        <w:rPr>
          <w:rFonts w:eastAsia="Calibri"/>
        </w:rPr>
        <w:t xml:space="preserve">, however, more prevalent. Organizational innovations were introduced by 47 percent of firms, while more than half of firms introduced some type of marketing innovation. </w:t>
      </w:r>
    </w:p>
    <w:p w14:paraId="16BCEA20" w14:textId="4AD57869" w:rsidR="00980400" w:rsidRDefault="00980400" w:rsidP="00D727BF">
      <w:pPr>
        <w:pStyle w:val="Caption"/>
        <w:keepNext/>
        <w:tabs>
          <w:tab w:val="left" w:pos="720"/>
        </w:tabs>
        <w:jc w:val="center"/>
      </w:pPr>
      <w:bookmarkStart w:id="45" w:name="_Toc445449629"/>
      <w:r>
        <w:t xml:space="preserve">Figure </w:t>
      </w:r>
      <w:fldSimple w:instr=" SEQ Figure \* ARABIC ">
        <w:r w:rsidR="008A3BBD">
          <w:rPr>
            <w:noProof/>
          </w:rPr>
          <w:t>11</w:t>
        </w:r>
      </w:fldSimple>
      <w:r>
        <w:t>: Firm-</w:t>
      </w:r>
      <w:r w:rsidR="00992C08">
        <w:t>L</w:t>
      </w:r>
      <w:r>
        <w:t>evel Innovation Outcomes</w:t>
      </w:r>
      <w:r w:rsidR="004970DC">
        <w:t xml:space="preserve"> in 2014</w:t>
      </w:r>
      <w:bookmarkEnd w:id="45"/>
    </w:p>
    <w:p w14:paraId="686E93C1" w14:textId="77777777" w:rsidR="00980400" w:rsidRPr="00DB2592" w:rsidRDefault="00980400" w:rsidP="00D727BF">
      <w:pPr>
        <w:pStyle w:val="ParagraphNumbering"/>
        <w:numPr>
          <w:ilvl w:val="0"/>
          <w:numId w:val="0"/>
        </w:numPr>
        <w:tabs>
          <w:tab w:val="left" w:pos="720"/>
        </w:tabs>
        <w:spacing w:after="0"/>
        <w:rPr>
          <w:rFonts w:eastAsia="Calibri"/>
        </w:rPr>
      </w:pPr>
      <w:r>
        <w:rPr>
          <w:noProof/>
        </w:rPr>
        <w:drawing>
          <wp:inline distT="0" distB="0" distL="0" distR="0" wp14:anchorId="3A5ABD6E" wp14:editId="4621F4FC">
            <wp:extent cx="5924550" cy="1724025"/>
            <wp:effectExtent l="0" t="0" r="0" b="0"/>
            <wp:docPr id="6148" name="Chart 6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2753E9" w14:textId="1533B63D" w:rsidR="00980400" w:rsidRDefault="00980400" w:rsidP="00D727BF">
      <w:pPr>
        <w:tabs>
          <w:tab w:val="left" w:pos="720"/>
        </w:tabs>
        <w:spacing w:after="0"/>
        <w:rPr>
          <w:sz w:val="18"/>
          <w:szCs w:val="18"/>
        </w:rPr>
      </w:pPr>
      <w:r w:rsidRPr="001C27EB">
        <w:rPr>
          <w:sz w:val="18"/>
          <w:szCs w:val="18"/>
        </w:rPr>
        <w:t>Source: Author</w:t>
      </w:r>
      <w:r>
        <w:rPr>
          <w:sz w:val="18"/>
          <w:szCs w:val="18"/>
        </w:rPr>
        <w:t>s</w:t>
      </w:r>
      <w:r w:rsidR="00863D16">
        <w:rPr>
          <w:sz w:val="18"/>
          <w:szCs w:val="18"/>
        </w:rPr>
        <w:t>’</w:t>
      </w:r>
      <w:r>
        <w:rPr>
          <w:sz w:val="18"/>
          <w:szCs w:val="18"/>
        </w:rPr>
        <w:t xml:space="preserve"> </w:t>
      </w:r>
      <w:r w:rsidRPr="001C27EB">
        <w:rPr>
          <w:sz w:val="18"/>
          <w:szCs w:val="18"/>
        </w:rPr>
        <w:t>calculation</w:t>
      </w:r>
      <w:r>
        <w:rPr>
          <w:sz w:val="18"/>
          <w:szCs w:val="18"/>
        </w:rPr>
        <w:t>s</w:t>
      </w:r>
      <w:r w:rsidRPr="001C27EB">
        <w:rPr>
          <w:sz w:val="18"/>
          <w:szCs w:val="18"/>
        </w:rPr>
        <w:t xml:space="preserve"> based on </w:t>
      </w:r>
      <w:r>
        <w:rPr>
          <w:sz w:val="18"/>
          <w:szCs w:val="18"/>
        </w:rPr>
        <w:t xml:space="preserve">Enterprise Survey </w:t>
      </w:r>
      <w:r w:rsidRPr="001C27EB">
        <w:rPr>
          <w:sz w:val="18"/>
          <w:szCs w:val="18"/>
        </w:rPr>
        <w:t>2014</w:t>
      </w:r>
      <w:r w:rsidR="002935D8">
        <w:rPr>
          <w:rFonts w:ascii="Calibri" w:hAnsi="Calibri"/>
          <w:sz w:val="18"/>
          <w:szCs w:val="18"/>
        </w:rPr>
        <w:t>‒</w:t>
      </w:r>
      <w:r w:rsidRPr="001C27EB">
        <w:rPr>
          <w:sz w:val="18"/>
          <w:szCs w:val="18"/>
        </w:rPr>
        <w:t>15</w:t>
      </w:r>
    </w:p>
    <w:p w14:paraId="00CB1B11" w14:textId="77777777" w:rsidR="00980400" w:rsidRPr="001845F3" w:rsidRDefault="00980400" w:rsidP="00D727BF">
      <w:pPr>
        <w:tabs>
          <w:tab w:val="left" w:pos="720"/>
        </w:tabs>
        <w:spacing w:after="0"/>
        <w:rPr>
          <w:rFonts w:eastAsia="Calibri" w:cs="Times New Roman"/>
        </w:rPr>
      </w:pPr>
    </w:p>
    <w:p w14:paraId="0ADA13C0" w14:textId="7BEABC46" w:rsidR="00980400" w:rsidRPr="00F33D50" w:rsidRDefault="00F7672E" w:rsidP="00D727BF">
      <w:pPr>
        <w:pStyle w:val="ParagraphNumbering"/>
        <w:numPr>
          <w:ilvl w:val="0"/>
          <w:numId w:val="0"/>
        </w:numPr>
        <w:tabs>
          <w:tab w:val="left" w:pos="720"/>
        </w:tabs>
        <w:spacing w:after="240"/>
        <w:rPr>
          <w:rFonts w:eastAsia="Calibri"/>
        </w:rPr>
      </w:pPr>
      <w:r>
        <w:rPr>
          <w:rFonts w:eastAsia="Calibri"/>
          <w:b/>
        </w:rPr>
        <w:tab/>
      </w:r>
      <w:r w:rsidR="00510AD1">
        <w:rPr>
          <w:rFonts w:eastAsia="Calibri"/>
          <w:b/>
        </w:rPr>
        <w:t xml:space="preserve">Product innovation rates in </w:t>
      </w:r>
      <w:r w:rsidR="00980400" w:rsidRPr="00F33D50">
        <w:rPr>
          <w:rFonts w:eastAsia="Calibri"/>
          <w:b/>
        </w:rPr>
        <w:t xml:space="preserve">Nigeria </w:t>
      </w:r>
      <w:r w:rsidR="00510AD1">
        <w:rPr>
          <w:rFonts w:eastAsia="Calibri"/>
          <w:b/>
        </w:rPr>
        <w:t xml:space="preserve">are the lowest </w:t>
      </w:r>
      <w:r w:rsidR="00980400" w:rsidRPr="00F33D50">
        <w:rPr>
          <w:rFonts w:eastAsia="Calibri"/>
          <w:b/>
        </w:rPr>
        <w:t xml:space="preserve">among comparator countries and </w:t>
      </w:r>
      <w:r w:rsidR="000717E8">
        <w:rPr>
          <w:rFonts w:eastAsia="Calibri"/>
          <w:b/>
        </w:rPr>
        <w:t>less than</w:t>
      </w:r>
      <w:r w:rsidR="000717E8" w:rsidRPr="00F33D50">
        <w:rPr>
          <w:rFonts w:eastAsia="Calibri"/>
          <w:b/>
        </w:rPr>
        <w:t xml:space="preserve"> </w:t>
      </w:r>
      <w:r w:rsidR="00980400" w:rsidRPr="00F33D50">
        <w:rPr>
          <w:rFonts w:eastAsia="Calibri"/>
          <w:b/>
        </w:rPr>
        <w:t xml:space="preserve">half the African average. </w:t>
      </w:r>
      <w:r w:rsidR="000717E8" w:rsidRPr="000343E4">
        <w:rPr>
          <w:rFonts w:eastAsia="Calibri"/>
        </w:rPr>
        <w:t>While</w:t>
      </w:r>
      <w:r w:rsidR="000717E8">
        <w:rPr>
          <w:rFonts w:eastAsia="Calibri"/>
          <w:b/>
        </w:rPr>
        <w:t xml:space="preserve"> </w:t>
      </w:r>
      <w:r w:rsidR="005930C7" w:rsidRPr="000343E4">
        <w:rPr>
          <w:rFonts w:eastAsia="Calibri"/>
        </w:rPr>
        <w:t>Nigeria</w:t>
      </w:r>
      <w:r w:rsidR="00863D16">
        <w:rPr>
          <w:rFonts w:eastAsia="Calibri"/>
        </w:rPr>
        <w:t>’</w:t>
      </w:r>
      <w:r w:rsidR="000717E8">
        <w:rPr>
          <w:rFonts w:eastAsia="Calibri"/>
        </w:rPr>
        <w:t xml:space="preserve">s performance in process innovation is on par with </w:t>
      </w:r>
      <w:r w:rsidR="00F56895">
        <w:rPr>
          <w:rFonts w:eastAsia="Calibri"/>
        </w:rPr>
        <w:t>other African countries</w:t>
      </w:r>
      <w:r w:rsidR="000717E8">
        <w:rPr>
          <w:rFonts w:eastAsia="Calibri"/>
        </w:rPr>
        <w:t xml:space="preserve">, its rates of product innovation are less than half the African </w:t>
      </w:r>
      <w:r w:rsidR="000717E8">
        <w:rPr>
          <w:rFonts w:eastAsia="Calibri"/>
        </w:rPr>
        <w:lastRenderedPageBreak/>
        <w:t xml:space="preserve">average. </w:t>
      </w:r>
      <w:r w:rsidR="00F56895">
        <w:rPr>
          <w:rFonts w:eastAsia="Calibri"/>
        </w:rPr>
        <w:t>Even while its performance in b</w:t>
      </w:r>
      <w:r w:rsidR="00980400" w:rsidRPr="00F33D50">
        <w:rPr>
          <w:rFonts w:eastAsia="Calibri"/>
        </w:rPr>
        <w:t>oth types of nontechnological innovations</w:t>
      </w:r>
      <w:r w:rsidR="0041209B">
        <w:rPr>
          <w:rFonts w:eastAsia="Calibri"/>
        </w:rPr>
        <w:t>—</w:t>
      </w:r>
      <w:r w:rsidR="00980400" w:rsidRPr="00F33D50">
        <w:rPr>
          <w:rFonts w:eastAsia="Calibri"/>
        </w:rPr>
        <w:t>organizational and marketing</w:t>
      </w:r>
      <w:r w:rsidR="0041209B">
        <w:rPr>
          <w:rFonts w:eastAsia="Calibri"/>
        </w:rPr>
        <w:t>—</w:t>
      </w:r>
      <w:r w:rsidR="00F56895">
        <w:rPr>
          <w:rFonts w:eastAsia="Calibri"/>
        </w:rPr>
        <w:t>i</w:t>
      </w:r>
      <w:r w:rsidR="00980400" w:rsidRPr="00F33D50">
        <w:rPr>
          <w:rFonts w:eastAsia="Calibri"/>
        </w:rPr>
        <w:t>s</w:t>
      </w:r>
      <w:r w:rsidR="00F56895">
        <w:rPr>
          <w:rFonts w:eastAsia="Calibri"/>
        </w:rPr>
        <w:t xml:space="preserve"> </w:t>
      </w:r>
      <w:r w:rsidR="00980400" w:rsidRPr="00F33D50">
        <w:rPr>
          <w:rFonts w:eastAsia="Calibri"/>
        </w:rPr>
        <w:t>above the African average</w:t>
      </w:r>
      <w:r w:rsidR="00F56895">
        <w:rPr>
          <w:rFonts w:eastAsia="Calibri"/>
        </w:rPr>
        <w:t>, its poor performance in product innovation is most notable</w:t>
      </w:r>
      <w:r w:rsidR="00980400" w:rsidRPr="00F33D50">
        <w:rPr>
          <w:rFonts w:eastAsia="Calibri"/>
        </w:rPr>
        <w:t xml:space="preserve">. </w:t>
      </w:r>
    </w:p>
    <w:p w14:paraId="5165CB93" w14:textId="4D2C8863" w:rsidR="005F644B" w:rsidRPr="005F644B" w:rsidRDefault="00980400" w:rsidP="00D727BF">
      <w:pPr>
        <w:pStyle w:val="Caption"/>
        <w:keepNext/>
        <w:tabs>
          <w:tab w:val="left" w:pos="720"/>
        </w:tabs>
        <w:jc w:val="center"/>
      </w:pPr>
      <w:bookmarkStart w:id="46" w:name="_Toc445449522"/>
      <w:r>
        <w:t xml:space="preserve">Table </w:t>
      </w:r>
      <w:r w:rsidR="008A3BBD">
        <w:rPr>
          <w:b w:val="0"/>
          <w:bCs w:val="0"/>
        </w:rPr>
        <w:fldChar w:fldCharType="begin"/>
      </w:r>
      <w:r w:rsidR="008A3BBD">
        <w:rPr>
          <w:b w:val="0"/>
          <w:bCs w:val="0"/>
        </w:rPr>
        <w:instrText xml:space="preserve"> SEQ Table \* ARABIC </w:instrText>
      </w:r>
      <w:r w:rsidR="008A3BBD">
        <w:rPr>
          <w:b w:val="0"/>
          <w:bCs w:val="0"/>
        </w:rPr>
        <w:fldChar w:fldCharType="separate"/>
      </w:r>
      <w:r w:rsidR="008A3BBD">
        <w:rPr>
          <w:b w:val="0"/>
          <w:bCs w:val="0"/>
          <w:noProof/>
        </w:rPr>
        <w:t>1</w:t>
      </w:r>
      <w:r w:rsidR="008A3BBD">
        <w:rPr>
          <w:b w:val="0"/>
          <w:bCs w:val="0"/>
          <w:noProof/>
        </w:rPr>
        <w:fldChar w:fldCharType="end"/>
      </w:r>
      <w:r>
        <w:t>: Innovation Rates in Nigeria and Comparator Countries</w:t>
      </w:r>
      <w:bookmarkEnd w:id="46"/>
    </w:p>
    <w:tbl>
      <w:tblPr>
        <w:tblW w:w="5000" w:type="pct"/>
        <w:tblLook w:val="04A0" w:firstRow="1" w:lastRow="0" w:firstColumn="1" w:lastColumn="0" w:noHBand="0" w:noVBand="1"/>
      </w:tblPr>
      <w:tblGrid>
        <w:gridCol w:w="1307"/>
        <w:gridCol w:w="1653"/>
        <w:gridCol w:w="1655"/>
        <w:gridCol w:w="1653"/>
        <w:gridCol w:w="1655"/>
        <w:gridCol w:w="1653"/>
      </w:tblGrid>
      <w:tr w:rsidR="00980400" w:rsidRPr="00B2289F" w14:paraId="419F447A" w14:textId="77777777" w:rsidTr="00980400">
        <w:trPr>
          <w:trHeight w:val="288"/>
        </w:trPr>
        <w:tc>
          <w:tcPr>
            <w:tcW w:w="682" w:type="pct"/>
            <w:tcBorders>
              <w:top w:val="single" w:sz="4" w:space="0" w:color="auto"/>
              <w:left w:val="nil"/>
              <w:bottom w:val="single" w:sz="4" w:space="0" w:color="auto"/>
              <w:right w:val="nil"/>
            </w:tcBorders>
            <w:shd w:val="clear" w:color="auto" w:fill="auto"/>
            <w:noWrap/>
            <w:vAlign w:val="bottom"/>
            <w:hideMark/>
          </w:tcPr>
          <w:p w14:paraId="54288510" w14:textId="77777777" w:rsidR="00980400" w:rsidRPr="001845F3" w:rsidRDefault="00980400" w:rsidP="00D727BF">
            <w:pPr>
              <w:tabs>
                <w:tab w:val="left" w:pos="720"/>
              </w:tabs>
              <w:spacing w:after="0"/>
              <w:rPr>
                <w:rFonts w:eastAsia="Times New Roman" w:cs="Times New Roman"/>
                <w:color w:val="000000"/>
                <w:sz w:val="20"/>
                <w:szCs w:val="20"/>
              </w:rPr>
            </w:pPr>
            <w:r w:rsidRPr="001845F3">
              <w:rPr>
                <w:rFonts w:eastAsia="Times New Roman" w:cs="Times New Roman"/>
                <w:color w:val="000000"/>
                <w:sz w:val="20"/>
                <w:szCs w:val="20"/>
              </w:rPr>
              <w:t> </w:t>
            </w:r>
          </w:p>
        </w:tc>
        <w:tc>
          <w:tcPr>
            <w:tcW w:w="863" w:type="pct"/>
            <w:tcBorders>
              <w:top w:val="single" w:sz="4" w:space="0" w:color="auto"/>
              <w:left w:val="nil"/>
              <w:bottom w:val="single" w:sz="4" w:space="0" w:color="auto"/>
              <w:right w:val="nil"/>
            </w:tcBorders>
            <w:shd w:val="clear" w:color="auto" w:fill="auto"/>
            <w:noWrap/>
            <w:vAlign w:val="center"/>
            <w:hideMark/>
          </w:tcPr>
          <w:p w14:paraId="318586E9" w14:textId="77777777" w:rsidR="00980400" w:rsidRPr="001845F3" w:rsidRDefault="00980400" w:rsidP="00D727BF">
            <w:pPr>
              <w:tabs>
                <w:tab w:val="left" w:pos="720"/>
              </w:tabs>
              <w:spacing w:after="0"/>
              <w:jc w:val="center"/>
              <w:rPr>
                <w:rFonts w:eastAsia="Times New Roman" w:cs="Times New Roman"/>
                <w:b/>
                <w:color w:val="000000"/>
                <w:sz w:val="20"/>
                <w:szCs w:val="20"/>
              </w:rPr>
            </w:pPr>
            <w:r w:rsidRPr="001845F3">
              <w:rPr>
                <w:rFonts w:eastAsia="Times New Roman" w:cs="Times New Roman"/>
                <w:b/>
                <w:color w:val="000000"/>
                <w:sz w:val="20"/>
                <w:szCs w:val="20"/>
              </w:rPr>
              <w:t>Product</w:t>
            </w:r>
          </w:p>
        </w:tc>
        <w:tc>
          <w:tcPr>
            <w:tcW w:w="864" w:type="pct"/>
            <w:tcBorders>
              <w:top w:val="single" w:sz="4" w:space="0" w:color="auto"/>
              <w:left w:val="nil"/>
              <w:bottom w:val="single" w:sz="4" w:space="0" w:color="auto"/>
              <w:right w:val="nil"/>
            </w:tcBorders>
            <w:shd w:val="clear" w:color="auto" w:fill="auto"/>
            <w:noWrap/>
            <w:vAlign w:val="center"/>
            <w:hideMark/>
          </w:tcPr>
          <w:p w14:paraId="6A957926" w14:textId="77777777" w:rsidR="00980400" w:rsidRPr="001845F3" w:rsidRDefault="00980400" w:rsidP="00D727BF">
            <w:pPr>
              <w:tabs>
                <w:tab w:val="left" w:pos="720"/>
              </w:tabs>
              <w:spacing w:after="0"/>
              <w:jc w:val="center"/>
              <w:rPr>
                <w:rFonts w:eastAsia="Times New Roman" w:cs="Times New Roman"/>
                <w:b/>
                <w:color w:val="000000"/>
                <w:sz w:val="20"/>
                <w:szCs w:val="20"/>
              </w:rPr>
            </w:pPr>
            <w:r w:rsidRPr="001845F3">
              <w:rPr>
                <w:rFonts w:eastAsia="Times New Roman" w:cs="Times New Roman"/>
                <w:b/>
                <w:color w:val="000000"/>
                <w:sz w:val="20"/>
                <w:szCs w:val="20"/>
              </w:rPr>
              <w:t>Process</w:t>
            </w:r>
          </w:p>
        </w:tc>
        <w:tc>
          <w:tcPr>
            <w:tcW w:w="863" w:type="pct"/>
            <w:tcBorders>
              <w:top w:val="single" w:sz="4" w:space="0" w:color="auto"/>
              <w:left w:val="nil"/>
              <w:bottom w:val="single" w:sz="4" w:space="0" w:color="auto"/>
              <w:right w:val="nil"/>
            </w:tcBorders>
            <w:shd w:val="clear" w:color="auto" w:fill="auto"/>
            <w:noWrap/>
            <w:vAlign w:val="center"/>
            <w:hideMark/>
          </w:tcPr>
          <w:p w14:paraId="0355A536" w14:textId="77777777" w:rsidR="00980400" w:rsidRPr="001845F3" w:rsidRDefault="00980400" w:rsidP="00D727BF">
            <w:pPr>
              <w:tabs>
                <w:tab w:val="left" w:pos="720"/>
              </w:tabs>
              <w:spacing w:after="0"/>
              <w:jc w:val="center"/>
              <w:rPr>
                <w:rFonts w:eastAsia="Times New Roman" w:cs="Times New Roman"/>
                <w:b/>
                <w:color w:val="000000"/>
                <w:sz w:val="20"/>
                <w:szCs w:val="20"/>
              </w:rPr>
            </w:pPr>
            <w:r w:rsidRPr="001845F3">
              <w:rPr>
                <w:rFonts w:eastAsia="Times New Roman" w:cs="Times New Roman"/>
                <w:b/>
                <w:color w:val="000000"/>
                <w:sz w:val="20"/>
                <w:szCs w:val="20"/>
              </w:rPr>
              <w:t xml:space="preserve">Product </w:t>
            </w:r>
          </w:p>
          <w:p w14:paraId="07AFCC82" w14:textId="77777777" w:rsidR="00980400" w:rsidRPr="001845F3" w:rsidRDefault="00980400" w:rsidP="00D727BF">
            <w:pPr>
              <w:tabs>
                <w:tab w:val="left" w:pos="720"/>
              </w:tabs>
              <w:spacing w:after="0"/>
              <w:jc w:val="center"/>
              <w:rPr>
                <w:rFonts w:eastAsia="Times New Roman" w:cs="Times New Roman"/>
                <w:b/>
                <w:color w:val="000000"/>
                <w:sz w:val="20"/>
                <w:szCs w:val="20"/>
              </w:rPr>
            </w:pPr>
            <w:r w:rsidRPr="001845F3">
              <w:rPr>
                <w:rFonts w:eastAsia="Times New Roman" w:cs="Times New Roman"/>
                <w:b/>
                <w:color w:val="000000"/>
                <w:sz w:val="20"/>
                <w:szCs w:val="20"/>
              </w:rPr>
              <w:t>or Process</w:t>
            </w:r>
          </w:p>
        </w:tc>
        <w:tc>
          <w:tcPr>
            <w:tcW w:w="864" w:type="pct"/>
            <w:tcBorders>
              <w:top w:val="single" w:sz="4" w:space="0" w:color="auto"/>
              <w:left w:val="nil"/>
              <w:bottom w:val="single" w:sz="4" w:space="0" w:color="auto"/>
              <w:right w:val="nil"/>
            </w:tcBorders>
            <w:shd w:val="clear" w:color="auto" w:fill="auto"/>
            <w:noWrap/>
            <w:vAlign w:val="center"/>
            <w:hideMark/>
          </w:tcPr>
          <w:p w14:paraId="7E453A11" w14:textId="77777777" w:rsidR="00980400" w:rsidRPr="001845F3" w:rsidRDefault="00980400" w:rsidP="00D727BF">
            <w:pPr>
              <w:tabs>
                <w:tab w:val="left" w:pos="720"/>
              </w:tabs>
              <w:spacing w:after="0"/>
              <w:jc w:val="center"/>
              <w:rPr>
                <w:rFonts w:eastAsia="Times New Roman" w:cs="Times New Roman"/>
                <w:b/>
                <w:color w:val="000000"/>
                <w:sz w:val="20"/>
                <w:szCs w:val="20"/>
              </w:rPr>
            </w:pPr>
            <w:r w:rsidRPr="001845F3">
              <w:rPr>
                <w:rFonts w:eastAsia="Times New Roman" w:cs="Times New Roman"/>
                <w:b/>
                <w:color w:val="000000"/>
                <w:sz w:val="20"/>
                <w:szCs w:val="20"/>
              </w:rPr>
              <w:t>Organization</w:t>
            </w:r>
          </w:p>
        </w:tc>
        <w:tc>
          <w:tcPr>
            <w:tcW w:w="863" w:type="pct"/>
            <w:tcBorders>
              <w:top w:val="single" w:sz="4" w:space="0" w:color="auto"/>
              <w:left w:val="nil"/>
              <w:bottom w:val="single" w:sz="4" w:space="0" w:color="auto"/>
              <w:right w:val="nil"/>
            </w:tcBorders>
            <w:shd w:val="clear" w:color="auto" w:fill="auto"/>
            <w:noWrap/>
            <w:vAlign w:val="center"/>
            <w:hideMark/>
          </w:tcPr>
          <w:p w14:paraId="40D189C6" w14:textId="77777777" w:rsidR="00980400" w:rsidRPr="001845F3" w:rsidRDefault="00980400" w:rsidP="00D727BF">
            <w:pPr>
              <w:tabs>
                <w:tab w:val="left" w:pos="720"/>
              </w:tabs>
              <w:spacing w:after="0"/>
              <w:jc w:val="center"/>
              <w:rPr>
                <w:rFonts w:eastAsia="Times New Roman" w:cs="Times New Roman"/>
                <w:b/>
                <w:color w:val="000000"/>
                <w:sz w:val="20"/>
                <w:szCs w:val="20"/>
              </w:rPr>
            </w:pPr>
            <w:r w:rsidRPr="001845F3">
              <w:rPr>
                <w:rFonts w:eastAsia="Times New Roman" w:cs="Times New Roman"/>
                <w:b/>
                <w:color w:val="000000"/>
                <w:sz w:val="20"/>
                <w:szCs w:val="20"/>
              </w:rPr>
              <w:t>Marketing</w:t>
            </w:r>
          </w:p>
        </w:tc>
      </w:tr>
      <w:tr w:rsidR="00980400" w:rsidRPr="00B2289F" w14:paraId="326F5D07" w14:textId="77777777" w:rsidTr="00980400">
        <w:trPr>
          <w:trHeight w:val="288"/>
        </w:trPr>
        <w:tc>
          <w:tcPr>
            <w:tcW w:w="682" w:type="pct"/>
            <w:tcBorders>
              <w:top w:val="nil"/>
              <w:left w:val="nil"/>
              <w:bottom w:val="nil"/>
              <w:right w:val="nil"/>
            </w:tcBorders>
            <w:shd w:val="clear" w:color="auto" w:fill="F2F2F2" w:themeFill="background1" w:themeFillShade="F2"/>
            <w:noWrap/>
            <w:vAlign w:val="center"/>
            <w:hideMark/>
          </w:tcPr>
          <w:p w14:paraId="1612C41B" w14:textId="77777777" w:rsidR="00980400" w:rsidRPr="001845F3" w:rsidRDefault="00980400" w:rsidP="00D727BF">
            <w:pPr>
              <w:tabs>
                <w:tab w:val="left" w:pos="720"/>
              </w:tabs>
              <w:spacing w:after="0"/>
              <w:rPr>
                <w:rFonts w:eastAsia="Times New Roman" w:cs="Times New Roman"/>
                <w:color w:val="000000"/>
                <w:sz w:val="20"/>
                <w:szCs w:val="20"/>
              </w:rPr>
            </w:pPr>
            <w:r w:rsidRPr="001845F3">
              <w:rPr>
                <w:rFonts w:eastAsia="Times New Roman" w:cs="Times New Roman"/>
                <w:color w:val="000000"/>
                <w:sz w:val="20"/>
                <w:szCs w:val="20"/>
              </w:rPr>
              <w:t>Nigeria</w:t>
            </w:r>
          </w:p>
        </w:tc>
        <w:tc>
          <w:tcPr>
            <w:tcW w:w="863" w:type="pct"/>
            <w:tcBorders>
              <w:top w:val="nil"/>
              <w:left w:val="nil"/>
              <w:bottom w:val="nil"/>
              <w:right w:val="nil"/>
            </w:tcBorders>
            <w:shd w:val="clear" w:color="auto" w:fill="F2F2F2" w:themeFill="background1" w:themeFillShade="F2"/>
            <w:noWrap/>
            <w:vAlign w:val="center"/>
            <w:hideMark/>
          </w:tcPr>
          <w:p w14:paraId="68F9F3BB" w14:textId="40792D15" w:rsidR="00980400" w:rsidRPr="001845F3" w:rsidRDefault="00980400" w:rsidP="00D727BF">
            <w:pPr>
              <w:tabs>
                <w:tab w:val="left" w:pos="720"/>
              </w:tabs>
              <w:spacing w:after="0"/>
              <w:jc w:val="center"/>
              <w:rPr>
                <w:rFonts w:cs="Times New Roman"/>
                <w:bCs/>
                <w:iCs/>
                <w:color w:val="000000"/>
                <w:sz w:val="20"/>
                <w:szCs w:val="20"/>
              </w:rPr>
            </w:pPr>
            <w:r w:rsidRPr="001845F3">
              <w:rPr>
                <w:rFonts w:cs="Times New Roman"/>
                <w:bCs/>
                <w:iCs/>
                <w:color w:val="000000"/>
                <w:sz w:val="20"/>
                <w:szCs w:val="20"/>
              </w:rPr>
              <w:t>13.8</w:t>
            </w:r>
            <w:r w:rsidR="00A02DAA">
              <w:rPr>
                <w:rFonts w:cs="Times New Roman"/>
                <w:bCs/>
                <w:iCs/>
                <w:color w:val="000000"/>
                <w:sz w:val="20"/>
                <w:szCs w:val="20"/>
              </w:rPr>
              <w:t>%</w:t>
            </w:r>
          </w:p>
        </w:tc>
        <w:tc>
          <w:tcPr>
            <w:tcW w:w="864" w:type="pct"/>
            <w:tcBorders>
              <w:top w:val="nil"/>
              <w:left w:val="nil"/>
              <w:bottom w:val="nil"/>
              <w:right w:val="nil"/>
            </w:tcBorders>
            <w:shd w:val="clear" w:color="auto" w:fill="F2F2F2" w:themeFill="background1" w:themeFillShade="F2"/>
            <w:noWrap/>
            <w:vAlign w:val="center"/>
            <w:hideMark/>
          </w:tcPr>
          <w:p w14:paraId="5808486A" w14:textId="03C366C9" w:rsidR="00980400" w:rsidRPr="001845F3" w:rsidRDefault="00980400" w:rsidP="00D727BF">
            <w:pPr>
              <w:tabs>
                <w:tab w:val="left" w:pos="720"/>
              </w:tabs>
              <w:spacing w:after="0"/>
              <w:jc w:val="center"/>
              <w:rPr>
                <w:rFonts w:cs="Times New Roman"/>
                <w:bCs/>
                <w:iCs/>
                <w:color w:val="000000"/>
                <w:sz w:val="20"/>
                <w:szCs w:val="20"/>
              </w:rPr>
            </w:pPr>
            <w:r w:rsidRPr="001845F3">
              <w:rPr>
                <w:rFonts w:cs="Times New Roman"/>
                <w:bCs/>
                <w:iCs/>
                <w:color w:val="000000"/>
                <w:sz w:val="20"/>
                <w:szCs w:val="20"/>
              </w:rPr>
              <w:t>29.6</w:t>
            </w:r>
            <w:r w:rsidR="00A02DAA">
              <w:rPr>
                <w:rFonts w:cs="Times New Roman"/>
                <w:bCs/>
                <w:iCs/>
                <w:color w:val="000000"/>
                <w:sz w:val="20"/>
                <w:szCs w:val="20"/>
              </w:rPr>
              <w:t>%</w:t>
            </w:r>
          </w:p>
        </w:tc>
        <w:tc>
          <w:tcPr>
            <w:tcW w:w="863" w:type="pct"/>
            <w:tcBorders>
              <w:top w:val="nil"/>
              <w:left w:val="nil"/>
              <w:bottom w:val="nil"/>
              <w:right w:val="nil"/>
            </w:tcBorders>
            <w:shd w:val="clear" w:color="auto" w:fill="F2F2F2" w:themeFill="background1" w:themeFillShade="F2"/>
            <w:noWrap/>
            <w:vAlign w:val="center"/>
            <w:hideMark/>
          </w:tcPr>
          <w:p w14:paraId="50CEF189" w14:textId="7A4ACC90" w:rsidR="00980400" w:rsidRPr="001845F3" w:rsidRDefault="00980400" w:rsidP="00D727BF">
            <w:pPr>
              <w:tabs>
                <w:tab w:val="left" w:pos="720"/>
              </w:tabs>
              <w:spacing w:after="0"/>
              <w:jc w:val="center"/>
              <w:rPr>
                <w:rFonts w:cs="Times New Roman"/>
                <w:bCs/>
                <w:iCs/>
                <w:color w:val="000000"/>
                <w:sz w:val="20"/>
                <w:szCs w:val="20"/>
              </w:rPr>
            </w:pPr>
            <w:r w:rsidRPr="001845F3">
              <w:rPr>
                <w:rFonts w:cs="Times New Roman"/>
                <w:bCs/>
                <w:iCs/>
                <w:color w:val="000000"/>
                <w:sz w:val="20"/>
                <w:szCs w:val="20"/>
              </w:rPr>
              <w:t>37.1</w:t>
            </w:r>
            <w:r w:rsidR="00A02DAA">
              <w:rPr>
                <w:rFonts w:cs="Times New Roman"/>
                <w:bCs/>
                <w:iCs/>
                <w:color w:val="000000"/>
                <w:sz w:val="20"/>
                <w:szCs w:val="20"/>
              </w:rPr>
              <w:t>%</w:t>
            </w:r>
          </w:p>
        </w:tc>
        <w:tc>
          <w:tcPr>
            <w:tcW w:w="864" w:type="pct"/>
            <w:tcBorders>
              <w:top w:val="nil"/>
              <w:left w:val="nil"/>
              <w:bottom w:val="nil"/>
              <w:right w:val="nil"/>
            </w:tcBorders>
            <w:shd w:val="clear" w:color="auto" w:fill="F2F2F2" w:themeFill="background1" w:themeFillShade="F2"/>
            <w:noWrap/>
            <w:vAlign w:val="center"/>
            <w:hideMark/>
          </w:tcPr>
          <w:p w14:paraId="2E14E53E" w14:textId="22969C36" w:rsidR="00980400" w:rsidRPr="001845F3" w:rsidRDefault="00980400" w:rsidP="00D727BF">
            <w:pPr>
              <w:tabs>
                <w:tab w:val="left" w:pos="720"/>
              </w:tabs>
              <w:spacing w:after="0"/>
              <w:jc w:val="center"/>
              <w:rPr>
                <w:rFonts w:cs="Times New Roman"/>
                <w:bCs/>
                <w:iCs/>
                <w:color w:val="000000"/>
                <w:sz w:val="20"/>
                <w:szCs w:val="20"/>
              </w:rPr>
            </w:pPr>
            <w:r w:rsidRPr="001845F3">
              <w:rPr>
                <w:rFonts w:cs="Times New Roman"/>
                <w:bCs/>
                <w:iCs/>
                <w:color w:val="000000"/>
                <w:sz w:val="20"/>
                <w:szCs w:val="20"/>
              </w:rPr>
              <w:t>47.1</w:t>
            </w:r>
            <w:r w:rsidR="00A02DAA">
              <w:rPr>
                <w:rFonts w:cs="Times New Roman"/>
                <w:bCs/>
                <w:iCs/>
                <w:color w:val="000000"/>
                <w:sz w:val="20"/>
                <w:szCs w:val="20"/>
              </w:rPr>
              <w:t>%</w:t>
            </w:r>
          </w:p>
        </w:tc>
        <w:tc>
          <w:tcPr>
            <w:tcW w:w="863" w:type="pct"/>
            <w:tcBorders>
              <w:top w:val="nil"/>
              <w:left w:val="nil"/>
              <w:bottom w:val="nil"/>
              <w:right w:val="nil"/>
            </w:tcBorders>
            <w:shd w:val="clear" w:color="auto" w:fill="F2F2F2" w:themeFill="background1" w:themeFillShade="F2"/>
            <w:noWrap/>
            <w:vAlign w:val="center"/>
            <w:hideMark/>
          </w:tcPr>
          <w:p w14:paraId="72AB5882" w14:textId="06F38CAD" w:rsidR="00980400" w:rsidRPr="001845F3" w:rsidRDefault="00980400" w:rsidP="00D727BF">
            <w:pPr>
              <w:tabs>
                <w:tab w:val="left" w:pos="720"/>
              </w:tabs>
              <w:spacing w:after="0"/>
              <w:jc w:val="center"/>
              <w:rPr>
                <w:rFonts w:cs="Times New Roman"/>
                <w:bCs/>
                <w:iCs/>
                <w:color w:val="000000"/>
                <w:sz w:val="20"/>
                <w:szCs w:val="20"/>
              </w:rPr>
            </w:pPr>
            <w:r w:rsidRPr="001845F3">
              <w:rPr>
                <w:rFonts w:cs="Times New Roman"/>
                <w:bCs/>
                <w:iCs/>
                <w:color w:val="000000"/>
                <w:sz w:val="20"/>
                <w:szCs w:val="20"/>
              </w:rPr>
              <w:t>51.6</w:t>
            </w:r>
            <w:r w:rsidR="00A02DAA">
              <w:rPr>
                <w:rFonts w:cs="Times New Roman"/>
                <w:bCs/>
                <w:iCs/>
                <w:color w:val="000000"/>
                <w:sz w:val="20"/>
                <w:szCs w:val="20"/>
              </w:rPr>
              <w:t>%</w:t>
            </w:r>
          </w:p>
        </w:tc>
      </w:tr>
      <w:tr w:rsidR="00980400" w:rsidRPr="00B2289F" w14:paraId="18A64E29" w14:textId="77777777" w:rsidTr="00980400">
        <w:trPr>
          <w:trHeight w:val="288"/>
        </w:trPr>
        <w:tc>
          <w:tcPr>
            <w:tcW w:w="682" w:type="pct"/>
            <w:tcBorders>
              <w:top w:val="nil"/>
              <w:left w:val="nil"/>
              <w:bottom w:val="nil"/>
              <w:right w:val="nil"/>
            </w:tcBorders>
            <w:shd w:val="clear" w:color="auto" w:fill="auto"/>
            <w:noWrap/>
            <w:vAlign w:val="center"/>
            <w:hideMark/>
          </w:tcPr>
          <w:p w14:paraId="75509B4C" w14:textId="77777777" w:rsidR="00980400" w:rsidRPr="001845F3" w:rsidRDefault="00980400" w:rsidP="00D727BF">
            <w:pPr>
              <w:tabs>
                <w:tab w:val="left" w:pos="720"/>
              </w:tabs>
              <w:spacing w:after="0"/>
              <w:rPr>
                <w:rFonts w:eastAsia="Times New Roman" w:cs="Times New Roman"/>
                <w:color w:val="000000"/>
                <w:sz w:val="20"/>
                <w:szCs w:val="20"/>
              </w:rPr>
            </w:pPr>
            <w:r w:rsidRPr="001845F3">
              <w:rPr>
                <w:rFonts w:eastAsia="Times New Roman" w:cs="Times New Roman"/>
                <w:color w:val="000000"/>
                <w:sz w:val="20"/>
                <w:szCs w:val="20"/>
              </w:rPr>
              <w:t>India</w:t>
            </w:r>
          </w:p>
        </w:tc>
        <w:tc>
          <w:tcPr>
            <w:tcW w:w="863" w:type="pct"/>
            <w:tcBorders>
              <w:top w:val="nil"/>
              <w:left w:val="nil"/>
              <w:bottom w:val="nil"/>
              <w:right w:val="nil"/>
            </w:tcBorders>
            <w:shd w:val="clear" w:color="auto" w:fill="auto"/>
            <w:noWrap/>
            <w:vAlign w:val="center"/>
            <w:hideMark/>
          </w:tcPr>
          <w:p w14:paraId="3062B6EF" w14:textId="48688025"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58.1</w:t>
            </w:r>
            <w:r w:rsidR="00A02DAA">
              <w:rPr>
                <w:rFonts w:cs="Times New Roman"/>
                <w:color w:val="000000"/>
                <w:sz w:val="20"/>
                <w:szCs w:val="20"/>
              </w:rPr>
              <w:t>%</w:t>
            </w:r>
          </w:p>
        </w:tc>
        <w:tc>
          <w:tcPr>
            <w:tcW w:w="864" w:type="pct"/>
            <w:tcBorders>
              <w:top w:val="nil"/>
              <w:left w:val="nil"/>
              <w:bottom w:val="nil"/>
              <w:right w:val="nil"/>
            </w:tcBorders>
            <w:shd w:val="clear" w:color="auto" w:fill="auto"/>
            <w:noWrap/>
            <w:vAlign w:val="center"/>
            <w:hideMark/>
          </w:tcPr>
          <w:p w14:paraId="5610C045" w14:textId="6C08E73A"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66.2</w:t>
            </w:r>
            <w:r w:rsidR="00A02DAA">
              <w:rPr>
                <w:rFonts w:cs="Times New Roman"/>
                <w:color w:val="000000"/>
                <w:sz w:val="20"/>
                <w:szCs w:val="20"/>
              </w:rPr>
              <w:t>%</w:t>
            </w:r>
          </w:p>
        </w:tc>
        <w:tc>
          <w:tcPr>
            <w:tcW w:w="863" w:type="pct"/>
            <w:tcBorders>
              <w:top w:val="nil"/>
              <w:left w:val="nil"/>
              <w:bottom w:val="nil"/>
              <w:right w:val="nil"/>
            </w:tcBorders>
            <w:shd w:val="clear" w:color="auto" w:fill="auto"/>
            <w:noWrap/>
            <w:vAlign w:val="center"/>
            <w:hideMark/>
          </w:tcPr>
          <w:p w14:paraId="5BAD01EA" w14:textId="2C9B8978"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91.1</w:t>
            </w:r>
            <w:r w:rsidR="00A02DAA">
              <w:rPr>
                <w:rFonts w:cs="Times New Roman"/>
                <w:color w:val="000000"/>
                <w:sz w:val="20"/>
                <w:szCs w:val="20"/>
              </w:rPr>
              <w:t>%</w:t>
            </w:r>
          </w:p>
        </w:tc>
        <w:tc>
          <w:tcPr>
            <w:tcW w:w="864" w:type="pct"/>
            <w:tcBorders>
              <w:top w:val="nil"/>
              <w:left w:val="nil"/>
              <w:bottom w:val="nil"/>
              <w:right w:val="nil"/>
            </w:tcBorders>
            <w:shd w:val="clear" w:color="auto" w:fill="auto"/>
            <w:noWrap/>
            <w:vAlign w:val="center"/>
            <w:hideMark/>
          </w:tcPr>
          <w:p w14:paraId="172F4899" w14:textId="65F57B8F"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55.1</w:t>
            </w:r>
            <w:r w:rsidR="00A02DAA">
              <w:rPr>
                <w:rFonts w:cs="Times New Roman"/>
                <w:color w:val="000000"/>
                <w:sz w:val="20"/>
                <w:szCs w:val="20"/>
              </w:rPr>
              <w:t>%</w:t>
            </w:r>
          </w:p>
        </w:tc>
        <w:tc>
          <w:tcPr>
            <w:tcW w:w="863" w:type="pct"/>
            <w:tcBorders>
              <w:top w:val="nil"/>
              <w:left w:val="nil"/>
              <w:bottom w:val="nil"/>
              <w:right w:val="nil"/>
            </w:tcBorders>
            <w:shd w:val="clear" w:color="auto" w:fill="auto"/>
            <w:noWrap/>
            <w:vAlign w:val="center"/>
            <w:hideMark/>
          </w:tcPr>
          <w:p w14:paraId="0C00E037" w14:textId="15921B48"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63.8</w:t>
            </w:r>
            <w:r w:rsidR="00A02DAA">
              <w:rPr>
                <w:rFonts w:cs="Times New Roman"/>
                <w:color w:val="000000"/>
                <w:sz w:val="20"/>
                <w:szCs w:val="20"/>
              </w:rPr>
              <w:t>%</w:t>
            </w:r>
          </w:p>
        </w:tc>
      </w:tr>
      <w:tr w:rsidR="00980400" w:rsidRPr="00B2289F" w14:paraId="43863E76" w14:textId="77777777" w:rsidTr="00980400">
        <w:trPr>
          <w:trHeight w:val="288"/>
        </w:trPr>
        <w:tc>
          <w:tcPr>
            <w:tcW w:w="682" w:type="pct"/>
            <w:tcBorders>
              <w:top w:val="nil"/>
              <w:left w:val="nil"/>
              <w:bottom w:val="nil"/>
              <w:right w:val="nil"/>
            </w:tcBorders>
            <w:shd w:val="clear" w:color="auto" w:fill="auto"/>
            <w:noWrap/>
            <w:vAlign w:val="center"/>
            <w:hideMark/>
          </w:tcPr>
          <w:p w14:paraId="3F114CDE" w14:textId="77777777" w:rsidR="00980400" w:rsidRPr="001845F3" w:rsidRDefault="00980400" w:rsidP="00D727BF">
            <w:pPr>
              <w:tabs>
                <w:tab w:val="left" w:pos="720"/>
              </w:tabs>
              <w:spacing w:after="0"/>
              <w:rPr>
                <w:rFonts w:eastAsia="Times New Roman" w:cs="Times New Roman"/>
                <w:color w:val="000000"/>
                <w:sz w:val="20"/>
                <w:szCs w:val="20"/>
              </w:rPr>
            </w:pPr>
            <w:r w:rsidRPr="001845F3">
              <w:rPr>
                <w:rFonts w:eastAsia="Times New Roman" w:cs="Times New Roman"/>
                <w:color w:val="000000"/>
                <w:sz w:val="20"/>
                <w:szCs w:val="20"/>
              </w:rPr>
              <w:t>Ghana</w:t>
            </w:r>
          </w:p>
        </w:tc>
        <w:tc>
          <w:tcPr>
            <w:tcW w:w="863" w:type="pct"/>
            <w:tcBorders>
              <w:top w:val="nil"/>
              <w:left w:val="nil"/>
              <w:bottom w:val="nil"/>
              <w:right w:val="nil"/>
            </w:tcBorders>
            <w:shd w:val="clear" w:color="auto" w:fill="auto"/>
            <w:noWrap/>
            <w:vAlign w:val="center"/>
            <w:hideMark/>
          </w:tcPr>
          <w:p w14:paraId="15BEAF8D" w14:textId="212D5613"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17.1</w:t>
            </w:r>
            <w:r w:rsidR="00A02DAA">
              <w:rPr>
                <w:rFonts w:cs="Times New Roman"/>
                <w:color w:val="000000"/>
                <w:sz w:val="20"/>
                <w:szCs w:val="20"/>
              </w:rPr>
              <w:t>%</w:t>
            </w:r>
          </w:p>
        </w:tc>
        <w:tc>
          <w:tcPr>
            <w:tcW w:w="864" w:type="pct"/>
            <w:tcBorders>
              <w:top w:val="nil"/>
              <w:left w:val="nil"/>
              <w:bottom w:val="nil"/>
              <w:right w:val="nil"/>
            </w:tcBorders>
            <w:shd w:val="clear" w:color="auto" w:fill="auto"/>
            <w:noWrap/>
            <w:vAlign w:val="center"/>
            <w:hideMark/>
          </w:tcPr>
          <w:p w14:paraId="4F6171F7" w14:textId="634BE43A"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25.3</w:t>
            </w:r>
            <w:r w:rsidR="00A02DAA">
              <w:rPr>
                <w:rFonts w:cs="Times New Roman"/>
                <w:color w:val="000000"/>
                <w:sz w:val="20"/>
                <w:szCs w:val="20"/>
              </w:rPr>
              <w:t>%</w:t>
            </w:r>
          </w:p>
        </w:tc>
        <w:tc>
          <w:tcPr>
            <w:tcW w:w="863" w:type="pct"/>
            <w:tcBorders>
              <w:top w:val="nil"/>
              <w:left w:val="nil"/>
              <w:bottom w:val="nil"/>
              <w:right w:val="nil"/>
            </w:tcBorders>
            <w:shd w:val="clear" w:color="auto" w:fill="auto"/>
            <w:noWrap/>
            <w:vAlign w:val="center"/>
            <w:hideMark/>
          </w:tcPr>
          <w:p w14:paraId="685DDDFB" w14:textId="717F704A"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36.3</w:t>
            </w:r>
            <w:r w:rsidR="00A02DAA">
              <w:rPr>
                <w:rFonts w:cs="Times New Roman"/>
                <w:color w:val="000000"/>
                <w:sz w:val="20"/>
                <w:szCs w:val="20"/>
              </w:rPr>
              <w:t>%</w:t>
            </w:r>
          </w:p>
        </w:tc>
        <w:tc>
          <w:tcPr>
            <w:tcW w:w="864" w:type="pct"/>
            <w:tcBorders>
              <w:top w:val="nil"/>
              <w:left w:val="nil"/>
              <w:bottom w:val="nil"/>
              <w:right w:val="nil"/>
            </w:tcBorders>
            <w:shd w:val="clear" w:color="auto" w:fill="auto"/>
            <w:noWrap/>
            <w:vAlign w:val="center"/>
            <w:hideMark/>
          </w:tcPr>
          <w:p w14:paraId="7419CA6F" w14:textId="4103C450"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30.5</w:t>
            </w:r>
            <w:r w:rsidR="00A02DAA">
              <w:rPr>
                <w:rFonts w:cs="Times New Roman"/>
                <w:color w:val="000000"/>
                <w:sz w:val="20"/>
                <w:szCs w:val="20"/>
              </w:rPr>
              <w:t>%</w:t>
            </w:r>
          </w:p>
        </w:tc>
        <w:tc>
          <w:tcPr>
            <w:tcW w:w="863" w:type="pct"/>
            <w:tcBorders>
              <w:top w:val="nil"/>
              <w:left w:val="nil"/>
              <w:bottom w:val="nil"/>
              <w:right w:val="nil"/>
            </w:tcBorders>
            <w:shd w:val="clear" w:color="auto" w:fill="auto"/>
            <w:noWrap/>
            <w:vAlign w:val="center"/>
            <w:hideMark/>
          </w:tcPr>
          <w:p w14:paraId="1C7805E1" w14:textId="488F0D73"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51.9</w:t>
            </w:r>
            <w:r w:rsidR="00A02DAA">
              <w:rPr>
                <w:rFonts w:cs="Times New Roman"/>
                <w:color w:val="000000"/>
                <w:sz w:val="20"/>
                <w:szCs w:val="20"/>
              </w:rPr>
              <w:t>%</w:t>
            </w:r>
          </w:p>
        </w:tc>
      </w:tr>
      <w:tr w:rsidR="00980400" w:rsidRPr="00B2289F" w14:paraId="06DE5A9D" w14:textId="77777777" w:rsidTr="00980400">
        <w:trPr>
          <w:trHeight w:val="288"/>
        </w:trPr>
        <w:tc>
          <w:tcPr>
            <w:tcW w:w="682" w:type="pct"/>
            <w:tcBorders>
              <w:top w:val="nil"/>
              <w:left w:val="nil"/>
              <w:bottom w:val="nil"/>
              <w:right w:val="nil"/>
            </w:tcBorders>
            <w:shd w:val="clear" w:color="auto" w:fill="auto"/>
            <w:noWrap/>
            <w:vAlign w:val="center"/>
            <w:hideMark/>
          </w:tcPr>
          <w:p w14:paraId="101717C7" w14:textId="77777777" w:rsidR="00980400" w:rsidRPr="001845F3" w:rsidRDefault="00980400" w:rsidP="00D727BF">
            <w:pPr>
              <w:tabs>
                <w:tab w:val="left" w:pos="720"/>
              </w:tabs>
              <w:spacing w:after="0"/>
              <w:rPr>
                <w:rFonts w:eastAsia="Times New Roman" w:cs="Times New Roman"/>
                <w:color w:val="000000"/>
                <w:sz w:val="20"/>
                <w:szCs w:val="20"/>
              </w:rPr>
            </w:pPr>
            <w:r w:rsidRPr="001845F3">
              <w:rPr>
                <w:rFonts w:eastAsia="Times New Roman" w:cs="Times New Roman"/>
                <w:color w:val="000000"/>
                <w:sz w:val="20"/>
                <w:szCs w:val="20"/>
              </w:rPr>
              <w:t>Kenya</w:t>
            </w:r>
          </w:p>
        </w:tc>
        <w:tc>
          <w:tcPr>
            <w:tcW w:w="863" w:type="pct"/>
            <w:tcBorders>
              <w:top w:val="nil"/>
              <w:left w:val="nil"/>
              <w:bottom w:val="nil"/>
              <w:right w:val="nil"/>
            </w:tcBorders>
            <w:shd w:val="clear" w:color="auto" w:fill="auto"/>
            <w:noWrap/>
            <w:vAlign w:val="center"/>
            <w:hideMark/>
          </w:tcPr>
          <w:p w14:paraId="60F7D7C7" w14:textId="3303CD32"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25.4</w:t>
            </w:r>
            <w:r w:rsidR="00A02DAA">
              <w:rPr>
                <w:rFonts w:cs="Times New Roman"/>
                <w:color w:val="000000"/>
                <w:sz w:val="20"/>
                <w:szCs w:val="20"/>
              </w:rPr>
              <w:t>%</w:t>
            </w:r>
          </w:p>
        </w:tc>
        <w:tc>
          <w:tcPr>
            <w:tcW w:w="864" w:type="pct"/>
            <w:tcBorders>
              <w:top w:val="nil"/>
              <w:left w:val="nil"/>
              <w:bottom w:val="nil"/>
              <w:right w:val="nil"/>
            </w:tcBorders>
            <w:shd w:val="clear" w:color="auto" w:fill="auto"/>
            <w:noWrap/>
            <w:vAlign w:val="center"/>
            <w:hideMark/>
          </w:tcPr>
          <w:p w14:paraId="1F1DC6C2" w14:textId="33E3B787"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26.4</w:t>
            </w:r>
            <w:r w:rsidR="00A02DAA">
              <w:rPr>
                <w:rFonts w:cs="Times New Roman"/>
                <w:color w:val="000000"/>
                <w:sz w:val="20"/>
                <w:szCs w:val="20"/>
              </w:rPr>
              <w:t>%</w:t>
            </w:r>
          </w:p>
        </w:tc>
        <w:tc>
          <w:tcPr>
            <w:tcW w:w="863" w:type="pct"/>
            <w:tcBorders>
              <w:top w:val="nil"/>
              <w:left w:val="nil"/>
              <w:bottom w:val="nil"/>
              <w:right w:val="nil"/>
            </w:tcBorders>
            <w:shd w:val="clear" w:color="auto" w:fill="auto"/>
            <w:noWrap/>
            <w:vAlign w:val="center"/>
            <w:hideMark/>
          </w:tcPr>
          <w:p w14:paraId="545ED5AB" w14:textId="42049102"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43.8</w:t>
            </w:r>
            <w:r w:rsidR="00A02DAA">
              <w:rPr>
                <w:rFonts w:cs="Times New Roman"/>
                <w:color w:val="000000"/>
                <w:sz w:val="20"/>
                <w:szCs w:val="20"/>
              </w:rPr>
              <w:t>%</w:t>
            </w:r>
          </w:p>
        </w:tc>
        <w:tc>
          <w:tcPr>
            <w:tcW w:w="864" w:type="pct"/>
            <w:tcBorders>
              <w:top w:val="nil"/>
              <w:left w:val="nil"/>
              <w:bottom w:val="nil"/>
              <w:right w:val="nil"/>
            </w:tcBorders>
            <w:shd w:val="clear" w:color="auto" w:fill="auto"/>
            <w:noWrap/>
            <w:vAlign w:val="center"/>
            <w:hideMark/>
          </w:tcPr>
          <w:p w14:paraId="5537EF1D" w14:textId="443BC0D5"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35.9</w:t>
            </w:r>
            <w:r w:rsidR="00A02DAA">
              <w:rPr>
                <w:rFonts w:cs="Times New Roman"/>
                <w:color w:val="000000"/>
                <w:sz w:val="20"/>
                <w:szCs w:val="20"/>
              </w:rPr>
              <w:t>%</w:t>
            </w:r>
          </w:p>
        </w:tc>
        <w:tc>
          <w:tcPr>
            <w:tcW w:w="863" w:type="pct"/>
            <w:tcBorders>
              <w:top w:val="nil"/>
              <w:left w:val="nil"/>
              <w:bottom w:val="nil"/>
              <w:right w:val="nil"/>
            </w:tcBorders>
            <w:shd w:val="clear" w:color="auto" w:fill="auto"/>
            <w:noWrap/>
            <w:vAlign w:val="center"/>
            <w:hideMark/>
          </w:tcPr>
          <w:p w14:paraId="5DDD1E40" w14:textId="436193AE"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39.0</w:t>
            </w:r>
            <w:r w:rsidR="00A02DAA">
              <w:rPr>
                <w:rFonts w:cs="Times New Roman"/>
                <w:color w:val="000000"/>
                <w:sz w:val="20"/>
                <w:szCs w:val="20"/>
              </w:rPr>
              <w:t>%</w:t>
            </w:r>
          </w:p>
        </w:tc>
      </w:tr>
      <w:tr w:rsidR="00980400" w:rsidRPr="00B2289F" w14:paraId="09710A8E" w14:textId="77777777" w:rsidTr="00980400">
        <w:trPr>
          <w:trHeight w:val="288"/>
        </w:trPr>
        <w:tc>
          <w:tcPr>
            <w:tcW w:w="682" w:type="pct"/>
            <w:tcBorders>
              <w:top w:val="nil"/>
              <w:left w:val="nil"/>
              <w:bottom w:val="nil"/>
              <w:right w:val="nil"/>
            </w:tcBorders>
            <w:shd w:val="clear" w:color="auto" w:fill="auto"/>
            <w:noWrap/>
            <w:vAlign w:val="center"/>
            <w:hideMark/>
          </w:tcPr>
          <w:p w14:paraId="1B46F8F4" w14:textId="77777777" w:rsidR="00980400" w:rsidRPr="001845F3" w:rsidRDefault="00980400" w:rsidP="00D727BF">
            <w:pPr>
              <w:tabs>
                <w:tab w:val="left" w:pos="720"/>
              </w:tabs>
              <w:spacing w:after="0"/>
              <w:rPr>
                <w:rFonts w:eastAsia="Times New Roman" w:cs="Times New Roman"/>
                <w:color w:val="000000"/>
                <w:sz w:val="20"/>
                <w:szCs w:val="20"/>
              </w:rPr>
            </w:pPr>
            <w:r w:rsidRPr="001845F3">
              <w:rPr>
                <w:rFonts w:eastAsia="Times New Roman" w:cs="Times New Roman"/>
                <w:color w:val="000000"/>
                <w:sz w:val="20"/>
                <w:szCs w:val="20"/>
              </w:rPr>
              <w:t>Russia</w:t>
            </w:r>
          </w:p>
        </w:tc>
        <w:tc>
          <w:tcPr>
            <w:tcW w:w="863" w:type="pct"/>
            <w:tcBorders>
              <w:top w:val="nil"/>
              <w:left w:val="nil"/>
              <w:bottom w:val="nil"/>
              <w:right w:val="nil"/>
            </w:tcBorders>
            <w:shd w:val="clear" w:color="auto" w:fill="auto"/>
            <w:noWrap/>
            <w:vAlign w:val="center"/>
            <w:hideMark/>
          </w:tcPr>
          <w:p w14:paraId="0CC959CC" w14:textId="116B4E0F"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20.5</w:t>
            </w:r>
            <w:r w:rsidR="00A02DAA">
              <w:rPr>
                <w:rFonts w:cs="Times New Roman"/>
                <w:color w:val="000000"/>
                <w:sz w:val="20"/>
                <w:szCs w:val="20"/>
              </w:rPr>
              <w:t>%</w:t>
            </w:r>
          </w:p>
        </w:tc>
        <w:tc>
          <w:tcPr>
            <w:tcW w:w="864" w:type="pct"/>
            <w:tcBorders>
              <w:top w:val="nil"/>
              <w:left w:val="nil"/>
              <w:bottom w:val="nil"/>
              <w:right w:val="nil"/>
            </w:tcBorders>
            <w:shd w:val="clear" w:color="auto" w:fill="auto"/>
            <w:noWrap/>
            <w:vAlign w:val="center"/>
            <w:hideMark/>
          </w:tcPr>
          <w:p w14:paraId="2386A095" w14:textId="5C9E52BD"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16.8</w:t>
            </w:r>
            <w:r w:rsidR="00A02DAA">
              <w:rPr>
                <w:rFonts w:cs="Times New Roman"/>
                <w:color w:val="000000"/>
                <w:sz w:val="20"/>
                <w:szCs w:val="20"/>
              </w:rPr>
              <w:t>%</w:t>
            </w:r>
          </w:p>
        </w:tc>
        <w:tc>
          <w:tcPr>
            <w:tcW w:w="863" w:type="pct"/>
            <w:tcBorders>
              <w:top w:val="nil"/>
              <w:left w:val="nil"/>
              <w:bottom w:val="nil"/>
              <w:right w:val="nil"/>
            </w:tcBorders>
            <w:shd w:val="clear" w:color="auto" w:fill="auto"/>
            <w:noWrap/>
            <w:vAlign w:val="center"/>
            <w:hideMark/>
          </w:tcPr>
          <w:p w14:paraId="7ECB33D0" w14:textId="40D90CD4"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28.2</w:t>
            </w:r>
            <w:r w:rsidR="00A02DAA">
              <w:rPr>
                <w:rFonts w:cs="Times New Roman"/>
                <w:color w:val="000000"/>
                <w:sz w:val="20"/>
                <w:szCs w:val="20"/>
              </w:rPr>
              <w:t>%</w:t>
            </w:r>
          </w:p>
        </w:tc>
        <w:tc>
          <w:tcPr>
            <w:tcW w:w="864" w:type="pct"/>
            <w:tcBorders>
              <w:top w:val="nil"/>
              <w:left w:val="nil"/>
              <w:bottom w:val="nil"/>
              <w:right w:val="nil"/>
            </w:tcBorders>
            <w:shd w:val="clear" w:color="auto" w:fill="auto"/>
            <w:noWrap/>
            <w:vAlign w:val="center"/>
            <w:hideMark/>
          </w:tcPr>
          <w:p w14:paraId="548FC1E6" w14:textId="61CDF7A2"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67.7</w:t>
            </w:r>
            <w:r w:rsidR="00A02DAA">
              <w:rPr>
                <w:rFonts w:cs="Times New Roman"/>
                <w:color w:val="000000"/>
                <w:sz w:val="20"/>
                <w:szCs w:val="20"/>
              </w:rPr>
              <w:t>%</w:t>
            </w:r>
          </w:p>
        </w:tc>
        <w:tc>
          <w:tcPr>
            <w:tcW w:w="863" w:type="pct"/>
            <w:tcBorders>
              <w:top w:val="nil"/>
              <w:left w:val="nil"/>
              <w:bottom w:val="nil"/>
              <w:right w:val="nil"/>
            </w:tcBorders>
            <w:shd w:val="clear" w:color="auto" w:fill="auto"/>
            <w:noWrap/>
            <w:vAlign w:val="center"/>
            <w:hideMark/>
          </w:tcPr>
          <w:p w14:paraId="2A0E80D4" w14:textId="77777777"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w:t>
            </w:r>
          </w:p>
        </w:tc>
      </w:tr>
      <w:tr w:rsidR="00980400" w:rsidRPr="00B2289F" w14:paraId="13A53C36" w14:textId="77777777" w:rsidTr="00980400">
        <w:trPr>
          <w:trHeight w:val="288"/>
        </w:trPr>
        <w:tc>
          <w:tcPr>
            <w:tcW w:w="682" w:type="pct"/>
            <w:tcBorders>
              <w:top w:val="nil"/>
              <w:left w:val="nil"/>
              <w:bottom w:val="single" w:sz="4" w:space="0" w:color="auto"/>
              <w:right w:val="nil"/>
            </w:tcBorders>
            <w:shd w:val="clear" w:color="auto" w:fill="auto"/>
            <w:noWrap/>
            <w:vAlign w:val="center"/>
            <w:hideMark/>
          </w:tcPr>
          <w:p w14:paraId="50AE8C47" w14:textId="77777777" w:rsidR="00980400" w:rsidRPr="001845F3" w:rsidRDefault="00980400" w:rsidP="00D727BF">
            <w:pPr>
              <w:tabs>
                <w:tab w:val="left" w:pos="720"/>
              </w:tabs>
              <w:spacing w:after="0"/>
              <w:rPr>
                <w:rFonts w:eastAsia="Times New Roman" w:cs="Times New Roman"/>
                <w:color w:val="000000"/>
                <w:sz w:val="20"/>
                <w:szCs w:val="20"/>
              </w:rPr>
            </w:pPr>
            <w:r w:rsidRPr="001845F3">
              <w:rPr>
                <w:rFonts w:eastAsia="Times New Roman" w:cs="Times New Roman"/>
                <w:color w:val="000000"/>
                <w:sz w:val="20"/>
                <w:szCs w:val="20"/>
              </w:rPr>
              <w:t>Africa</w:t>
            </w:r>
          </w:p>
        </w:tc>
        <w:tc>
          <w:tcPr>
            <w:tcW w:w="863" w:type="pct"/>
            <w:tcBorders>
              <w:top w:val="nil"/>
              <w:left w:val="nil"/>
              <w:bottom w:val="single" w:sz="4" w:space="0" w:color="auto"/>
              <w:right w:val="nil"/>
            </w:tcBorders>
            <w:shd w:val="clear" w:color="auto" w:fill="auto"/>
            <w:noWrap/>
            <w:vAlign w:val="center"/>
            <w:hideMark/>
          </w:tcPr>
          <w:p w14:paraId="53485D74" w14:textId="35A1DACB"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27.2</w:t>
            </w:r>
            <w:r w:rsidR="00A02DAA">
              <w:rPr>
                <w:rFonts w:cs="Times New Roman"/>
                <w:color w:val="000000"/>
                <w:sz w:val="20"/>
                <w:szCs w:val="20"/>
              </w:rPr>
              <w:t>%</w:t>
            </w:r>
          </w:p>
        </w:tc>
        <w:tc>
          <w:tcPr>
            <w:tcW w:w="864" w:type="pct"/>
            <w:tcBorders>
              <w:top w:val="nil"/>
              <w:left w:val="nil"/>
              <w:bottom w:val="single" w:sz="4" w:space="0" w:color="auto"/>
              <w:right w:val="nil"/>
            </w:tcBorders>
            <w:shd w:val="clear" w:color="auto" w:fill="auto"/>
            <w:noWrap/>
            <w:vAlign w:val="center"/>
            <w:hideMark/>
          </w:tcPr>
          <w:p w14:paraId="1A3606EE" w14:textId="1D536887"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30.7</w:t>
            </w:r>
            <w:r w:rsidR="00A02DAA">
              <w:rPr>
                <w:rFonts w:cs="Times New Roman"/>
                <w:color w:val="000000"/>
                <w:sz w:val="20"/>
                <w:szCs w:val="20"/>
              </w:rPr>
              <w:t>%</w:t>
            </w:r>
          </w:p>
        </w:tc>
        <w:tc>
          <w:tcPr>
            <w:tcW w:w="863" w:type="pct"/>
            <w:tcBorders>
              <w:top w:val="nil"/>
              <w:left w:val="nil"/>
              <w:bottom w:val="single" w:sz="4" w:space="0" w:color="auto"/>
              <w:right w:val="nil"/>
            </w:tcBorders>
            <w:shd w:val="clear" w:color="auto" w:fill="auto"/>
            <w:noWrap/>
            <w:vAlign w:val="center"/>
            <w:hideMark/>
          </w:tcPr>
          <w:p w14:paraId="25B49F7F" w14:textId="23DDC129"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46.5</w:t>
            </w:r>
            <w:r w:rsidR="00A02DAA">
              <w:rPr>
                <w:rFonts w:cs="Times New Roman"/>
                <w:color w:val="000000"/>
                <w:sz w:val="20"/>
                <w:szCs w:val="20"/>
              </w:rPr>
              <w:t>%</w:t>
            </w:r>
          </w:p>
        </w:tc>
        <w:tc>
          <w:tcPr>
            <w:tcW w:w="864" w:type="pct"/>
            <w:tcBorders>
              <w:top w:val="nil"/>
              <w:left w:val="nil"/>
              <w:bottom w:val="single" w:sz="4" w:space="0" w:color="auto"/>
              <w:right w:val="nil"/>
            </w:tcBorders>
            <w:shd w:val="clear" w:color="auto" w:fill="auto"/>
            <w:noWrap/>
            <w:vAlign w:val="center"/>
            <w:hideMark/>
          </w:tcPr>
          <w:p w14:paraId="1D57861C" w14:textId="0D480BA1"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40.6</w:t>
            </w:r>
            <w:r w:rsidR="00A02DAA">
              <w:rPr>
                <w:rFonts w:cs="Times New Roman"/>
                <w:color w:val="000000"/>
                <w:sz w:val="20"/>
                <w:szCs w:val="20"/>
              </w:rPr>
              <w:t>%</w:t>
            </w:r>
          </w:p>
        </w:tc>
        <w:tc>
          <w:tcPr>
            <w:tcW w:w="863" w:type="pct"/>
            <w:tcBorders>
              <w:top w:val="nil"/>
              <w:left w:val="nil"/>
              <w:bottom w:val="single" w:sz="4" w:space="0" w:color="auto"/>
              <w:right w:val="nil"/>
            </w:tcBorders>
            <w:shd w:val="clear" w:color="auto" w:fill="auto"/>
            <w:noWrap/>
            <w:vAlign w:val="center"/>
            <w:hideMark/>
          </w:tcPr>
          <w:p w14:paraId="41C091C6" w14:textId="1FF2C8C7" w:rsidR="00980400" w:rsidRPr="001845F3" w:rsidRDefault="00980400" w:rsidP="00D727BF">
            <w:pPr>
              <w:tabs>
                <w:tab w:val="left" w:pos="720"/>
              </w:tabs>
              <w:spacing w:after="0"/>
              <w:jc w:val="center"/>
              <w:rPr>
                <w:rFonts w:cs="Times New Roman"/>
                <w:color w:val="000000"/>
                <w:sz w:val="20"/>
                <w:szCs w:val="20"/>
              </w:rPr>
            </w:pPr>
            <w:r w:rsidRPr="001845F3">
              <w:rPr>
                <w:rFonts w:cs="Times New Roman"/>
                <w:color w:val="000000"/>
                <w:sz w:val="20"/>
                <w:szCs w:val="20"/>
              </w:rPr>
              <w:t>46.1</w:t>
            </w:r>
            <w:r w:rsidR="00A02DAA">
              <w:rPr>
                <w:rFonts w:cs="Times New Roman"/>
                <w:color w:val="000000"/>
                <w:sz w:val="20"/>
                <w:szCs w:val="20"/>
              </w:rPr>
              <w:t>%</w:t>
            </w:r>
          </w:p>
        </w:tc>
      </w:tr>
    </w:tbl>
    <w:p w14:paraId="4503B0F1" w14:textId="400D30FE" w:rsidR="00980400" w:rsidRDefault="00980400" w:rsidP="00D727BF">
      <w:pPr>
        <w:tabs>
          <w:tab w:val="left" w:pos="720"/>
        </w:tabs>
        <w:rPr>
          <w:rFonts w:eastAsia="Calibri" w:cs="Times New Roman"/>
          <w:sz w:val="18"/>
          <w:szCs w:val="18"/>
        </w:rPr>
      </w:pPr>
      <w:r>
        <w:rPr>
          <w:rFonts w:eastAsia="Calibri" w:cs="Times New Roman"/>
          <w:sz w:val="18"/>
          <w:szCs w:val="18"/>
        </w:rPr>
        <w:t>Source:</w:t>
      </w:r>
      <w:r w:rsidR="00F428F9">
        <w:rPr>
          <w:rFonts w:eastAsia="Calibri" w:cs="Times New Roman"/>
          <w:sz w:val="18"/>
          <w:szCs w:val="18"/>
        </w:rPr>
        <w:t xml:space="preserve"> </w:t>
      </w:r>
      <w:r>
        <w:rPr>
          <w:rFonts w:eastAsia="Calibri" w:cs="Times New Roman"/>
          <w:sz w:val="18"/>
          <w:szCs w:val="18"/>
        </w:rPr>
        <w:t>A</w:t>
      </w:r>
      <w:r w:rsidRPr="004A0236">
        <w:rPr>
          <w:rFonts w:eastAsia="Calibri" w:cs="Times New Roman"/>
          <w:sz w:val="18"/>
          <w:szCs w:val="18"/>
        </w:rPr>
        <w:t>uthors</w:t>
      </w:r>
      <w:r w:rsidR="00863D16">
        <w:rPr>
          <w:rFonts w:eastAsia="Calibri" w:cs="Times New Roman"/>
          <w:sz w:val="18"/>
          <w:szCs w:val="18"/>
        </w:rPr>
        <w:t>’</w:t>
      </w:r>
      <w:r>
        <w:rPr>
          <w:rFonts w:eastAsia="Calibri" w:cs="Times New Roman"/>
          <w:sz w:val="18"/>
          <w:szCs w:val="18"/>
        </w:rPr>
        <w:t xml:space="preserve"> calculations based on E</w:t>
      </w:r>
      <w:r w:rsidRPr="004A0236">
        <w:rPr>
          <w:rFonts w:eastAsia="Calibri" w:cs="Times New Roman"/>
          <w:sz w:val="18"/>
          <w:szCs w:val="18"/>
        </w:rPr>
        <w:t>nterprise Survey</w:t>
      </w:r>
      <w:r>
        <w:rPr>
          <w:rFonts w:eastAsia="Calibri" w:cs="Times New Roman"/>
          <w:sz w:val="18"/>
          <w:szCs w:val="18"/>
        </w:rPr>
        <w:t xml:space="preserve"> 2014</w:t>
      </w:r>
      <w:r w:rsidR="00513D4F">
        <w:rPr>
          <w:rFonts w:ascii="Calibri" w:eastAsia="Calibri" w:hAnsi="Calibri" w:cs="Times New Roman"/>
          <w:sz w:val="18"/>
          <w:szCs w:val="18"/>
        </w:rPr>
        <w:t>‒</w:t>
      </w:r>
      <w:r>
        <w:rPr>
          <w:rFonts w:eastAsia="Calibri" w:cs="Times New Roman"/>
          <w:sz w:val="18"/>
          <w:szCs w:val="18"/>
        </w:rPr>
        <w:t>15.</w:t>
      </w:r>
      <w:r w:rsidR="00F428F9">
        <w:rPr>
          <w:rFonts w:eastAsia="Calibri" w:cs="Times New Roman"/>
          <w:sz w:val="18"/>
          <w:szCs w:val="18"/>
        </w:rPr>
        <w:t xml:space="preserve"> </w:t>
      </w:r>
      <w:r>
        <w:rPr>
          <w:rFonts w:eastAsia="Calibri" w:cs="Times New Roman"/>
          <w:sz w:val="18"/>
          <w:szCs w:val="18"/>
        </w:rPr>
        <w:t>No information was available for Russia on marketing innovation.</w:t>
      </w:r>
    </w:p>
    <w:p w14:paraId="2EAD6766" w14:textId="68A51C65" w:rsidR="008A7A51" w:rsidRPr="008A7A51" w:rsidRDefault="00F7672E" w:rsidP="00D727BF">
      <w:pPr>
        <w:pStyle w:val="ParagraphNumbering"/>
        <w:numPr>
          <w:ilvl w:val="0"/>
          <w:numId w:val="0"/>
        </w:numPr>
        <w:tabs>
          <w:tab w:val="left" w:pos="720"/>
        </w:tabs>
        <w:spacing w:after="240"/>
        <w:rPr>
          <w:rFonts w:eastAsia="Calibri"/>
        </w:rPr>
      </w:pPr>
      <w:r>
        <w:rPr>
          <w:rFonts w:eastAsia="Calibri"/>
          <w:b/>
        </w:rPr>
        <w:tab/>
      </w:r>
      <w:r w:rsidR="00F56895">
        <w:rPr>
          <w:rFonts w:eastAsia="Calibri"/>
          <w:b/>
        </w:rPr>
        <w:t>Innovation rates tend to be higher in the manufacturing sector than in the service sector</w:t>
      </w:r>
      <w:r w:rsidR="008A7A51" w:rsidRPr="000343E4">
        <w:rPr>
          <w:rFonts w:eastAsia="Calibri"/>
          <w:b/>
        </w:rPr>
        <w:t>.</w:t>
      </w:r>
      <w:r w:rsidR="008A7A51" w:rsidRPr="008A7A51">
        <w:rPr>
          <w:rFonts w:eastAsia="Calibri"/>
        </w:rPr>
        <w:t xml:space="preserve"> </w:t>
      </w:r>
      <w:r w:rsidR="00D71FD4">
        <w:rPr>
          <w:rFonts w:eastAsia="Calibri"/>
        </w:rPr>
        <w:t>Further, t</w:t>
      </w:r>
      <w:r w:rsidR="008A7A51" w:rsidRPr="008A7A51">
        <w:rPr>
          <w:rFonts w:eastAsia="Calibri"/>
        </w:rPr>
        <w:t xml:space="preserve">he </w:t>
      </w:r>
      <w:r w:rsidR="00287346">
        <w:rPr>
          <w:rFonts w:eastAsia="Calibri"/>
        </w:rPr>
        <w:t xml:space="preserve">innovation </w:t>
      </w:r>
      <w:r w:rsidR="008A7A51" w:rsidRPr="008A7A51">
        <w:rPr>
          <w:rFonts w:eastAsia="Calibri"/>
        </w:rPr>
        <w:t xml:space="preserve">gap between manufacturing </w:t>
      </w:r>
      <w:r w:rsidR="00287346">
        <w:rPr>
          <w:rFonts w:eastAsia="Calibri"/>
        </w:rPr>
        <w:t xml:space="preserve">and </w:t>
      </w:r>
      <w:r w:rsidR="008A7A51" w:rsidRPr="008A7A51">
        <w:rPr>
          <w:rFonts w:eastAsia="Calibri"/>
        </w:rPr>
        <w:t>service</w:t>
      </w:r>
      <w:r w:rsidR="00287346">
        <w:rPr>
          <w:rFonts w:eastAsia="Calibri"/>
        </w:rPr>
        <w:t>s</w:t>
      </w:r>
      <w:r w:rsidR="00F56895">
        <w:rPr>
          <w:rFonts w:eastAsia="Calibri"/>
        </w:rPr>
        <w:t xml:space="preserve"> </w:t>
      </w:r>
      <w:r w:rsidR="008A7A51" w:rsidRPr="008A7A51">
        <w:rPr>
          <w:rFonts w:eastAsia="Calibri"/>
        </w:rPr>
        <w:t xml:space="preserve">is </w:t>
      </w:r>
      <w:r w:rsidR="00287346">
        <w:rPr>
          <w:rFonts w:eastAsia="Calibri"/>
        </w:rPr>
        <w:t xml:space="preserve">more pronounced for </w:t>
      </w:r>
      <w:r w:rsidR="008A7A51" w:rsidRPr="008A7A51">
        <w:rPr>
          <w:rFonts w:eastAsia="Calibri"/>
        </w:rPr>
        <w:t xml:space="preserve">technological than for nontechnological </w:t>
      </w:r>
      <w:r w:rsidR="00287346">
        <w:rPr>
          <w:rFonts w:eastAsia="Calibri"/>
        </w:rPr>
        <w:t>application</w:t>
      </w:r>
      <w:r w:rsidR="00C52223">
        <w:rPr>
          <w:rFonts w:eastAsia="Calibri"/>
        </w:rPr>
        <w:t>s</w:t>
      </w:r>
      <w:r w:rsidR="008A7A51" w:rsidRPr="008A7A51">
        <w:rPr>
          <w:rFonts w:eastAsia="Calibri"/>
        </w:rPr>
        <w:t>.</w:t>
      </w:r>
      <w:r w:rsidR="00287346">
        <w:rPr>
          <w:rFonts w:eastAsia="Calibri"/>
        </w:rPr>
        <w:t xml:space="preserve"> T</w:t>
      </w:r>
      <w:r w:rsidR="008A7A51" w:rsidRPr="008A7A51">
        <w:rPr>
          <w:rFonts w:eastAsia="Calibri"/>
        </w:rPr>
        <w:t xml:space="preserve">he basic metals industry appears to be the most </w:t>
      </w:r>
      <w:r w:rsidR="00287346">
        <w:rPr>
          <w:rFonts w:eastAsia="Calibri"/>
        </w:rPr>
        <w:t xml:space="preserve">technologically </w:t>
      </w:r>
      <w:r w:rsidR="008A7A51" w:rsidRPr="008A7A51">
        <w:rPr>
          <w:rFonts w:eastAsia="Calibri"/>
        </w:rPr>
        <w:t xml:space="preserve">innovative, while publishing and printing and wholesale are the </w:t>
      </w:r>
      <w:r w:rsidR="00F56895">
        <w:rPr>
          <w:rFonts w:eastAsia="Calibri"/>
        </w:rPr>
        <w:t>least</w:t>
      </w:r>
      <w:r w:rsidR="00F56895" w:rsidRPr="008A7A51">
        <w:rPr>
          <w:rFonts w:eastAsia="Calibri"/>
        </w:rPr>
        <w:t xml:space="preserve"> </w:t>
      </w:r>
      <w:r w:rsidR="008A7A51" w:rsidRPr="008A7A51">
        <w:rPr>
          <w:rFonts w:eastAsia="Calibri"/>
        </w:rPr>
        <w:t>innovative.</w:t>
      </w:r>
      <w:r w:rsidR="00F428F9">
        <w:rPr>
          <w:rFonts w:eastAsia="Calibri"/>
        </w:rPr>
        <w:t xml:space="preserve"> </w:t>
      </w:r>
      <w:r w:rsidR="00287346">
        <w:rPr>
          <w:rFonts w:eastAsia="Calibri"/>
        </w:rPr>
        <w:t xml:space="preserve">In terms of </w:t>
      </w:r>
      <w:r w:rsidR="008A7A51" w:rsidRPr="008A7A51">
        <w:rPr>
          <w:rFonts w:eastAsia="Calibri"/>
        </w:rPr>
        <w:t>organizational innovation, garments and food</w:t>
      </w:r>
      <w:r w:rsidR="00C52223">
        <w:rPr>
          <w:rFonts w:eastAsia="Calibri"/>
        </w:rPr>
        <w:t>—</w:t>
      </w:r>
      <w:r w:rsidR="008A7A51" w:rsidRPr="008A7A51">
        <w:rPr>
          <w:rFonts w:eastAsia="Calibri"/>
        </w:rPr>
        <w:t>both labor-intensive industries</w:t>
      </w:r>
      <w:r w:rsidR="00C52223">
        <w:rPr>
          <w:rFonts w:eastAsia="Calibri"/>
        </w:rPr>
        <w:t>—</w:t>
      </w:r>
      <w:r w:rsidR="00287346">
        <w:rPr>
          <w:rFonts w:eastAsia="Calibri"/>
        </w:rPr>
        <w:t>perform with the highest innovation rates</w:t>
      </w:r>
      <w:r w:rsidR="008A7A51" w:rsidRPr="008A7A51">
        <w:rPr>
          <w:rFonts w:eastAsia="Calibri"/>
        </w:rPr>
        <w:t xml:space="preserve">, while wholesale trade and nonmetallic mineral products </w:t>
      </w:r>
      <w:r w:rsidR="00287346">
        <w:rPr>
          <w:rFonts w:eastAsia="Calibri"/>
        </w:rPr>
        <w:t>tend to be less innovative</w:t>
      </w:r>
      <w:r w:rsidR="008A7A51" w:rsidRPr="008A7A51">
        <w:rPr>
          <w:rFonts w:eastAsia="Calibri"/>
        </w:rPr>
        <w:t xml:space="preserve">. </w:t>
      </w:r>
      <w:r w:rsidR="00F56895">
        <w:rPr>
          <w:rFonts w:eastAsia="Calibri"/>
        </w:rPr>
        <w:t>Finally</w:t>
      </w:r>
      <w:r w:rsidR="008A7A51" w:rsidRPr="008A7A51">
        <w:rPr>
          <w:rFonts w:eastAsia="Calibri"/>
        </w:rPr>
        <w:t xml:space="preserve">, empirical </w:t>
      </w:r>
      <w:r w:rsidR="00F56895">
        <w:rPr>
          <w:rFonts w:eastAsia="Calibri"/>
        </w:rPr>
        <w:t xml:space="preserve">findings </w:t>
      </w:r>
      <w:r w:rsidR="008A7A51" w:rsidRPr="008A7A51">
        <w:rPr>
          <w:rFonts w:eastAsia="Calibri"/>
        </w:rPr>
        <w:t xml:space="preserve">suggest that younger firms tend to </w:t>
      </w:r>
      <w:r w:rsidR="00D71FD4">
        <w:rPr>
          <w:rFonts w:eastAsia="Calibri"/>
        </w:rPr>
        <w:t>innovate at higher rates that more mature firms</w:t>
      </w:r>
      <w:r w:rsidR="008A7A51" w:rsidRPr="008A7A51">
        <w:rPr>
          <w:rFonts w:eastAsia="Calibri"/>
        </w:rPr>
        <w:t>.</w:t>
      </w:r>
    </w:p>
    <w:p w14:paraId="4D647D1C" w14:textId="1221D721" w:rsidR="008A7A51" w:rsidRDefault="00F7672E" w:rsidP="00D727BF">
      <w:pPr>
        <w:pStyle w:val="ParagraphNumbering"/>
        <w:numPr>
          <w:ilvl w:val="0"/>
          <w:numId w:val="0"/>
        </w:numPr>
        <w:tabs>
          <w:tab w:val="left" w:pos="720"/>
        </w:tabs>
        <w:spacing w:after="240"/>
        <w:rPr>
          <w:rFonts w:eastAsia="Calibri"/>
        </w:rPr>
      </w:pPr>
      <w:r>
        <w:rPr>
          <w:rFonts w:eastAsia="Calibri"/>
          <w:b/>
        </w:rPr>
        <w:tab/>
      </w:r>
      <w:r w:rsidR="008A7A51" w:rsidRPr="008A7A51">
        <w:rPr>
          <w:rFonts w:eastAsia="Calibri"/>
          <w:b/>
        </w:rPr>
        <w:t>Firms with international exposure show higher innovation rates.</w:t>
      </w:r>
      <w:r w:rsidR="008A7A51" w:rsidRPr="008A7A51">
        <w:rPr>
          <w:rFonts w:eastAsia="Calibri"/>
        </w:rPr>
        <w:t xml:space="preserve"> In relation to firms</w:t>
      </w:r>
      <w:r w:rsidR="00863D16">
        <w:rPr>
          <w:rFonts w:eastAsia="Calibri"/>
        </w:rPr>
        <w:t>’</w:t>
      </w:r>
      <w:r w:rsidR="008A7A51" w:rsidRPr="008A7A51">
        <w:rPr>
          <w:rFonts w:eastAsia="Calibri"/>
        </w:rPr>
        <w:t xml:space="preserve"> foreign exposure, international traders, and especially importers, are more innovative than nontraders. This is similar to what is observed in other countries. However, </w:t>
      </w:r>
      <w:r w:rsidR="00432399">
        <w:rPr>
          <w:rFonts w:eastAsia="Calibri"/>
        </w:rPr>
        <w:t>contrary to what is found in other African countries, innovation rates of foreign</w:t>
      </w:r>
      <w:r w:rsidR="008A7A51" w:rsidRPr="008A7A51">
        <w:rPr>
          <w:rFonts w:eastAsia="Calibri"/>
        </w:rPr>
        <w:t>-owned firms are lower than those for national firms.</w:t>
      </w:r>
      <w:r w:rsidR="00F428F9">
        <w:rPr>
          <w:rFonts w:eastAsia="Calibri"/>
        </w:rPr>
        <w:t xml:space="preserve"> </w:t>
      </w:r>
    </w:p>
    <w:p w14:paraId="56B4E2C0" w14:textId="6DB20A00" w:rsidR="001B53A6" w:rsidRDefault="00F7672E" w:rsidP="00D727BF">
      <w:pPr>
        <w:pStyle w:val="ParagraphNumbering"/>
        <w:numPr>
          <w:ilvl w:val="0"/>
          <w:numId w:val="0"/>
        </w:numPr>
        <w:tabs>
          <w:tab w:val="left" w:pos="720"/>
        </w:tabs>
        <w:spacing w:after="0"/>
      </w:pPr>
      <w:r>
        <w:rPr>
          <w:rFonts w:eastAsia="Calibri"/>
          <w:b/>
        </w:rPr>
        <w:tab/>
      </w:r>
      <w:r w:rsidR="008A7A51" w:rsidRPr="008A7A51">
        <w:rPr>
          <w:rFonts w:eastAsia="Calibri"/>
          <w:b/>
        </w:rPr>
        <w:t>Firms that engage in R&amp;D are more likely to introduce innovations</w:t>
      </w:r>
      <w:r w:rsidR="00D71FD4">
        <w:rPr>
          <w:rFonts w:eastAsia="Calibri"/>
          <w:b/>
        </w:rPr>
        <w:t>;</w:t>
      </w:r>
      <w:r w:rsidR="008A7A51" w:rsidRPr="008A7A51">
        <w:rPr>
          <w:b/>
        </w:rPr>
        <w:t xml:space="preserve"> </w:t>
      </w:r>
      <w:r w:rsidR="00D71FD4">
        <w:rPr>
          <w:b/>
        </w:rPr>
        <w:t>h</w:t>
      </w:r>
      <w:r w:rsidR="008A7A51" w:rsidRPr="008A7A51">
        <w:rPr>
          <w:b/>
        </w:rPr>
        <w:t>owever</w:t>
      </w:r>
      <w:r w:rsidR="00D71FD4">
        <w:rPr>
          <w:b/>
        </w:rPr>
        <w:t>,</w:t>
      </w:r>
      <w:r w:rsidR="008A7A51" w:rsidRPr="008A7A51">
        <w:rPr>
          <w:b/>
        </w:rPr>
        <w:t xml:space="preserve"> very few firms in Nigeria invest in R&amp;D.</w:t>
      </w:r>
      <w:r w:rsidR="008A7A51">
        <w:t xml:space="preserve"> </w:t>
      </w:r>
      <w:r w:rsidR="008A7A51">
        <w:fldChar w:fldCharType="begin"/>
      </w:r>
      <w:r w:rsidR="008A7A51">
        <w:instrText xml:space="preserve"> REF _Ref433189970 \h </w:instrText>
      </w:r>
      <w:r w:rsidR="008A7A51">
        <w:fldChar w:fldCharType="separate"/>
      </w:r>
      <w:r w:rsidR="008A3BBD">
        <w:t xml:space="preserve">Table </w:t>
      </w:r>
      <w:r w:rsidR="008A3BBD">
        <w:rPr>
          <w:noProof/>
        </w:rPr>
        <w:t>2</w:t>
      </w:r>
      <w:r w:rsidR="008A7A51">
        <w:fldChar w:fldCharType="end"/>
      </w:r>
      <w:r w:rsidR="008A7A51">
        <w:t xml:space="preserve"> </w:t>
      </w:r>
      <w:r w:rsidR="00432399">
        <w:t>demonstrates the</w:t>
      </w:r>
      <w:r w:rsidR="008A7A51" w:rsidRPr="008A7A51">
        <w:t xml:space="preserve"> R&amp;D incidence (percentage of firms </w:t>
      </w:r>
      <w:r w:rsidR="00432399">
        <w:t xml:space="preserve">engaged in </w:t>
      </w:r>
      <w:r w:rsidR="008A7A51" w:rsidRPr="008A7A51">
        <w:t>R&amp;D), intensity (</w:t>
      </w:r>
      <w:r w:rsidR="00432399" w:rsidRPr="008A7A51">
        <w:t xml:space="preserve">R&amp;D </w:t>
      </w:r>
      <w:r w:rsidR="00432399">
        <w:t xml:space="preserve">expenditure </w:t>
      </w:r>
      <w:r w:rsidR="008A7A51" w:rsidRPr="008A7A51">
        <w:t xml:space="preserve">per worker), and concentration (Herfindahl index for the concentration of R&amp;D value across firms) for firms in Nigeria and </w:t>
      </w:r>
      <w:r w:rsidR="00432399">
        <w:t xml:space="preserve">across </w:t>
      </w:r>
      <w:r w:rsidR="008A7A51" w:rsidRPr="008A7A51">
        <w:t xml:space="preserve">comparator countries. Only 10.5 percent of all Nigerian firms </w:t>
      </w:r>
      <w:r w:rsidR="00432399">
        <w:t xml:space="preserve">engage in </w:t>
      </w:r>
      <w:r w:rsidR="008A7A51" w:rsidRPr="008A7A51">
        <w:t>R&amp;D activities, and only 3 percent do both internal and external R&amp;D</w:t>
      </w:r>
      <w:r w:rsidR="00432399">
        <w:t xml:space="preserve">, which is </w:t>
      </w:r>
      <w:r w:rsidR="00D71FD4">
        <w:t xml:space="preserve">in </w:t>
      </w:r>
      <w:r w:rsidR="00432399">
        <w:t xml:space="preserve">stark contrast to </w:t>
      </w:r>
      <w:r w:rsidR="008A7A51" w:rsidRPr="008A7A51">
        <w:t>the higher rates in India (56 percent of firms), Russia (13 percent), Kenya (23 percent), Ghana (15.5 percent), and the African average excluding Nigeria (18.4 percent).</w:t>
      </w:r>
      <w:r w:rsidR="005F06ED">
        <w:t xml:space="preserve"> </w:t>
      </w:r>
    </w:p>
    <w:p w14:paraId="0568CD8B" w14:textId="77777777" w:rsidR="001B53A6" w:rsidRDefault="001B53A6" w:rsidP="00D727BF">
      <w:pPr>
        <w:tabs>
          <w:tab w:val="left" w:pos="720"/>
        </w:tabs>
        <w:rPr>
          <w:rFonts w:eastAsia="Times New Roman" w:cs="Times New Roman"/>
          <w:bCs/>
          <w:szCs w:val="24"/>
        </w:rPr>
      </w:pPr>
      <w:r>
        <w:br w:type="page"/>
      </w:r>
    </w:p>
    <w:p w14:paraId="746BC7AC" w14:textId="5BBD48A3" w:rsidR="008A7A51" w:rsidRDefault="008A7A51" w:rsidP="00D727BF">
      <w:pPr>
        <w:pStyle w:val="Caption"/>
        <w:keepNext/>
        <w:tabs>
          <w:tab w:val="left" w:pos="720"/>
        </w:tabs>
        <w:ind w:left="20" w:hanging="20"/>
        <w:jc w:val="center"/>
      </w:pPr>
      <w:bookmarkStart w:id="47" w:name="_Ref433189970"/>
      <w:bookmarkStart w:id="48" w:name="_Toc445449523"/>
      <w:r>
        <w:lastRenderedPageBreak/>
        <w:t xml:space="preserve">Table </w:t>
      </w:r>
      <w:fldSimple w:instr=" SEQ Table \* ARABIC ">
        <w:r w:rsidR="008A3BBD">
          <w:rPr>
            <w:noProof/>
          </w:rPr>
          <w:t>2</w:t>
        </w:r>
      </w:fldSimple>
      <w:bookmarkEnd w:id="47"/>
      <w:r>
        <w:t>: Investment in Research and Development (R&amp;D)</w:t>
      </w:r>
      <w:bookmarkEnd w:id="48"/>
    </w:p>
    <w:tbl>
      <w:tblPr>
        <w:tblW w:w="9464" w:type="dxa"/>
        <w:tblLayout w:type="fixed"/>
        <w:tblLook w:val="04A0" w:firstRow="1" w:lastRow="0" w:firstColumn="1" w:lastColumn="0" w:noHBand="0" w:noVBand="1"/>
      </w:tblPr>
      <w:tblGrid>
        <w:gridCol w:w="2340"/>
        <w:gridCol w:w="1146"/>
        <w:gridCol w:w="1146"/>
        <w:gridCol w:w="1146"/>
        <w:gridCol w:w="1843"/>
        <w:gridCol w:w="1843"/>
      </w:tblGrid>
      <w:tr w:rsidR="008A7A51" w:rsidRPr="00B2289F" w14:paraId="4114A3C5" w14:textId="77777777" w:rsidTr="00190C49">
        <w:trPr>
          <w:trHeight w:val="288"/>
        </w:trPr>
        <w:tc>
          <w:tcPr>
            <w:tcW w:w="2340" w:type="dxa"/>
            <w:tcBorders>
              <w:top w:val="single" w:sz="4" w:space="0" w:color="auto"/>
              <w:left w:val="nil"/>
              <w:bottom w:val="nil"/>
              <w:right w:val="single" w:sz="4" w:space="0" w:color="auto"/>
            </w:tcBorders>
            <w:shd w:val="clear" w:color="auto" w:fill="auto"/>
            <w:noWrap/>
            <w:vAlign w:val="bottom"/>
            <w:hideMark/>
          </w:tcPr>
          <w:p w14:paraId="65D80F36" w14:textId="77777777" w:rsidR="008A7A51" w:rsidRPr="001845F3" w:rsidRDefault="008A7A51" w:rsidP="00D727BF">
            <w:pPr>
              <w:tabs>
                <w:tab w:val="left" w:pos="720"/>
              </w:tabs>
              <w:spacing w:after="0"/>
              <w:ind w:left="20" w:hanging="20"/>
              <w:jc w:val="center"/>
              <w:rPr>
                <w:rFonts w:eastAsia="Times New Roman" w:cs="Times New Roman"/>
                <w:bCs/>
                <w:color w:val="000000"/>
                <w:sz w:val="20"/>
                <w:szCs w:val="20"/>
              </w:rPr>
            </w:pPr>
            <w:r w:rsidRPr="001845F3">
              <w:rPr>
                <w:rFonts w:eastAsia="Times New Roman" w:cs="Times New Roman"/>
                <w:bCs/>
                <w:color w:val="000000"/>
                <w:sz w:val="20"/>
                <w:szCs w:val="20"/>
              </w:rPr>
              <w:t> </w:t>
            </w:r>
          </w:p>
        </w:tc>
        <w:tc>
          <w:tcPr>
            <w:tcW w:w="3438" w:type="dxa"/>
            <w:gridSpan w:val="3"/>
            <w:tcBorders>
              <w:top w:val="single" w:sz="4" w:space="0" w:color="auto"/>
              <w:left w:val="single" w:sz="4" w:space="0" w:color="auto"/>
              <w:bottom w:val="nil"/>
              <w:right w:val="single" w:sz="4" w:space="0" w:color="auto"/>
            </w:tcBorders>
            <w:shd w:val="clear" w:color="auto" w:fill="auto"/>
            <w:noWrap/>
            <w:vAlign w:val="bottom"/>
            <w:hideMark/>
          </w:tcPr>
          <w:p w14:paraId="2CCC8307" w14:textId="77777777" w:rsidR="008A7A51" w:rsidRPr="001845F3" w:rsidRDefault="008A7A51" w:rsidP="00D727BF">
            <w:pPr>
              <w:tabs>
                <w:tab w:val="left" w:pos="720"/>
              </w:tabs>
              <w:spacing w:before="60" w:after="0"/>
              <w:ind w:left="14" w:hanging="14"/>
              <w:jc w:val="center"/>
              <w:rPr>
                <w:rFonts w:eastAsia="Times New Roman" w:cs="Times New Roman"/>
                <w:b/>
                <w:bCs/>
                <w:color w:val="000000"/>
                <w:sz w:val="20"/>
                <w:szCs w:val="20"/>
              </w:rPr>
            </w:pPr>
            <w:r w:rsidRPr="001845F3">
              <w:rPr>
                <w:rFonts w:eastAsia="Times New Roman" w:cs="Times New Roman"/>
                <w:b/>
                <w:bCs/>
                <w:color w:val="000000"/>
                <w:sz w:val="20"/>
                <w:szCs w:val="20"/>
              </w:rPr>
              <w:t xml:space="preserve">R&amp;D Incidence </w:t>
            </w:r>
          </w:p>
          <w:p w14:paraId="3CCB7969" w14:textId="77777777" w:rsidR="008A7A51" w:rsidRPr="001845F3" w:rsidRDefault="008A7A51" w:rsidP="00D727BF">
            <w:pPr>
              <w:tabs>
                <w:tab w:val="left" w:pos="720"/>
              </w:tabs>
              <w:spacing w:before="60" w:after="0"/>
              <w:ind w:left="14" w:hanging="14"/>
              <w:jc w:val="center"/>
              <w:rPr>
                <w:rFonts w:eastAsia="Times New Roman" w:cs="Times New Roman"/>
                <w:bCs/>
                <w:color w:val="000000"/>
                <w:sz w:val="20"/>
                <w:szCs w:val="20"/>
              </w:rPr>
            </w:pPr>
            <w:r w:rsidRPr="001845F3">
              <w:rPr>
                <w:rFonts w:eastAsia="Times New Roman" w:cs="Times New Roman"/>
                <w:bCs/>
                <w:color w:val="000000"/>
                <w:sz w:val="20"/>
                <w:szCs w:val="20"/>
              </w:rPr>
              <w:t>% of all firms</w:t>
            </w:r>
          </w:p>
        </w:tc>
        <w:tc>
          <w:tcPr>
            <w:tcW w:w="1843" w:type="dxa"/>
            <w:tcBorders>
              <w:top w:val="single" w:sz="4" w:space="0" w:color="auto"/>
              <w:left w:val="single" w:sz="4" w:space="0" w:color="auto"/>
              <w:bottom w:val="nil"/>
              <w:right w:val="nil"/>
            </w:tcBorders>
            <w:shd w:val="clear" w:color="auto" w:fill="auto"/>
            <w:noWrap/>
            <w:vAlign w:val="bottom"/>
            <w:hideMark/>
          </w:tcPr>
          <w:p w14:paraId="64FD9120" w14:textId="77777777" w:rsidR="008A7A51" w:rsidRPr="001845F3" w:rsidRDefault="008A7A51" w:rsidP="00D727BF">
            <w:pPr>
              <w:tabs>
                <w:tab w:val="left" w:pos="720"/>
              </w:tabs>
              <w:spacing w:before="60" w:after="0"/>
              <w:ind w:left="14" w:hanging="14"/>
              <w:jc w:val="center"/>
              <w:rPr>
                <w:rFonts w:eastAsia="Times New Roman" w:cs="Times New Roman"/>
                <w:b/>
                <w:bCs/>
                <w:color w:val="000000"/>
                <w:sz w:val="20"/>
                <w:szCs w:val="20"/>
              </w:rPr>
            </w:pPr>
            <w:r w:rsidRPr="001845F3">
              <w:rPr>
                <w:rFonts w:eastAsia="Times New Roman" w:cs="Times New Roman"/>
                <w:b/>
                <w:bCs/>
                <w:color w:val="000000"/>
                <w:sz w:val="20"/>
                <w:szCs w:val="20"/>
              </w:rPr>
              <w:t>R&amp;D Intensity</w:t>
            </w:r>
          </w:p>
        </w:tc>
        <w:tc>
          <w:tcPr>
            <w:tcW w:w="1843" w:type="dxa"/>
            <w:tcBorders>
              <w:top w:val="single" w:sz="4" w:space="0" w:color="auto"/>
              <w:left w:val="nil"/>
              <w:bottom w:val="nil"/>
              <w:right w:val="nil"/>
            </w:tcBorders>
            <w:shd w:val="clear" w:color="auto" w:fill="auto"/>
            <w:noWrap/>
            <w:vAlign w:val="bottom"/>
            <w:hideMark/>
          </w:tcPr>
          <w:p w14:paraId="6EB56C9D" w14:textId="77777777" w:rsidR="008A7A51" w:rsidRPr="001845F3" w:rsidRDefault="008A7A51" w:rsidP="00D727BF">
            <w:pPr>
              <w:tabs>
                <w:tab w:val="left" w:pos="720"/>
              </w:tabs>
              <w:spacing w:before="60" w:after="0"/>
              <w:ind w:left="14" w:hanging="14"/>
              <w:jc w:val="center"/>
              <w:rPr>
                <w:rFonts w:eastAsia="Times New Roman" w:cs="Times New Roman"/>
                <w:b/>
                <w:bCs/>
                <w:color w:val="000000"/>
                <w:sz w:val="20"/>
                <w:szCs w:val="20"/>
              </w:rPr>
            </w:pPr>
            <w:r w:rsidRPr="001845F3">
              <w:rPr>
                <w:rFonts w:eastAsia="Times New Roman" w:cs="Times New Roman"/>
                <w:b/>
                <w:bCs/>
                <w:color w:val="000000"/>
                <w:sz w:val="20"/>
                <w:szCs w:val="20"/>
              </w:rPr>
              <w:t>R&amp;D Concentration</w:t>
            </w:r>
          </w:p>
        </w:tc>
      </w:tr>
      <w:tr w:rsidR="008A7A51" w:rsidRPr="00B2289F" w14:paraId="51C3F0BB" w14:textId="77777777" w:rsidTr="00190C49">
        <w:trPr>
          <w:trHeight w:val="288"/>
        </w:trPr>
        <w:tc>
          <w:tcPr>
            <w:tcW w:w="2340" w:type="dxa"/>
            <w:tcBorders>
              <w:top w:val="nil"/>
              <w:left w:val="nil"/>
              <w:bottom w:val="single" w:sz="4" w:space="0" w:color="auto"/>
              <w:right w:val="single" w:sz="4" w:space="0" w:color="auto"/>
            </w:tcBorders>
            <w:shd w:val="clear" w:color="auto" w:fill="auto"/>
            <w:noWrap/>
            <w:vAlign w:val="bottom"/>
            <w:hideMark/>
          </w:tcPr>
          <w:p w14:paraId="4FDB8339" w14:textId="77777777" w:rsidR="008A7A51" w:rsidRPr="001845F3" w:rsidRDefault="008A7A51" w:rsidP="00D727BF">
            <w:pPr>
              <w:tabs>
                <w:tab w:val="left" w:pos="720"/>
              </w:tabs>
              <w:spacing w:after="0"/>
              <w:ind w:left="20" w:hanging="20"/>
              <w:jc w:val="center"/>
              <w:rPr>
                <w:rFonts w:eastAsia="Times New Roman" w:cs="Times New Roman"/>
                <w:bCs/>
                <w:color w:val="000000"/>
                <w:sz w:val="20"/>
                <w:szCs w:val="20"/>
              </w:rPr>
            </w:pPr>
            <w:r w:rsidRPr="001845F3">
              <w:rPr>
                <w:rFonts w:eastAsia="Times New Roman" w:cs="Times New Roman"/>
                <w:bCs/>
                <w:color w:val="000000"/>
                <w:sz w:val="20"/>
                <w:szCs w:val="20"/>
              </w:rPr>
              <w:t> </w:t>
            </w:r>
          </w:p>
        </w:tc>
        <w:tc>
          <w:tcPr>
            <w:tcW w:w="1146" w:type="dxa"/>
            <w:tcBorders>
              <w:top w:val="nil"/>
              <w:left w:val="single" w:sz="4" w:space="0" w:color="auto"/>
              <w:bottom w:val="single" w:sz="4" w:space="0" w:color="auto"/>
              <w:right w:val="nil"/>
            </w:tcBorders>
            <w:shd w:val="clear" w:color="auto" w:fill="auto"/>
            <w:noWrap/>
            <w:vAlign w:val="bottom"/>
            <w:hideMark/>
          </w:tcPr>
          <w:p w14:paraId="33460690" w14:textId="77777777" w:rsidR="008A7A51" w:rsidRPr="001845F3" w:rsidRDefault="008A7A51" w:rsidP="00D727BF">
            <w:pPr>
              <w:tabs>
                <w:tab w:val="left" w:pos="720"/>
              </w:tabs>
              <w:spacing w:after="0"/>
              <w:ind w:left="20" w:hanging="20"/>
              <w:jc w:val="center"/>
              <w:rPr>
                <w:rFonts w:eastAsia="Times New Roman" w:cs="Times New Roman"/>
                <w:bCs/>
                <w:color w:val="000000"/>
                <w:sz w:val="20"/>
                <w:szCs w:val="20"/>
              </w:rPr>
            </w:pPr>
            <w:r w:rsidRPr="001845F3">
              <w:rPr>
                <w:rFonts w:eastAsia="Times New Roman" w:cs="Times New Roman"/>
                <w:bCs/>
                <w:color w:val="000000"/>
                <w:sz w:val="20"/>
                <w:szCs w:val="20"/>
              </w:rPr>
              <w:t>Overall</w:t>
            </w:r>
          </w:p>
        </w:tc>
        <w:tc>
          <w:tcPr>
            <w:tcW w:w="1146" w:type="dxa"/>
            <w:tcBorders>
              <w:top w:val="nil"/>
              <w:left w:val="nil"/>
              <w:bottom w:val="single" w:sz="4" w:space="0" w:color="auto"/>
              <w:right w:val="nil"/>
            </w:tcBorders>
            <w:shd w:val="clear" w:color="auto" w:fill="auto"/>
            <w:noWrap/>
            <w:vAlign w:val="bottom"/>
            <w:hideMark/>
          </w:tcPr>
          <w:p w14:paraId="20768886" w14:textId="77777777" w:rsidR="008A7A51" w:rsidRPr="001845F3" w:rsidRDefault="008A7A51" w:rsidP="00D727BF">
            <w:pPr>
              <w:tabs>
                <w:tab w:val="left" w:pos="720"/>
              </w:tabs>
              <w:spacing w:after="0"/>
              <w:ind w:left="20" w:hanging="20"/>
              <w:jc w:val="center"/>
              <w:rPr>
                <w:rFonts w:eastAsia="Times New Roman" w:cs="Times New Roman"/>
                <w:bCs/>
                <w:color w:val="000000"/>
                <w:sz w:val="20"/>
                <w:szCs w:val="20"/>
              </w:rPr>
            </w:pPr>
            <w:r w:rsidRPr="001845F3">
              <w:rPr>
                <w:rFonts w:eastAsia="Times New Roman" w:cs="Times New Roman"/>
                <w:bCs/>
                <w:color w:val="000000"/>
                <w:sz w:val="20"/>
                <w:szCs w:val="20"/>
              </w:rPr>
              <w:t>Internal</w:t>
            </w:r>
          </w:p>
        </w:tc>
        <w:tc>
          <w:tcPr>
            <w:tcW w:w="1146" w:type="dxa"/>
            <w:tcBorders>
              <w:top w:val="nil"/>
              <w:left w:val="nil"/>
              <w:bottom w:val="single" w:sz="4" w:space="0" w:color="auto"/>
              <w:right w:val="single" w:sz="4" w:space="0" w:color="auto"/>
            </w:tcBorders>
            <w:shd w:val="clear" w:color="auto" w:fill="auto"/>
            <w:noWrap/>
            <w:vAlign w:val="bottom"/>
            <w:hideMark/>
          </w:tcPr>
          <w:p w14:paraId="7E6037B8" w14:textId="77777777" w:rsidR="008A7A51" w:rsidRPr="001845F3" w:rsidRDefault="008A7A51" w:rsidP="00D727BF">
            <w:pPr>
              <w:tabs>
                <w:tab w:val="left" w:pos="720"/>
              </w:tabs>
              <w:spacing w:after="0"/>
              <w:ind w:left="20" w:hanging="20"/>
              <w:jc w:val="center"/>
              <w:rPr>
                <w:rFonts w:eastAsia="Times New Roman" w:cs="Times New Roman"/>
                <w:bCs/>
                <w:color w:val="000000"/>
                <w:sz w:val="20"/>
                <w:szCs w:val="20"/>
              </w:rPr>
            </w:pPr>
            <w:r w:rsidRPr="001845F3">
              <w:rPr>
                <w:rFonts w:eastAsia="Times New Roman" w:cs="Times New Roman"/>
                <w:bCs/>
                <w:color w:val="000000"/>
                <w:sz w:val="20"/>
                <w:szCs w:val="20"/>
              </w:rPr>
              <w:t>External</w:t>
            </w:r>
          </w:p>
        </w:tc>
        <w:tc>
          <w:tcPr>
            <w:tcW w:w="1843" w:type="dxa"/>
            <w:tcBorders>
              <w:top w:val="nil"/>
              <w:left w:val="single" w:sz="4" w:space="0" w:color="auto"/>
              <w:bottom w:val="single" w:sz="4" w:space="0" w:color="auto"/>
              <w:right w:val="nil"/>
            </w:tcBorders>
            <w:shd w:val="clear" w:color="auto" w:fill="auto"/>
            <w:noWrap/>
            <w:vAlign w:val="bottom"/>
            <w:hideMark/>
          </w:tcPr>
          <w:p w14:paraId="4C469324" w14:textId="77777777" w:rsidR="008A7A51" w:rsidRPr="001845F3" w:rsidRDefault="008A7A51" w:rsidP="00D727BF">
            <w:pPr>
              <w:tabs>
                <w:tab w:val="left" w:pos="720"/>
              </w:tabs>
              <w:spacing w:after="0"/>
              <w:ind w:left="20" w:hanging="20"/>
              <w:jc w:val="center"/>
              <w:rPr>
                <w:rFonts w:eastAsia="Times New Roman" w:cs="Times New Roman"/>
                <w:bCs/>
                <w:color w:val="000000"/>
                <w:sz w:val="20"/>
                <w:szCs w:val="20"/>
              </w:rPr>
            </w:pPr>
            <w:r w:rsidRPr="001845F3">
              <w:rPr>
                <w:rFonts w:eastAsia="Times New Roman" w:cs="Times New Roman"/>
                <w:bCs/>
                <w:color w:val="000000"/>
                <w:sz w:val="20"/>
                <w:szCs w:val="20"/>
              </w:rPr>
              <w:t>$ per worker</w:t>
            </w:r>
          </w:p>
        </w:tc>
        <w:tc>
          <w:tcPr>
            <w:tcW w:w="1843" w:type="dxa"/>
            <w:tcBorders>
              <w:top w:val="nil"/>
              <w:left w:val="nil"/>
              <w:bottom w:val="single" w:sz="4" w:space="0" w:color="auto"/>
              <w:right w:val="nil"/>
            </w:tcBorders>
            <w:shd w:val="clear" w:color="auto" w:fill="auto"/>
            <w:noWrap/>
            <w:vAlign w:val="bottom"/>
            <w:hideMark/>
          </w:tcPr>
          <w:p w14:paraId="4A87AB50" w14:textId="77777777" w:rsidR="008A7A51" w:rsidRPr="001845F3" w:rsidRDefault="008A7A51" w:rsidP="00D727BF">
            <w:pPr>
              <w:tabs>
                <w:tab w:val="left" w:pos="720"/>
              </w:tabs>
              <w:spacing w:after="0"/>
              <w:ind w:left="20" w:hanging="20"/>
              <w:jc w:val="center"/>
              <w:rPr>
                <w:rFonts w:eastAsia="Times New Roman" w:cs="Times New Roman"/>
                <w:bCs/>
                <w:color w:val="000000"/>
                <w:sz w:val="20"/>
                <w:szCs w:val="20"/>
              </w:rPr>
            </w:pPr>
            <w:r w:rsidRPr="001845F3">
              <w:rPr>
                <w:rFonts w:eastAsia="Times New Roman" w:cs="Times New Roman"/>
                <w:bCs/>
                <w:color w:val="000000"/>
                <w:sz w:val="20"/>
                <w:szCs w:val="20"/>
              </w:rPr>
              <w:t>HHI</w:t>
            </w:r>
            <w:r w:rsidRPr="001845F3">
              <w:rPr>
                <w:rFonts w:eastAsia="Times New Roman" w:cs="Times New Roman"/>
                <w:bCs/>
                <w:color w:val="000000"/>
                <w:sz w:val="20"/>
                <w:szCs w:val="20"/>
                <w:vertAlign w:val="superscript"/>
              </w:rPr>
              <w:t>b</w:t>
            </w:r>
          </w:p>
        </w:tc>
      </w:tr>
      <w:tr w:rsidR="008A7A51" w:rsidRPr="00B2289F" w14:paraId="427856DD" w14:textId="77777777" w:rsidTr="00190C49">
        <w:trPr>
          <w:trHeight w:val="288"/>
        </w:trPr>
        <w:tc>
          <w:tcPr>
            <w:tcW w:w="2340" w:type="dxa"/>
            <w:tcBorders>
              <w:top w:val="nil"/>
              <w:left w:val="nil"/>
              <w:bottom w:val="nil"/>
              <w:right w:val="single" w:sz="4" w:space="0" w:color="auto"/>
            </w:tcBorders>
            <w:shd w:val="clear" w:color="auto" w:fill="F2F2F2" w:themeFill="background1" w:themeFillShade="F2"/>
            <w:noWrap/>
            <w:vAlign w:val="bottom"/>
            <w:hideMark/>
          </w:tcPr>
          <w:p w14:paraId="64F71983" w14:textId="77777777" w:rsidR="008A7A51" w:rsidRPr="001845F3" w:rsidRDefault="008A7A51" w:rsidP="00D727BF">
            <w:pPr>
              <w:tabs>
                <w:tab w:val="left" w:pos="720"/>
              </w:tabs>
              <w:spacing w:after="0"/>
              <w:ind w:left="20" w:hanging="20"/>
              <w:rPr>
                <w:rFonts w:eastAsia="Times New Roman" w:cs="Times New Roman"/>
                <w:color w:val="000000"/>
                <w:sz w:val="20"/>
                <w:szCs w:val="20"/>
              </w:rPr>
            </w:pPr>
            <w:r w:rsidRPr="001845F3">
              <w:rPr>
                <w:rFonts w:eastAsia="Times New Roman" w:cs="Times New Roman"/>
                <w:color w:val="000000"/>
                <w:sz w:val="20"/>
                <w:szCs w:val="20"/>
              </w:rPr>
              <w:t>Nigeria</w:t>
            </w:r>
          </w:p>
        </w:tc>
        <w:tc>
          <w:tcPr>
            <w:tcW w:w="1146" w:type="dxa"/>
            <w:tcBorders>
              <w:top w:val="nil"/>
              <w:left w:val="single" w:sz="4" w:space="0" w:color="auto"/>
              <w:bottom w:val="nil"/>
              <w:right w:val="nil"/>
            </w:tcBorders>
            <w:shd w:val="clear" w:color="auto" w:fill="F2F2F2" w:themeFill="background1" w:themeFillShade="F2"/>
            <w:noWrap/>
            <w:vAlign w:val="center"/>
            <w:hideMark/>
          </w:tcPr>
          <w:p w14:paraId="769A9FC9" w14:textId="3746C543" w:rsidR="008A7A51" w:rsidRPr="001845F3" w:rsidRDefault="008A7A51" w:rsidP="00D727BF">
            <w:pPr>
              <w:tabs>
                <w:tab w:val="left" w:pos="720"/>
              </w:tabs>
              <w:spacing w:after="0"/>
              <w:jc w:val="center"/>
              <w:rPr>
                <w:rFonts w:cs="Times New Roman"/>
                <w:bCs/>
                <w:iCs/>
                <w:color w:val="000000"/>
                <w:sz w:val="20"/>
                <w:szCs w:val="20"/>
              </w:rPr>
            </w:pPr>
            <w:r w:rsidRPr="001845F3">
              <w:rPr>
                <w:rFonts w:cs="Times New Roman"/>
                <w:bCs/>
                <w:iCs/>
                <w:color w:val="000000"/>
                <w:sz w:val="20"/>
                <w:szCs w:val="20"/>
              </w:rPr>
              <w:t>10.5</w:t>
            </w:r>
            <w:r w:rsidR="00A02DAA">
              <w:rPr>
                <w:rFonts w:cs="Times New Roman"/>
                <w:bCs/>
                <w:iCs/>
                <w:color w:val="000000"/>
                <w:sz w:val="20"/>
                <w:szCs w:val="20"/>
              </w:rPr>
              <w:t>%</w:t>
            </w:r>
          </w:p>
        </w:tc>
        <w:tc>
          <w:tcPr>
            <w:tcW w:w="1146" w:type="dxa"/>
            <w:tcBorders>
              <w:top w:val="nil"/>
              <w:left w:val="nil"/>
              <w:bottom w:val="nil"/>
              <w:right w:val="nil"/>
            </w:tcBorders>
            <w:shd w:val="clear" w:color="auto" w:fill="F2F2F2" w:themeFill="background1" w:themeFillShade="F2"/>
            <w:noWrap/>
            <w:vAlign w:val="center"/>
            <w:hideMark/>
          </w:tcPr>
          <w:p w14:paraId="24F0E31F" w14:textId="310A5EA0" w:rsidR="008A7A51" w:rsidRPr="001845F3" w:rsidRDefault="008A7A51" w:rsidP="00D727BF">
            <w:pPr>
              <w:tabs>
                <w:tab w:val="left" w:pos="720"/>
              </w:tabs>
              <w:spacing w:after="0"/>
              <w:jc w:val="center"/>
              <w:rPr>
                <w:rFonts w:cs="Times New Roman"/>
                <w:bCs/>
                <w:iCs/>
                <w:color w:val="000000"/>
                <w:sz w:val="20"/>
                <w:szCs w:val="20"/>
              </w:rPr>
            </w:pPr>
            <w:r w:rsidRPr="001845F3">
              <w:rPr>
                <w:rFonts w:cs="Times New Roman"/>
                <w:bCs/>
                <w:iCs/>
                <w:color w:val="000000"/>
                <w:sz w:val="20"/>
                <w:szCs w:val="20"/>
              </w:rPr>
              <w:t>10.3</w:t>
            </w:r>
            <w:r w:rsidR="00A02DAA">
              <w:rPr>
                <w:rFonts w:cs="Times New Roman"/>
                <w:bCs/>
                <w:iCs/>
                <w:color w:val="000000"/>
                <w:sz w:val="20"/>
                <w:szCs w:val="20"/>
              </w:rPr>
              <w:t>%</w:t>
            </w:r>
          </w:p>
        </w:tc>
        <w:tc>
          <w:tcPr>
            <w:tcW w:w="1146" w:type="dxa"/>
            <w:tcBorders>
              <w:top w:val="nil"/>
              <w:left w:val="nil"/>
              <w:bottom w:val="nil"/>
              <w:right w:val="single" w:sz="4" w:space="0" w:color="auto"/>
            </w:tcBorders>
            <w:shd w:val="clear" w:color="auto" w:fill="F2F2F2" w:themeFill="background1" w:themeFillShade="F2"/>
            <w:noWrap/>
            <w:vAlign w:val="center"/>
            <w:hideMark/>
          </w:tcPr>
          <w:p w14:paraId="4845F4E7" w14:textId="75DCFE4F" w:rsidR="008A7A51" w:rsidRPr="001845F3" w:rsidRDefault="008A7A51" w:rsidP="00D727BF">
            <w:pPr>
              <w:tabs>
                <w:tab w:val="left" w:pos="720"/>
              </w:tabs>
              <w:spacing w:after="0"/>
              <w:jc w:val="center"/>
              <w:rPr>
                <w:rFonts w:cs="Times New Roman"/>
                <w:bCs/>
                <w:iCs/>
                <w:color w:val="000000"/>
                <w:sz w:val="20"/>
                <w:szCs w:val="20"/>
              </w:rPr>
            </w:pPr>
            <w:r w:rsidRPr="001845F3">
              <w:rPr>
                <w:rFonts w:cs="Times New Roman"/>
                <w:bCs/>
                <w:iCs/>
                <w:color w:val="000000"/>
                <w:sz w:val="20"/>
                <w:szCs w:val="20"/>
              </w:rPr>
              <w:t>3.0</w:t>
            </w:r>
            <w:r w:rsidR="00A02DAA">
              <w:rPr>
                <w:rFonts w:cs="Times New Roman"/>
                <w:bCs/>
                <w:iCs/>
                <w:color w:val="000000"/>
                <w:sz w:val="20"/>
                <w:szCs w:val="20"/>
              </w:rPr>
              <w:t>%</w:t>
            </w:r>
          </w:p>
        </w:tc>
        <w:tc>
          <w:tcPr>
            <w:tcW w:w="1843" w:type="dxa"/>
            <w:tcBorders>
              <w:top w:val="nil"/>
              <w:left w:val="single" w:sz="4" w:space="0" w:color="auto"/>
              <w:bottom w:val="nil"/>
              <w:right w:val="nil"/>
            </w:tcBorders>
            <w:shd w:val="clear" w:color="auto" w:fill="F2F2F2" w:themeFill="background1" w:themeFillShade="F2"/>
            <w:noWrap/>
            <w:vAlign w:val="center"/>
            <w:hideMark/>
          </w:tcPr>
          <w:p w14:paraId="3ED11730" w14:textId="77777777" w:rsidR="008A7A51" w:rsidRPr="001845F3" w:rsidRDefault="008A7A51" w:rsidP="00D727BF">
            <w:pPr>
              <w:tabs>
                <w:tab w:val="left" w:pos="720"/>
              </w:tabs>
              <w:spacing w:after="0"/>
              <w:jc w:val="center"/>
              <w:rPr>
                <w:rFonts w:cs="Times New Roman"/>
                <w:bCs/>
                <w:iCs/>
                <w:color w:val="000000"/>
                <w:sz w:val="20"/>
                <w:szCs w:val="20"/>
              </w:rPr>
            </w:pPr>
            <w:r w:rsidRPr="001845F3">
              <w:rPr>
                <w:rFonts w:cs="Times New Roman"/>
                <w:bCs/>
                <w:iCs/>
                <w:color w:val="000000"/>
                <w:sz w:val="20"/>
                <w:szCs w:val="20"/>
              </w:rPr>
              <w:t>359</w:t>
            </w:r>
          </w:p>
        </w:tc>
        <w:tc>
          <w:tcPr>
            <w:tcW w:w="1843" w:type="dxa"/>
            <w:tcBorders>
              <w:top w:val="nil"/>
              <w:left w:val="nil"/>
              <w:bottom w:val="nil"/>
              <w:right w:val="nil"/>
            </w:tcBorders>
            <w:shd w:val="clear" w:color="auto" w:fill="F2F2F2" w:themeFill="background1" w:themeFillShade="F2"/>
            <w:noWrap/>
            <w:vAlign w:val="center"/>
            <w:hideMark/>
          </w:tcPr>
          <w:p w14:paraId="76735B09" w14:textId="77777777" w:rsidR="008A7A51" w:rsidRPr="001845F3" w:rsidRDefault="008A7A51" w:rsidP="00D727BF">
            <w:pPr>
              <w:tabs>
                <w:tab w:val="left" w:pos="720"/>
              </w:tabs>
              <w:spacing w:after="0"/>
              <w:jc w:val="center"/>
              <w:rPr>
                <w:rFonts w:cs="Times New Roman"/>
                <w:bCs/>
                <w:iCs/>
                <w:color w:val="000000"/>
                <w:sz w:val="20"/>
                <w:szCs w:val="20"/>
              </w:rPr>
            </w:pPr>
            <w:r w:rsidRPr="001845F3">
              <w:rPr>
                <w:rFonts w:cs="Times New Roman"/>
                <w:bCs/>
                <w:iCs/>
                <w:color w:val="000000"/>
                <w:sz w:val="20"/>
                <w:szCs w:val="20"/>
              </w:rPr>
              <w:t>0.29</w:t>
            </w:r>
          </w:p>
        </w:tc>
      </w:tr>
      <w:tr w:rsidR="008A7A51" w:rsidRPr="00B2289F" w14:paraId="60F9C468" w14:textId="77777777" w:rsidTr="00190C49">
        <w:trPr>
          <w:trHeight w:val="288"/>
        </w:trPr>
        <w:tc>
          <w:tcPr>
            <w:tcW w:w="2340" w:type="dxa"/>
            <w:tcBorders>
              <w:top w:val="nil"/>
              <w:left w:val="nil"/>
              <w:bottom w:val="nil"/>
              <w:right w:val="single" w:sz="4" w:space="0" w:color="auto"/>
            </w:tcBorders>
            <w:shd w:val="clear" w:color="auto" w:fill="auto"/>
            <w:noWrap/>
            <w:vAlign w:val="bottom"/>
            <w:hideMark/>
          </w:tcPr>
          <w:p w14:paraId="1DA93A06" w14:textId="77777777" w:rsidR="008A7A51" w:rsidRPr="001845F3" w:rsidRDefault="008A7A51" w:rsidP="00D727BF">
            <w:pPr>
              <w:tabs>
                <w:tab w:val="left" w:pos="720"/>
              </w:tabs>
              <w:spacing w:after="0"/>
              <w:ind w:left="20" w:hanging="20"/>
              <w:rPr>
                <w:rFonts w:eastAsia="Times New Roman" w:cs="Times New Roman"/>
                <w:color w:val="000000"/>
                <w:sz w:val="20"/>
                <w:szCs w:val="20"/>
              </w:rPr>
            </w:pPr>
            <w:r w:rsidRPr="001845F3">
              <w:rPr>
                <w:rFonts w:eastAsia="Times New Roman" w:cs="Times New Roman"/>
                <w:color w:val="000000"/>
                <w:sz w:val="20"/>
                <w:szCs w:val="20"/>
              </w:rPr>
              <w:t>India</w:t>
            </w:r>
          </w:p>
        </w:tc>
        <w:tc>
          <w:tcPr>
            <w:tcW w:w="1146" w:type="dxa"/>
            <w:tcBorders>
              <w:top w:val="nil"/>
              <w:left w:val="single" w:sz="4" w:space="0" w:color="auto"/>
              <w:bottom w:val="nil"/>
              <w:right w:val="nil"/>
            </w:tcBorders>
            <w:shd w:val="clear" w:color="auto" w:fill="auto"/>
            <w:noWrap/>
            <w:vAlign w:val="center"/>
            <w:hideMark/>
          </w:tcPr>
          <w:p w14:paraId="0023B493" w14:textId="3A1502E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56.2</w:t>
            </w:r>
            <w:r w:rsidR="00A02DAA">
              <w:rPr>
                <w:rFonts w:cs="Times New Roman"/>
                <w:color w:val="000000"/>
                <w:sz w:val="20"/>
                <w:szCs w:val="20"/>
              </w:rPr>
              <w:t>%</w:t>
            </w:r>
          </w:p>
        </w:tc>
        <w:tc>
          <w:tcPr>
            <w:tcW w:w="1146" w:type="dxa"/>
            <w:tcBorders>
              <w:top w:val="nil"/>
              <w:left w:val="nil"/>
              <w:bottom w:val="nil"/>
              <w:right w:val="nil"/>
            </w:tcBorders>
            <w:shd w:val="clear" w:color="auto" w:fill="auto"/>
            <w:noWrap/>
            <w:vAlign w:val="center"/>
            <w:hideMark/>
          </w:tcPr>
          <w:p w14:paraId="74D32E4F" w14:textId="531D28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53.0</w:t>
            </w:r>
            <w:r w:rsidR="00A02DAA">
              <w:rPr>
                <w:rFonts w:cs="Times New Roman"/>
                <w:color w:val="000000"/>
                <w:sz w:val="20"/>
                <w:szCs w:val="20"/>
              </w:rPr>
              <w:t>%</w:t>
            </w:r>
          </w:p>
        </w:tc>
        <w:tc>
          <w:tcPr>
            <w:tcW w:w="1146" w:type="dxa"/>
            <w:tcBorders>
              <w:top w:val="nil"/>
              <w:left w:val="nil"/>
              <w:bottom w:val="nil"/>
              <w:right w:val="single" w:sz="4" w:space="0" w:color="auto"/>
            </w:tcBorders>
            <w:shd w:val="clear" w:color="auto" w:fill="auto"/>
            <w:noWrap/>
            <w:vAlign w:val="center"/>
            <w:hideMark/>
          </w:tcPr>
          <w:p w14:paraId="64A494C5" w14:textId="20A64130"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7.1</w:t>
            </w:r>
            <w:r w:rsidR="00A02DAA">
              <w:rPr>
                <w:rFonts w:cs="Times New Roman"/>
                <w:color w:val="000000"/>
                <w:sz w:val="20"/>
                <w:szCs w:val="20"/>
              </w:rPr>
              <w:t>%</w:t>
            </w:r>
          </w:p>
        </w:tc>
        <w:tc>
          <w:tcPr>
            <w:tcW w:w="1843" w:type="dxa"/>
            <w:tcBorders>
              <w:top w:val="nil"/>
              <w:left w:val="single" w:sz="4" w:space="0" w:color="auto"/>
              <w:bottom w:val="nil"/>
              <w:right w:val="nil"/>
            </w:tcBorders>
            <w:shd w:val="clear" w:color="auto" w:fill="auto"/>
            <w:noWrap/>
            <w:vAlign w:val="center"/>
            <w:hideMark/>
          </w:tcPr>
          <w:p w14:paraId="18EC2C66"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48</w:t>
            </w:r>
          </w:p>
        </w:tc>
        <w:tc>
          <w:tcPr>
            <w:tcW w:w="1843" w:type="dxa"/>
            <w:tcBorders>
              <w:top w:val="nil"/>
              <w:left w:val="nil"/>
              <w:bottom w:val="nil"/>
              <w:right w:val="nil"/>
            </w:tcBorders>
            <w:shd w:val="clear" w:color="auto" w:fill="auto"/>
            <w:noWrap/>
            <w:vAlign w:val="center"/>
            <w:hideMark/>
          </w:tcPr>
          <w:p w14:paraId="37700EEF"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0.07</w:t>
            </w:r>
          </w:p>
        </w:tc>
      </w:tr>
      <w:tr w:rsidR="008A7A51" w:rsidRPr="00B2289F" w14:paraId="1F8F97A8" w14:textId="77777777" w:rsidTr="00190C49">
        <w:trPr>
          <w:trHeight w:val="288"/>
        </w:trPr>
        <w:tc>
          <w:tcPr>
            <w:tcW w:w="2340" w:type="dxa"/>
            <w:tcBorders>
              <w:top w:val="nil"/>
              <w:left w:val="nil"/>
              <w:bottom w:val="nil"/>
              <w:right w:val="single" w:sz="4" w:space="0" w:color="auto"/>
            </w:tcBorders>
            <w:shd w:val="clear" w:color="auto" w:fill="auto"/>
            <w:noWrap/>
            <w:vAlign w:val="bottom"/>
            <w:hideMark/>
          </w:tcPr>
          <w:p w14:paraId="68F0C4F6" w14:textId="77777777" w:rsidR="008A7A51" w:rsidRPr="001845F3" w:rsidRDefault="008A7A51" w:rsidP="00D727BF">
            <w:pPr>
              <w:tabs>
                <w:tab w:val="left" w:pos="720"/>
              </w:tabs>
              <w:spacing w:after="0"/>
              <w:ind w:left="20" w:hanging="20"/>
              <w:rPr>
                <w:rFonts w:eastAsia="Times New Roman" w:cs="Times New Roman"/>
                <w:color w:val="000000"/>
                <w:sz w:val="20"/>
                <w:szCs w:val="20"/>
              </w:rPr>
            </w:pPr>
            <w:r w:rsidRPr="001845F3">
              <w:rPr>
                <w:rFonts w:eastAsia="Times New Roman" w:cs="Times New Roman"/>
                <w:color w:val="000000"/>
                <w:sz w:val="20"/>
                <w:szCs w:val="20"/>
              </w:rPr>
              <w:t>Kenya</w:t>
            </w:r>
          </w:p>
        </w:tc>
        <w:tc>
          <w:tcPr>
            <w:tcW w:w="1146" w:type="dxa"/>
            <w:tcBorders>
              <w:top w:val="nil"/>
              <w:left w:val="single" w:sz="4" w:space="0" w:color="auto"/>
              <w:bottom w:val="nil"/>
              <w:right w:val="nil"/>
            </w:tcBorders>
            <w:shd w:val="clear" w:color="auto" w:fill="auto"/>
            <w:noWrap/>
            <w:vAlign w:val="center"/>
            <w:hideMark/>
          </w:tcPr>
          <w:p w14:paraId="77C102E1" w14:textId="251F8DC1"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22.8</w:t>
            </w:r>
            <w:r w:rsidR="00A02DAA">
              <w:rPr>
                <w:rFonts w:cs="Times New Roman"/>
                <w:color w:val="000000"/>
                <w:sz w:val="20"/>
                <w:szCs w:val="20"/>
              </w:rPr>
              <w:t>%</w:t>
            </w:r>
          </w:p>
        </w:tc>
        <w:tc>
          <w:tcPr>
            <w:tcW w:w="1146" w:type="dxa"/>
            <w:tcBorders>
              <w:top w:val="nil"/>
              <w:left w:val="nil"/>
              <w:bottom w:val="nil"/>
              <w:right w:val="nil"/>
            </w:tcBorders>
            <w:shd w:val="clear" w:color="auto" w:fill="auto"/>
            <w:noWrap/>
            <w:vAlign w:val="center"/>
            <w:hideMark/>
          </w:tcPr>
          <w:p w14:paraId="4298790F"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22.1%</w:t>
            </w:r>
          </w:p>
        </w:tc>
        <w:tc>
          <w:tcPr>
            <w:tcW w:w="1146" w:type="dxa"/>
            <w:tcBorders>
              <w:top w:val="nil"/>
              <w:left w:val="nil"/>
              <w:bottom w:val="nil"/>
              <w:right w:val="single" w:sz="4" w:space="0" w:color="auto"/>
            </w:tcBorders>
            <w:shd w:val="clear" w:color="auto" w:fill="auto"/>
            <w:noWrap/>
            <w:vAlign w:val="center"/>
            <w:hideMark/>
          </w:tcPr>
          <w:p w14:paraId="6E691016" w14:textId="468DEB3F"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4.5</w:t>
            </w:r>
            <w:r w:rsidR="00A02DAA">
              <w:rPr>
                <w:rFonts w:cs="Times New Roman"/>
                <w:color w:val="000000"/>
                <w:sz w:val="20"/>
                <w:szCs w:val="20"/>
              </w:rPr>
              <w:t>%</w:t>
            </w:r>
          </w:p>
        </w:tc>
        <w:tc>
          <w:tcPr>
            <w:tcW w:w="1843" w:type="dxa"/>
            <w:tcBorders>
              <w:top w:val="nil"/>
              <w:left w:val="single" w:sz="4" w:space="0" w:color="auto"/>
              <w:bottom w:val="nil"/>
              <w:right w:val="nil"/>
            </w:tcBorders>
            <w:shd w:val="clear" w:color="auto" w:fill="auto"/>
            <w:noWrap/>
            <w:vAlign w:val="center"/>
            <w:hideMark/>
          </w:tcPr>
          <w:p w14:paraId="4F9AFB73"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234</w:t>
            </w:r>
          </w:p>
        </w:tc>
        <w:tc>
          <w:tcPr>
            <w:tcW w:w="1843" w:type="dxa"/>
            <w:tcBorders>
              <w:top w:val="nil"/>
              <w:left w:val="nil"/>
              <w:bottom w:val="nil"/>
              <w:right w:val="nil"/>
            </w:tcBorders>
            <w:shd w:val="clear" w:color="auto" w:fill="auto"/>
            <w:noWrap/>
            <w:vAlign w:val="center"/>
            <w:hideMark/>
          </w:tcPr>
          <w:p w14:paraId="07AD5481"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0.69</w:t>
            </w:r>
          </w:p>
        </w:tc>
      </w:tr>
      <w:tr w:rsidR="008A7A51" w:rsidRPr="00B2289F" w14:paraId="1DC768CE" w14:textId="77777777" w:rsidTr="00190C49">
        <w:trPr>
          <w:trHeight w:val="288"/>
        </w:trPr>
        <w:tc>
          <w:tcPr>
            <w:tcW w:w="2340" w:type="dxa"/>
            <w:tcBorders>
              <w:top w:val="nil"/>
              <w:left w:val="nil"/>
              <w:bottom w:val="nil"/>
              <w:right w:val="single" w:sz="4" w:space="0" w:color="auto"/>
            </w:tcBorders>
            <w:shd w:val="clear" w:color="auto" w:fill="auto"/>
            <w:noWrap/>
            <w:vAlign w:val="bottom"/>
            <w:hideMark/>
          </w:tcPr>
          <w:p w14:paraId="62B9C3BF" w14:textId="77777777" w:rsidR="008A7A51" w:rsidRPr="001845F3" w:rsidRDefault="008A7A51" w:rsidP="00D727BF">
            <w:pPr>
              <w:tabs>
                <w:tab w:val="left" w:pos="720"/>
              </w:tabs>
              <w:spacing w:after="0"/>
              <w:ind w:left="20" w:hanging="20"/>
              <w:rPr>
                <w:rFonts w:eastAsia="Times New Roman" w:cs="Times New Roman"/>
                <w:color w:val="000000"/>
                <w:sz w:val="20"/>
                <w:szCs w:val="20"/>
              </w:rPr>
            </w:pPr>
            <w:r w:rsidRPr="001845F3">
              <w:rPr>
                <w:rFonts w:eastAsia="Times New Roman" w:cs="Times New Roman"/>
                <w:color w:val="000000"/>
                <w:sz w:val="20"/>
                <w:szCs w:val="20"/>
              </w:rPr>
              <w:t>Ghana</w:t>
            </w:r>
          </w:p>
        </w:tc>
        <w:tc>
          <w:tcPr>
            <w:tcW w:w="1146" w:type="dxa"/>
            <w:tcBorders>
              <w:top w:val="nil"/>
              <w:left w:val="single" w:sz="4" w:space="0" w:color="auto"/>
              <w:bottom w:val="nil"/>
              <w:right w:val="nil"/>
            </w:tcBorders>
            <w:shd w:val="clear" w:color="auto" w:fill="auto"/>
            <w:noWrap/>
            <w:vAlign w:val="center"/>
            <w:hideMark/>
          </w:tcPr>
          <w:p w14:paraId="0B976DAD" w14:textId="4D86AA53"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15.5</w:t>
            </w:r>
            <w:r w:rsidR="00A02DAA">
              <w:rPr>
                <w:rFonts w:cs="Times New Roman"/>
                <w:color w:val="000000"/>
                <w:sz w:val="20"/>
                <w:szCs w:val="20"/>
              </w:rPr>
              <w:t>%</w:t>
            </w:r>
          </w:p>
        </w:tc>
        <w:tc>
          <w:tcPr>
            <w:tcW w:w="1146" w:type="dxa"/>
            <w:tcBorders>
              <w:top w:val="nil"/>
              <w:left w:val="nil"/>
              <w:bottom w:val="nil"/>
              <w:right w:val="nil"/>
            </w:tcBorders>
            <w:shd w:val="clear" w:color="auto" w:fill="auto"/>
            <w:noWrap/>
            <w:vAlign w:val="center"/>
            <w:hideMark/>
          </w:tcPr>
          <w:p w14:paraId="4B573FEB" w14:textId="42411535"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14.2</w:t>
            </w:r>
            <w:r w:rsidR="00A02DAA">
              <w:rPr>
                <w:rFonts w:cs="Times New Roman"/>
                <w:color w:val="000000"/>
                <w:sz w:val="20"/>
                <w:szCs w:val="20"/>
              </w:rPr>
              <w:t>%</w:t>
            </w:r>
          </w:p>
        </w:tc>
        <w:tc>
          <w:tcPr>
            <w:tcW w:w="1146" w:type="dxa"/>
            <w:tcBorders>
              <w:top w:val="nil"/>
              <w:left w:val="nil"/>
              <w:bottom w:val="nil"/>
              <w:right w:val="single" w:sz="4" w:space="0" w:color="auto"/>
            </w:tcBorders>
            <w:shd w:val="clear" w:color="auto" w:fill="auto"/>
            <w:noWrap/>
            <w:vAlign w:val="center"/>
            <w:hideMark/>
          </w:tcPr>
          <w:p w14:paraId="6D3BEB71" w14:textId="55D7710A"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3.4</w:t>
            </w:r>
            <w:r w:rsidR="00A02DAA">
              <w:rPr>
                <w:rFonts w:cs="Times New Roman"/>
                <w:color w:val="000000"/>
                <w:sz w:val="20"/>
                <w:szCs w:val="20"/>
              </w:rPr>
              <w:t>%</w:t>
            </w:r>
          </w:p>
        </w:tc>
        <w:tc>
          <w:tcPr>
            <w:tcW w:w="1843" w:type="dxa"/>
            <w:tcBorders>
              <w:top w:val="nil"/>
              <w:left w:val="single" w:sz="4" w:space="0" w:color="auto"/>
              <w:bottom w:val="nil"/>
              <w:right w:val="nil"/>
            </w:tcBorders>
            <w:shd w:val="clear" w:color="auto" w:fill="auto"/>
            <w:noWrap/>
            <w:vAlign w:val="center"/>
            <w:hideMark/>
          </w:tcPr>
          <w:p w14:paraId="2EC43C6C"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602</w:t>
            </w:r>
          </w:p>
        </w:tc>
        <w:tc>
          <w:tcPr>
            <w:tcW w:w="1843" w:type="dxa"/>
            <w:tcBorders>
              <w:top w:val="nil"/>
              <w:left w:val="nil"/>
              <w:bottom w:val="nil"/>
              <w:right w:val="nil"/>
            </w:tcBorders>
            <w:shd w:val="clear" w:color="auto" w:fill="auto"/>
            <w:noWrap/>
            <w:vAlign w:val="center"/>
            <w:hideMark/>
          </w:tcPr>
          <w:p w14:paraId="394EC424"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0.55</w:t>
            </w:r>
          </w:p>
        </w:tc>
      </w:tr>
      <w:tr w:rsidR="008A7A51" w:rsidRPr="00B2289F" w14:paraId="5AFEEF10" w14:textId="77777777" w:rsidTr="00190C49">
        <w:trPr>
          <w:trHeight w:val="288"/>
        </w:trPr>
        <w:tc>
          <w:tcPr>
            <w:tcW w:w="2340" w:type="dxa"/>
            <w:tcBorders>
              <w:top w:val="nil"/>
              <w:left w:val="nil"/>
              <w:bottom w:val="nil"/>
              <w:right w:val="single" w:sz="4" w:space="0" w:color="auto"/>
            </w:tcBorders>
            <w:shd w:val="clear" w:color="auto" w:fill="auto"/>
            <w:noWrap/>
            <w:vAlign w:val="bottom"/>
            <w:hideMark/>
          </w:tcPr>
          <w:p w14:paraId="060C6481" w14:textId="77777777" w:rsidR="008A7A51" w:rsidRPr="001845F3" w:rsidRDefault="008A7A51" w:rsidP="00D727BF">
            <w:pPr>
              <w:tabs>
                <w:tab w:val="left" w:pos="720"/>
              </w:tabs>
              <w:spacing w:after="0"/>
              <w:ind w:left="20" w:hanging="20"/>
              <w:rPr>
                <w:rFonts w:eastAsia="Times New Roman" w:cs="Times New Roman"/>
                <w:color w:val="000000"/>
                <w:sz w:val="20"/>
                <w:szCs w:val="20"/>
              </w:rPr>
            </w:pPr>
            <w:r w:rsidRPr="001845F3">
              <w:rPr>
                <w:rFonts w:eastAsia="Times New Roman" w:cs="Times New Roman"/>
                <w:color w:val="000000"/>
                <w:sz w:val="20"/>
                <w:szCs w:val="20"/>
              </w:rPr>
              <w:t>Russian Federation</w:t>
            </w:r>
          </w:p>
        </w:tc>
        <w:tc>
          <w:tcPr>
            <w:tcW w:w="1146" w:type="dxa"/>
            <w:tcBorders>
              <w:top w:val="nil"/>
              <w:left w:val="single" w:sz="4" w:space="0" w:color="auto"/>
              <w:bottom w:val="nil"/>
              <w:right w:val="nil"/>
            </w:tcBorders>
            <w:shd w:val="clear" w:color="auto" w:fill="auto"/>
            <w:noWrap/>
            <w:vAlign w:val="center"/>
            <w:hideMark/>
          </w:tcPr>
          <w:p w14:paraId="24786F26" w14:textId="45185DDB"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12.9</w:t>
            </w:r>
            <w:r w:rsidR="00A02DAA">
              <w:rPr>
                <w:rFonts w:cs="Times New Roman"/>
                <w:color w:val="000000"/>
                <w:sz w:val="20"/>
                <w:szCs w:val="20"/>
              </w:rPr>
              <w:t>%</w:t>
            </w:r>
          </w:p>
        </w:tc>
        <w:tc>
          <w:tcPr>
            <w:tcW w:w="1146" w:type="dxa"/>
            <w:tcBorders>
              <w:top w:val="nil"/>
              <w:left w:val="nil"/>
              <w:bottom w:val="nil"/>
              <w:right w:val="nil"/>
            </w:tcBorders>
            <w:shd w:val="clear" w:color="auto" w:fill="auto"/>
            <w:noWrap/>
            <w:vAlign w:val="center"/>
            <w:hideMark/>
          </w:tcPr>
          <w:p w14:paraId="3B4CC6D1" w14:textId="52D57080"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11.9</w:t>
            </w:r>
            <w:r w:rsidR="00A02DAA">
              <w:rPr>
                <w:rFonts w:cs="Times New Roman"/>
                <w:color w:val="000000"/>
                <w:sz w:val="20"/>
                <w:szCs w:val="20"/>
              </w:rPr>
              <w:t>%</w:t>
            </w:r>
          </w:p>
        </w:tc>
        <w:tc>
          <w:tcPr>
            <w:tcW w:w="1146" w:type="dxa"/>
            <w:tcBorders>
              <w:top w:val="nil"/>
              <w:left w:val="nil"/>
              <w:bottom w:val="nil"/>
              <w:right w:val="single" w:sz="4" w:space="0" w:color="auto"/>
            </w:tcBorders>
            <w:shd w:val="clear" w:color="auto" w:fill="auto"/>
            <w:noWrap/>
            <w:vAlign w:val="center"/>
            <w:hideMark/>
          </w:tcPr>
          <w:p w14:paraId="0B741ABE" w14:textId="6149C573"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4.5</w:t>
            </w:r>
            <w:r w:rsidR="00A02DAA">
              <w:rPr>
                <w:rFonts w:cs="Times New Roman"/>
                <w:color w:val="000000"/>
                <w:sz w:val="20"/>
                <w:szCs w:val="20"/>
              </w:rPr>
              <w:t>%</w:t>
            </w:r>
          </w:p>
        </w:tc>
        <w:tc>
          <w:tcPr>
            <w:tcW w:w="1843" w:type="dxa"/>
            <w:tcBorders>
              <w:top w:val="nil"/>
              <w:left w:val="single" w:sz="4" w:space="0" w:color="auto"/>
              <w:bottom w:val="nil"/>
              <w:right w:val="nil"/>
            </w:tcBorders>
            <w:shd w:val="clear" w:color="auto" w:fill="auto"/>
            <w:noWrap/>
            <w:vAlign w:val="center"/>
            <w:hideMark/>
          </w:tcPr>
          <w:p w14:paraId="0032A433"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2755</w:t>
            </w:r>
          </w:p>
        </w:tc>
        <w:tc>
          <w:tcPr>
            <w:tcW w:w="1843" w:type="dxa"/>
            <w:tcBorders>
              <w:top w:val="nil"/>
              <w:left w:val="nil"/>
              <w:bottom w:val="nil"/>
              <w:right w:val="nil"/>
            </w:tcBorders>
            <w:shd w:val="clear" w:color="auto" w:fill="auto"/>
            <w:noWrap/>
            <w:vAlign w:val="center"/>
            <w:hideMark/>
          </w:tcPr>
          <w:p w14:paraId="31D1DC58"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0.27</w:t>
            </w:r>
          </w:p>
        </w:tc>
      </w:tr>
      <w:tr w:rsidR="008A7A51" w:rsidRPr="00B2289F" w14:paraId="3384A217" w14:textId="77777777" w:rsidTr="00190C49">
        <w:trPr>
          <w:trHeight w:val="288"/>
        </w:trPr>
        <w:tc>
          <w:tcPr>
            <w:tcW w:w="2340" w:type="dxa"/>
            <w:tcBorders>
              <w:top w:val="nil"/>
              <w:left w:val="nil"/>
              <w:bottom w:val="single" w:sz="4" w:space="0" w:color="auto"/>
              <w:right w:val="single" w:sz="4" w:space="0" w:color="auto"/>
            </w:tcBorders>
            <w:shd w:val="clear" w:color="auto" w:fill="auto"/>
            <w:noWrap/>
            <w:vAlign w:val="bottom"/>
            <w:hideMark/>
          </w:tcPr>
          <w:p w14:paraId="012631E7" w14:textId="77777777" w:rsidR="008A7A51" w:rsidRPr="001845F3" w:rsidRDefault="008A7A51" w:rsidP="00D727BF">
            <w:pPr>
              <w:tabs>
                <w:tab w:val="left" w:pos="720"/>
              </w:tabs>
              <w:spacing w:after="0"/>
              <w:ind w:left="20" w:hanging="20"/>
              <w:rPr>
                <w:rFonts w:eastAsia="Times New Roman" w:cs="Times New Roman"/>
                <w:color w:val="000000"/>
                <w:sz w:val="20"/>
                <w:szCs w:val="20"/>
                <w:vertAlign w:val="superscript"/>
              </w:rPr>
            </w:pPr>
            <w:r w:rsidRPr="001845F3">
              <w:rPr>
                <w:rFonts w:eastAsia="Times New Roman" w:cs="Times New Roman"/>
                <w:color w:val="000000"/>
                <w:sz w:val="20"/>
                <w:szCs w:val="20"/>
              </w:rPr>
              <w:t xml:space="preserve">Africa </w:t>
            </w:r>
            <w:r w:rsidRPr="001845F3">
              <w:rPr>
                <w:rFonts w:eastAsia="Times New Roman" w:cs="Times New Roman"/>
                <w:color w:val="000000"/>
                <w:sz w:val="20"/>
                <w:szCs w:val="20"/>
                <w:vertAlign w:val="superscript"/>
              </w:rPr>
              <w:t>a</w:t>
            </w:r>
          </w:p>
        </w:tc>
        <w:tc>
          <w:tcPr>
            <w:tcW w:w="1146" w:type="dxa"/>
            <w:tcBorders>
              <w:top w:val="nil"/>
              <w:left w:val="single" w:sz="4" w:space="0" w:color="auto"/>
              <w:bottom w:val="single" w:sz="4" w:space="0" w:color="auto"/>
              <w:right w:val="nil"/>
            </w:tcBorders>
            <w:shd w:val="clear" w:color="auto" w:fill="auto"/>
            <w:noWrap/>
            <w:vAlign w:val="center"/>
            <w:hideMark/>
          </w:tcPr>
          <w:p w14:paraId="31550C6A" w14:textId="6628BCA5"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18.4</w:t>
            </w:r>
            <w:r w:rsidR="00A02DAA">
              <w:rPr>
                <w:rFonts w:cs="Times New Roman"/>
                <w:color w:val="000000"/>
                <w:sz w:val="20"/>
                <w:szCs w:val="20"/>
              </w:rPr>
              <w:t>%</w:t>
            </w:r>
          </w:p>
        </w:tc>
        <w:tc>
          <w:tcPr>
            <w:tcW w:w="1146" w:type="dxa"/>
            <w:tcBorders>
              <w:top w:val="nil"/>
              <w:left w:val="nil"/>
              <w:bottom w:val="single" w:sz="4" w:space="0" w:color="auto"/>
              <w:right w:val="nil"/>
            </w:tcBorders>
            <w:shd w:val="clear" w:color="auto" w:fill="auto"/>
            <w:noWrap/>
            <w:vAlign w:val="center"/>
            <w:hideMark/>
          </w:tcPr>
          <w:p w14:paraId="26C9F968" w14:textId="43D9E70C"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16.2</w:t>
            </w:r>
            <w:r w:rsidR="00A02DAA">
              <w:rPr>
                <w:rFonts w:cs="Times New Roman"/>
                <w:color w:val="000000"/>
                <w:sz w:val="20"/>
                <w:szCs w:val="20"/>
              </w:rPr>
              <w:t>%</w:t>
            </w:r>
          </w:p>
        </w:tc>
        <w:tc>
          <w:tcPr>
            <w:tcW w:w="1146" w:type="dxa"/>
            <w:tcBorders>
              <w:top w:val="nil"/>
              <w:left w:val="nil"/>
              <w:bottom w:val="single" w:sz="4" w:space="0" w:color="auto"/>
              <w:right w:val="single" w:sz="4" w:space="0" w:color="auto"/>
            </w:tcBorders>
            <w:shd w:val="clear" w:color="auto" w:fill="auto"/>
            <w:noWrap/>
            <w:vAlign w:val="center"/>
            <w:hideMark/>
          </w:tcPr>
          <w:p w14:paraId="2D71C0EB" w14:textId="1981A0C9"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6.9</w:t>
            </w:r>
            <w:r w:rsidR="00A02DAA">
              <w:rPr>
                <w:rFonts w:cs="Times New Roman"/>
                <w:color w:val="000000"/>
                <w:sz w:val="20"/>
                <w:szCs w:val="20"/>
              </w:rPr>
              <w:t>%</w:t>
            </w:r>
          </w:p>
        </w:tc>
        <w:tc>
          <w:tcPr>
            <w:tcW w:w="1843" w:type="dxa"/>
            <w:tcBorders>
              <w:top w:val="nil"/>
              <w:left w:val="single" w:sz="4" w:space="0" w:color="auto"/>
              <w:bottom w:val="single" w:sz="4" w:space="0" w:color="auto"/>
              <w:right w:val="nil"/>
            </w:tcBorders>
            <w:shd w:val="clear" w:color="auto" w:fill="auto"/>
            <w:noWrap/>
            <w:vAlign w:val="center"/>
            <w:hideMark/>
          </w:tcPr>
          <w:p w14:paraId="0002C710"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242</w:t>
            </w:r>
          </w:p>
        </w:tc>
        <w:tc>
          <w:tcPr>
            <w:tcW w:w="1843" w:type="dxa"/>
            <w:tcBorders>
              <w:top w:val="nil"/>
              <w:left w:val="nil"/>
              <w:bottom w:val="single" w:sz="4" w:space="0" w:color="auto"/>
              <w:right w:val="nil"/>
            </w:tcBorders>
            <w:shd w:val="clear" w:color="auto" w:fill="auto"/>
            <w:noWrap/>
            <w:vAlign w:val="center"/>
            <w:hideMark/>
          </w:tcPr>
          <w:p w14:paraId="059B57D1" w14:textId="77777777" w:rsidR="008A7A51" w:rsidRPr="001845F3" w:rsidRDefault="008A7A51" w:rsidP="00D727BF">
            <w:pPr>
              <w:tabs>
                <w:tab w:val="left" w:pos="720"/>
              </w:tabs>
              <w:spacing w:after="0"/>
              <w:jc w:val="center"/>
              <w:rPr>
                <w:rFonts w:cs="Times New Roman"/>
                <w:color w:val="000000"/>
                <w:sz w:val="20"/>
                <w:szCs w:val="20"/>
              </w:rPr>
            </w:pPr>
            <w:r w:rsidRPr="001845F3">
              <w:rPr>
                <w:rFonts w:cs="Times New Roman"/>
                <w:color w:val="000000"/>
                <w:sz w:val="20"/>
                <w:szCs w:val="20"/>
              </w:rPr>
              <w:t>0.27</w:t>
            </w:r>
          </w:p>
        </w:tc>
      </w:tr>
    </w:tbl>
    <w:p w14:paraId="024B1C05" w14:textId="72053E2C" w:rsidR="008A7A51" w:rsidRPr="0056518C" w:rsidRDefault="008A7A51" w:rsidP="00D727BF">
      <w:pPr>
        <w:tabs>
          <w:tab w:val="left" w:pos="720"/>
        </w:tabs>
        <w:spacing w:after="120"/>
        <w:rPr>
          <w:rFonts w:eastAsia="Calibri" w:cs="Times New Roman"/>
          <w:sz w:val="18"/>
          <w:szCs w:val="18"/>
        </w:rPr>
      </w:pPr>
      <w:r w:rsidRPr="0056518C">
        <w:rPr>
          <w:rFonts w:eastAsia="Calibri" w:cs="Times New Roman"/>
          <w:sz w:val="18"/>
          <w:szCs w:val="18"/>
        </w:rPr>
        <w:t>Source: Authors</w:t>
      </w:r>
      <w:r w:rsidR="00863D16">
        <w:rPr>
          <w:rFonts w:eastAsia="Calibri" w:cs="Times New Roman"/>
          <w:sz w:val="18"/>
          <w:szCs w:val="18"/>
        </w:rPr>
        <w:t>’</w:t>
      </w:r>
      <w:r w:rsidRPr="0056518C">
        <w:rPr>
          <w:rFonts w:eastAsia="Calibri" w:cs="Times New Roman"/>
          <w:sz w:val="18"/>
          <w:szCs w:val="18"/>
        </w:rPr>
        <w:t xml:space="preserve"> calculations based on Enterprise Survey 2014</w:t>
      </w:r>
      <w:r w:rsidR="00784C00">
        <w:rPr>
          <w:rFonts w:ascii="Calibri" w:eastAsia="Calibri" w:hAnsi="Calibri" w:cs="Times New Roman"/>
          <w:sz w:val="18"/>
          <w:szCs w:val="18"/>
        </w:rPr>
        <w:t>‒</w:t>
      </w:r>
      <w:r w:rsidRPr="0056518C">
        <w:rPr>
          <w:rFonts w:eastAsia="Calibri" w:cs="Times New Roman"/>
          <w:sz w:val="18"/>
          <w:szCs w:val="18"/>
        </w:rPr>
        <w:t>15</w:t>
      </w:r>
    </w:p>
    <w:p w14:paraId="167E8B67" w14:textId="3D1074FE" w:rsidR="008A7A51" w:rsidRPr="0056518C" w:rsidRDefault="008A7A51" w:rsidP="00D727BF">
      <w:pPr>
        <w:tabs>
          <w:tab w:val="left" w:pos="720"/>
        </w:tabs>
        <w:spacing w:after="0"/>
        <w:ind w:left="14" w:hanging="14"/>
        <w:rPr>
          <w:sz w:val="18"/>
          <w:szCs w:val="18"/>
        </w:rPr>
      </w:pPr>
      <w:r w:rsidRPr="0056518C">
        <w:rPr>
          <w:sz w:val="18"/>
          <w:szCs w:val="18"/>
          <w:vertAlign w:val="superscript"/>
        </w:rPr>
        <w:t>a</w:t>
      </w:r>
      <w:r w:rsidRPr="0056518C">
        <w:rPr>
          <w:sz w:val="18"/>
          <w:szCs w:val="18"/>
        </w:rPr>
        <w:t xml:space="preserve"> Africa average, excluding Nigeria and including DRC, Ghana, Kenya, Namibia, South Sudan, Sudan, Tanzania, Uganda</w:t>
      </w:r>
      <w:r w:rsidR="005C1325">
        <w:rPr>
          <w:sz w:val="18"/>
          <w:szCs w:val="18"/>
        </w:rPr>
        <w:t>,</w:t>
      </w:r>
      <w:r w:rsidRPr="0056518C">
        <w:rPr>
          <w:sz w:val="18"/>
          <w:szCs w:val="18"/>
        </w:rPr>
        <w:t xml:space="preserve"> and Zambia. Source: Authors</w:t>
      </w:r>
      <w:r w:rsidR="00863D16">
        <w:rPr>
          <w:sz w:val="18"/>
          <w:szCs w:val="18"/>
        </w:rPr>
        <w:t>’</w:t>
      </w:r>
      <w:r w:rsidRPr="0056518C">
        <w:rPr>
          <w:sz w:val="18"/>
          <w:szCs w:val="18"/>
        </w:rPr>
        <w:t xml:space="preserve"> calculations based on countries</w:t>
      </w:r>
      <w:r w:rsidR="00863D16">
        <w:rPr>
          <w:sz w:val="18"/>
          <w:szCs w:val="18"/>
        </w:rPr>
        <w:t>’</w:t>
      </w:r>
      <w:r w:rsidRPr="0056518C">
        <w:rPr>
          <w:sz w:val="18"/>
          <w:szCs w:val="18"/>
        </w:rPr>
        <w:t xml:space="preserve"> </w:t>
      </w:r>
      <w:r w:rsidR="00C32950">
        <w:rPr>
          <w:sz w:val="18"/>
          <w:szCs w:val="18"/>
        </w:rPr>
        <w:t>enterprise surveys</w:t>
      </w:r>
      <w:r w:rsidRPr="0056518C">
        <w:rPr>
          <w:sz w:val="18"/>
          <w:szCs w:val="18"/>
        </w:rPr>
        <w:t xml:space="preserve">. </w:t>
      </w:r>
    </w:p>
    <w:p w14:paraId="0FB6A442" w14:textId="77777777" w:rsidR="008A7A51" w:rsidRPr="0056518C" w:rsidRDefault="008A7A51" w:rsidP="00D727BF">
      <w:pPr>
        <w:tabs>
          <w:tab w:val="left" w:pos="720"/>
        </w:tabs>
        <w:spacing w:after="0"/>
        <w:ind w:left="14" w:hanging="14"/>
        <w:rPr>
          <w:rFonts w:cs="Times New Roman"/>
          <w:bCs/>
          <w:color w:val="222222"/>
          <w:sz w:val="18"/>
          <w:szCs w:val="18"/>
          <w:lang w:val="en"/>
        </w:rPr>
      </w:pPr>
      <w:r w:rsidRPr="001845F3">
        <w:rPr>
          <w:sz w:val="18"/>
          <w:szCs w:val="18"/>
          <w:vertAlign w:val="superscript"/>
        </w:rPr>
        <w:t>b</w:t>
      </w:r>
      <w:r w:rsidRPr="001845F3">
        <w:rPr>
          <w:sz w:val="18"/>
          <w:szCs w:val="18"/>
        </w:rPr>
        <w:t xml:space="preserve"> </w:t>
      </w:r>
      <w:r w:rsidRPr="0056518C">
        <w:rPr>
          <w:rFonts w:cs="Times New Roman"/>
          <w:bCs/>
          <w:color w:val="222222"/>
          <w:sz w:val="18"/>
          <w:szCs w:val="18"/>
          <w:lang w:val="en"/>
        </w:rPr>
        <w:t>Herfindahl-Hirschman Index.</w:t>
      </w:r>
    </w:p>
    <w:p w14:paraId="5EB3B180" w14:textId="77777777" w:rsidR="008A7A51" w:rsidRPr="001845F3" w:rsidRDefault="008A7A51" w:rsidP="00D727BF">
      <w:pPr>
        <w:tabs>
          <w:tab w:val="left" w:pos="720"/>
        </w:tabs>
        <w:spacing w:after="0"/>
        <w:rPr>
          <w:rFonts w:eastAsia="Calibri" w:cs="Times New Roman"/>
          <w:szCs w:val="24"/>
        </w:rPr>
      </w:pPr>
    </w:p>
    <w:p w14:paraId="39A7F8C6" w14:textId="4E2F13C5" w:rsidR="00980400" w:rsidRDefault="00180B4A" w:rsidP="00D727BF">
      <w:pPr>
        <w:pStyle w:val="Heading2"/>
        <w:numPr>
          <w:ilvl w:val="0"/>
          <w:numId w:val="0"/>
        </w:numPr>
        <w:tabs>
          <w:tab w:val="left" w:pos="720"/>
        </w:tabs>
        <w:ind w:left="14"/>
      </w:pPr>
      <w:bookmarkStart w:id="49" w:name="_Toc444877492"/>
      <w:bookmarkStart w:id="50" w:name="_Toc445450267"/>
      <w:r>
        <w:t xml:space="preserve">3. </w:t>
      </w:r>
      <w:r w:rsidR="00980400">
        <w:t>Conclusion</w:t>
      </w:r>
      <w:r w:rsidR="005C1325">
        <w:t>s</w:t>
      </w:r>
      <w:r w:rsidR="00980400">
        <w:t xml:space="preserve"> and Recommendations</w:t>
      </w:r>
      <w:bookmarkEnd w:id="49"/>
      <w:bookmarkEnd w:id="50"/>
    </w:p>
    <w:p w14:paraId="7BFF9AFE" w14:textId="7F165B15" w:rsidR="00980400" w:rsidRDefault="00F7672E" w:rsidP="00D727BF">
      <w:pPr>
        <w:pStyle w:val="ParagraphNumbering"/>
        <w:numPr>
          <w:ilvl w:val="0"/>
          <w:numId w:val="0"/>
        </w:numPr>
        <w:tabs>
          <w:tab w:val="left" w:pos="720"/>
        </w:tabs>
        <w:spacing w:after="240"/>
      </w:pPr>
      <w:r>
        <w:rPr>
          <w:b/>
        </w:rPr>
        <w:tab/>
      </w:r>
      <w:r w:rsidR="00432399">
        <w:rPr>
          <w:b/>
        </w:rPr>
        <w:t xml:space="preserve">Growth in the Nigerian </w:t>
      </w:r>
      <w:r w:rsidR="00980400" w:rsidRPr="00834AF6">
        <w:rPr>
          <w:b/>
        </w:rPr>
        <w:t>NFE</w:t>
      </w:r>
      <w:r w:rsidR="00980400">
        <w:rPr>
          <w:b/>
        </w:rPr>
        <w:t xml:space="preserve"> </w:t>
      </w:r>
      <w:r w:rsidR="00432399">
        <w:rPr>
          <w:b/>
        </w:rPr>
        <w:t xml:space="preserve">sector, especially driven by microenterprise growth, has the potential to </w:t>
      </w:r>
      <w:r w:rsidR="00980400" w:rsidRPr="00834AF6">
        <w:rPr>
          <w:b/>
        </w:rPr>
        <w:t>increase</w:t>
      </w:r>
      <w:r w:rsidR="00432399">
        <w:rPr>
          <w:b/>
        </w:rPr>
        <w:t xml:space="preserve"> </w:t>
      </w:r>
      <w:r w:rsidR="00980400" w:rsidRPr="00834AF6">
        <w:rPr>
          <w:b/>
        </w:rPr>
        <w:t xml:space="preserve">household incomes </w:t>
      </w:r>
      <w:r w:rsidR="00432399">
        <w:rPr>
          <w:b/>
        </w:rPr>
        <w:t xml:space="preserve">and overall </w:t>
      </w:r>
      <w:r w:rsidR="00980400" w:rsidRPr="00834AF6">
        <w:rPr>
          <w:b/>
        </w:rPr>
        <w:t>employment.</w:t>
      </w:r>
      <w:r w:rsidR="00980400">
        <w:t xml:space="preserve"> </w:t>
      </w:r>
      <w:r w:rsidR="00432399">
        <w:t>While t</w:t>
      </w:r>
      <w:r w:rsidR="00980400" w:rsidRPr="0000694B">
        <w:t xml:space="preserve">he majority </w:t>
      </w:r>
      <w:r w:rsidR="00980400">
        <w:t xml:space="preserve">of NFEs are </w:t>
      </w:r>
      <w:r w:rsidR="00980400" w:rsidRPr="0000694B">
        <w:t xml:space="preserve">operated by </w:t>
      </w:r>
      <w:r w:rsidR="00980400">
        <w:t xml:space="preserve">a single person, </w:t>
      </w:r>
      <w:r w:rsidR="00384FCB">
        <w:t xml:space="preserve">MEs </w:t>
      </w:r>
      <w:r w:rsidR="00432399">
        <w:t xml:space="preserve">represent a </w:t>
      </w:r>
      <w:r w:rsidR="00980400">
        <w:t xml:space="preserve">subset </w:t>
      </w:r>
      <w:r w:rsidR="00432399">
        <w:t xml:space="preserve">that </w:t>
      </w:r>
      <w:r w:rsidR="00980400">
        <w:t>hire</w:t>
      </w:r>
      <w:r w:rsidR="00432399">
        <w:t>s</w:t>
      </w:r>
      <w:r w:rsidR="00980400" w:rsidRPr="0000694B">
        <w:t xml:space="preserve"> workers </w:t>
      </w:r>
      <w:r w:rsidR="00980400">
        <w:t xml:space="preserve">who are not members of </w:t>
      </w:r>
      <w:r w:rsidR="00980400" w:rsidRPr="0000694B">
        <w:t>the household</w:t>
      </w:r>
      <w:r w:rsidR="00980400">
        <w:t xml:space="preserve">. </w:t>
      </w:r>
      <w:r w:rsidR="006C7732">
        <w:t>As a whole,</w:t>
      </w:r>
      <w:r w:rsidR="00432399">
        <w:t xml:space="preserve"> </w:t>
      </w:r>
      <w:r w:rsidR="00384FCB">
        <w:t xml:space="preserve">all </w:t>
      </w:r>
      <w:r w:rsidR="00432399">
        <w:t xml:space="preserve">NFEs </w:t>
      </w:r>
      <w:r w:rsidR="00980400" w:rsidRPr="0000694B">
        <w:t xml:space="preserve">experienced an increase in sales </w:t>
      </w:r>
      <w:r w:rsidR="006C7732">
        <w:t>from 2011 to 2013;</w:t>
      </w:r>
      <w:r w:rsidR="00980400" w:rsidRPr="0000694B">
        <w:t xml:space="preserve"> </w:t>
      </w:r>
      <w:r w:rsidR="00980400">
        <w:t>however</w:t>
      </w:r>
      <w:r w:rsidR="006C7732">
        <w:t>,</w:t>
      </w:r>
      <w:r w:rsidR="00980400">
        <w:t xml:space="preserve"> </w:t>
      </w:r>
      <w:r w:rsidR="00980400" w:rsidRPr="0000694B">
        <w:t xml:space="preserve">only </w:t>
      </w:r>
      <w:r w:rsidR="00980400">
        <w:t xml:space="preserve">microenterprises </w:t>
      </w:r>
      <w:r w:rsidR="00980400" w:rsidRPr="0000694B">
        <w:t xml:space="preserve">managed to grow </w:t>
      </w:r>
      <w:r w:rsidR="00384FCB">
        <w:t xml:space="preserve">the </w:t>
      </w:r>
      <w:r w:rsidR="00980400" w:rsidRPr="0000694B">
        <w:t xml:space="preserve">size </w:t>
      </w:r>
      <w:r w:rsidR="00384FCB">
        <w:t>of their labor force</w:t>
      </w:r>
      <w:r w:rsidR="00980400" w:rsidRPr="0000694B">
        <w:t xml:space="preserve">. </w:t>
      </w:r>
      <w:r w:rsidR="00384FCB">
        <w:t>This finding suggests that p</w:t>
      </w:r>
      <w:r w:rsidR="00980400">
        <w:t xml:space="preserve">olicy initiatives should </w:t>
      </w:r>
      <w:r w:rsidR="00384FCB">
        <w:t>drive growth within the ME subset, at least in part by encouraging HEs to transition into MEs</w:t>
      </w:r>
      <w:r w:rsidR="00980400" w:rsidRPr="0000694B">
        <w:t>.</w:t>
      </w:r>
      <w:r w:rsidR="00980400">
        <w:t xml:space="preserve"> The </w:t>
      </w:r>
      <w:r w:rsidR="009D6CEA">
        <w:t>g</w:t>
      </w:r>
      <w:r w:rsidR="00980400">
        <w:t>overnment</w:t>
      </w:r>
      <w:r w:rsidR="00863D16">
        <w:t>’</w:t>
      </w:r>
      <w:r w:rsidR="006C7732">
        <w:t>s</w:t>
      </w:r>
      <w:r w:rsidR="00980400">
        <w:t xml:space="preserve"> </w:t>
      </w:r>
      <w:r w:rsidR="00863D16">
        <w:t>“</w:t>
      </w:r>
      <w:r w:rsidR="00980400">
        <w:t>YouWin</w:t>
      </w:r>
      <w:r w:rsidR="00863D16">
        <w:t>”</w:t>
      </w:r>
      <w:r w:rsidR="00980400">
        <w:t xml:space="preserve"> program demonstrates how this can be done transparently and effectively. All such programs should be rigorously evaluated to assess </w:t>
      </w:r>
      <w:r w:rsidR="006C7732">
        <w:t>financial value</w:t>
      </w:r>
      <w:r w:rsidR="00980400">
        <w:t xml:space="preserve"> and development</w:t>
      </w:r>
      <w:r w:rsidR="009D6CEA">
        <w:t>al</w:t>
      </w:r>
      <w:r w:rsidR="00980400">
        <w:t xml:space="preserve"> impact.</w:t>
      </w:r>
    </w:p>
    <w:p w14:paraId="17EA0507" w14:textId="03CEC65B" w:rsidR="00980400" w:rsidRDefault="00F7672E" w:rsidP="00D727BF">
      <w:pPr>
        <w:pStyle w:val="ParagraphNumbering"/>
        <w:numPr>
          <w:ilvl w:val="0"/>
          <w:numId w:val="0"/>
        </w:numPr>
        <w:tabs>
          <w:tab w:val="left" w:pos="720"/>
        </w:tabs>
        <w:spacing w:after="240"/>
      </w:pPr>
      <w:r>
        <w:rPr>
          <w:b/>
        </w:rPr>
        <w:tab/>
      </w:r>
      <w:r w:rsidR="00FC1373">
        <w:rPr>
          <w:b/>
        </w:rPr>
        <w:t>Policy initiatives</w:t>
      </w:r>
      <w:r w:rsidR="006C7732">
        <w:rPr>
          <w:b/>
        </w:rPr>
        <w:t xml:space="preserve"> that encourage entrepreneurial activity </w:t>
      </w:r>
      <w:r w:rsidR="00980400">
        <w:rPr>
          <w:b/>
        </w:rPr>
        <w:t>in</w:t>
      </w:r>
      <w:r w:rsidR="00980400" w:rsidRPr="00834AF6">
        <w:rPr>
          <w:b/>
        </w:rPr>
        <w:t xml:space="preserve"> </w:t>
      </w:r>
      <w:r w:rsidR="00384FCB">
        <w:rPr>
          <w:b/>
        </w:rPr>
        <w:t>n</w:t>
      </w:r>
      <w:r w:rsidR="00980400" w:rsidRPr="00834AF6">
        <w:rPr>
          <w:b/>
        </w:rPr>
        <w:t>orthern states (excluding Kano and K</w:t>
      </w:r>
      <w:r w:rsidR="00980400">
        <w:rPr>
          <w:b/>
        </w:rPr>
        <w:t>aduna)</w:t>
      </w:r>
      <w:r w:rsidR="00980400" w:rsidRPr="00834AF6">
        <w:rPr>
          <w:b/>
        </w:rPr>
        <w:t xml:space="preserve"> will </w:t>
      </w:r>
      <w:r w:rsidR="006C7732">
        <w:rPr>
          <w:b/>
        </w:rPr>
        <w:t xml:space="preserve">grow local government revenues, </w:t>
      </w:r>
      <w:r w:rsidR="00980400" w:rsidRPr="00834AF6">
        <w:rPr>
          <w:b/>
        </w:rPr>
        <w:t>strengthen local economies</w:t>
      </w:r>
      <w:r w:rsidR="006C7732">
        <w:rPr>
          <w:b/>
        </w:rPr>
        <w:t xml:space="preserve">, </w:t>
      </w:r>
      <w:r w:rsidR="00980400">
        <w:rPr>
          <w:b/>
        </w:rPr>
        <w:t>and raise household</w:t>
      </w:r>
      <w:r w:rsidR="00980400" w:rsidRPr="00834AF6">
        <w:rPr>
          <w:b/>
        </w:rPr>
        <w:t xml:space="preserve"> incomes</w:t>
      </w:r>
      <w:r w:rsidR="00980400">
        <w:rPr>
          <w:b/>
        </w:rPr>
        <w:t xml:space="preserve">. </w:t>
      </w:r>
      <w:r w:rsidR="00980400">
        <w:t>Given the low density of firms</w:t>
      </w:r>
      <w:r w:rsidR="00EE3726">
        <w:t xml:space="preserve"> in </w:t>
      </w:r>
      <w:r w:rsidR="002A2158">
        <w:t xml:space="preserve">the north </w:t>
      </w:r>
      <w:r w:rsidR="00384FCB">
        <w:t xml:space="preserve">of Nigeria, </w:t>
      </w:r>
      <w:r w:rsidR="00980400">
        <w:t>and the consequent</w:t>
      </w:r>
      <w:r w:rsidR="009D6CEA">
        <w:t>ial</w:t>
      </w:r>
      <w:r w:rsidR="00980400">
        <w:t xml:space="preserve"> lack of positive agglomeration effects, spatial solutions focused on carefully selected market segments and value chains </w:t>
      </w:r>
      <w:r w:rsidR="009D6CEA">
        <w:t xml:space="preserve">could </w:t>
      </w:r>
      <w:r w:rsidR="00980400">
        <w:t xml:space="preserve">be used to harness nascent market opportunities. This </w:t>
      </w:r>
      <w:r w:rsidR="00FC1373">
        <w:t xml:space="preserve">type of </w:t>
      </w:r>
      <w:r w:rsidR="00980400">
        <w:t>policy initiative would</w:t>
      </w:r>
      <w:r w:rsidR="00980400" w:rsidRPr="00BF6EBD">
        <w:t xml:space="preserve"> encourage startups and </w:t>
      </w:r>
      <w:r w:rsidR="00980400">
        <w:t xml:space="preserve">allow fragile enterprises to connect to viable markets in economic centers </w:t>
      </w:r>
      <w:r w:rsidR="006C7732">
        <w:t xml:space="preserve">throughout </w:t>
      </w:r>
      <w:r w:rsidR="00980400">
        <w:t>the country.</w:t>
      </w:r>
      <w:r w:rsidR="00F428F9">
        <w:t xml:space="preserve"> </w:t>
      </w:r>
    </w:p>
    <w:p w14:paraId="07CF8FAC" w14:textId="0AB9B923" w:rsidR="00980400" w:rsidRDefault="00F7672E" w:rsidP="00D727BF">
      <w:pPr>
        <w:pStyle w:val="ParagraphNumbering"/>
        <w:numPr>
          <w:ilvl w:val="0"/>
          <w:numId w:val="0"/>
        </w:numPr>
        <w:tabs>
          <w:tab w:val="left" w:pos="720"/>
        </w:tabs>
        <w:spacing w:after="240"/>
      </w:pPr>
      <w:r>
        <w:rPr>
          <w:b/>
        </w:rPr>
        <w:tab/>
      </w:r>
      <w:r w:rsidR="00980400" w:rsidRPr="00DB0246">
        <w:rPr>
          <w:b/>
        </w:rPr>
        <w:t xml:space="preserve">Reduce external costs to </w:t>
      </w:r>
      <w:r w:rsidR="00384FCB">
        <w:rPr>
          <w:b/>
        </w:rPr>
        <w:t xml:space="preserve">private sector </w:t>
      </w:r>
      <w:r w:rsidR="00980400" w:rsidRPr="00DB0246">
        <w:rPr>
          <w:b/>
        </w:rPr>
        <w:t>firms by improving the investment climate.</w:t>
      </w:r>
      <w:r w:rsidR="00980400">
        <w:t xml:space="preserve"> It is estimated that </w:t>
      </w:r>
      <w:r w:rsidR="00384FCB">
        <w:t>TFP</w:t>
      </w:r>
      <w:r w:rsidR="00980400">
        <w:t xml:space="preserve"> of firms</w:t>
      </w:r>
      <w:r w:rsidR="00767308">
        <w:t xml:space="preserve"> in Nigeria would improve by 40 percent</w:t>
      </w:r>
      <w:r w:rsidR="00FC1373">
        <w:t xml:space="preserve"> </w:t>
      </w:r>
      <w:r w:rsidR="00980400">
        <w:t xml:space="preserve">if </w:t>
      </w:r>
      <w:r w:rsidR="007E45C5">
        <w:t>investment climate</w:t>
      </w:r>
      <w:r w:rsidR="00980400">
        <w:t xml:space="preserve"> </w:t>
      </w:r>
      <w:r w:rsidR="00FC1373">
        <w:t xml:space="preserve">measures </w:t>
      </w:r>
      <w:r w:rsidR="009D6CEA">
        <w:t xml:space="preserve">were </w:t>
      </w:r>
      <w:r w:rsidR="00FC1373">
        <w:t>improve</w:t>
      </w:r>
      <w:r w:rsidR="009D6CEA">
        <w:t>d</w:t>
      </w:r>
      <w:r w:rsidR="00FC1373">
        <w:t xml:space="preserve"> to median developing-country levels</w:t>
      </w:r>
      <w:r w:rsidR="00980400">
        <w:t xml:space="preserve">. </w:t>
      </w:r>
      <w:r w:rsidR="00FC1373">
        <w:t>For example, r</w:t>
      </w:r>
      <w:r w:rsidR="00980400">
        <w:t>educing</w:t>
      </w:r>
      <w:r w:rsidR="00980400" w:rsidRPr="00AC3B1E">
        <w:t xml:space="preserve"> losses </w:t>
      </w:r>
      <w:r w:rsidR="00FC1373">
        <w:t xml:space="preserve">from </w:t>
      </w:r>
      <w:r w:rsidR="00980400" w:rsidRPr="00AC3B1E">
        <w:t xml:space="preserve">power outages </w:t>
      </w:r>
      <w:r w:rsidR="00980400">
        <w:t xml:space="preserve">alone </w:t>
      </w:r>
      <w:r w:rsidR="00FC1373">
        <w:t xml:space="preserve">is estimated to </w:t>
      </w:r>
      <w:r w:rsidR="00980400">
        <w:t xml:space="preserve">improve sales by </w:t>
      </w:r>
      <w:r w:rsidR="00980400" w:rsidRPr="00AC3B1E">
        <w:t>17 percent</w:t>
      </w:r>
      <w:r w:rsidR="00FC1373">
        <w:t xml:space="preserve">, demonstrating that </w:t>
      </w:r>
      <w:r w:rsidR="00980400">
        <w:t>power</w:t>
      </w:r>
      <w:r w:rsidR="00FC1373">
        <w:t>-</w:t>
      </w:r>
      <w:r w:rsidR="00980400">
        <w:t xml:space="preserve">related reforms in Nigeria would have an immediate positive effect on firms. </w:t>
      </w:r>
      <w:r w:rsidR="00FC1373">
        <w:t xml:space="preserve">Further, Nigerian firms report high levels of management engagement with public officials, which represents increased opportunity for </w:t>
      </w:r>
      <w:r w:rsidR="00980400">
        <w:t>corruption, crime</w:t>
      </w:r>
      <w:r w:rsidR="00FC1373">
        <w:t>,</w:t>
      </w:r>
      <w:r w:rsidR="00980400">
        <w:t xml:space="preserve"> and red tape</w:t>
      </w:r>
      <w:r w:rsidR="00FC1373">
        <w:t xml:space="preserve">. A </w:t>
      </w:r>
      <w:r w:rsidR="005C1325">
        <w:t>s</w:t>
      </w:r>
      <w:r w:rsidR="00FC1373">
        <w:t xml:space="preserve">pecial </w:t>
      </w:r>
      <w:r w:rsidR="005C1325">
        <w:t>t</w:t>
      </w:r>
      <w:r w:rsidR="00FC1373">
        <w:t xml:space="preserve">ask force focused on reducing administrative bottlenecks should be established to </w:t>
      </w:r>
      <w:r w:rsidR="00980400">
        <w:t xml:space="preserve">allow </w:t>
      </w:r>
      <w:r w:rsidR="00FC1373">
        <w:t xml:space="preserve">private </w:t>
      </w:r>
      <w:r w:rsidR="00980400">
        <w:t xml:space="preserve">firms to focus more on firm competitiveness and productivity. This </w:t>
      </w:r>
      <w:r w:rsidR="009D6CEA">
        <w:t>t</w:t>
      </w:r>
      <w:r w:rsidR="00980400">
        <w:t>ask</w:t>
      </w:r>
      <w:r w:rsidR="00B74AFD">
        <w:t xml:space="preserve"> </w:t>
      </w:r>
      <w:r w:rsidR="00980400">
        <w:t>force should have clear performance</w:t>
      </w:r>
      <w:r w:rsidR="00B74AFD">
        <w:t>-</w:t>
      </w:r>
      <w:r w:rsidR="00980400">
        <w:t xml:space="preserve">related </w:t>
      </w:r>
      <w:r w:rsidR="00B74AFD">
        <w:t>benchmarks</w:t>
      </w:r>
      <w:r w:rsidR="00980400">
        <w:t xml:space="preserve">, </w:t>
      </w:r>
      <w:r w:rsidR="00384FCB">
        <w:t xml:space="preserve">such as </w:t>
      </w:r>
      <w:r w:rsidR="00980400">
        <w:t xml:space="preserve">the removal of one regulatory constraint every </w:t>
      </w:r>
      <w:r w:rsidR="0023354A">
        <w:t>six</w:t>
      </w:r>
      <w:r w:rsidR="00980400">
        <w:t xml:space="preserve"> months for the next </w:t>
      </w:r>
      <w:r w:rsidR="00762132">
        <w:t>three</w:t>
      </w:r>
      <w:r w:rsidR="00980400">
        <w:t xml:space="preserve"> years.</w:t>
      </w:r>
      <w:r w:rsidR="00F428F9">
        <w:t xml:space="preserve"> </w:t>
      </w:r>
    </w:p>
    <w:p w14:paraId="40C780D1" w14:textId="415F7BD6" w:rsidR="00980400" w:rsidRDefault="00F7672E" w:rsidP="00D727BF">
      <w:pPr>
        <w:pStyle w:val="ParagraphNumbering"/>
        <w:numPr>
          <w:ilvl w:val="0"/>
          <w:numId w:val="0"/>
        </w:numPr>
        <w:tabs>
          <w:tab w:val="left" w:pos="720"/>
        </w:tabs>
        <w:spacing w:after="240"/>
      </w:pPr>
      <w:r>
        <w:rPr>
          <w:b/>
        </w:rPr>
        <w:lastRenderedPageBreak/>
        <w:tab/>
      </w:r>
      <w:r w:rsidR="00B74AFD">
        <w:rPr>
          <w:b/>
        </w:rPr>
        <w:t>I</w:t>
      </w:r>
      <w:r w:rsidR="00B74AFD" w:rsidRPr="00ED5D61">
        <w:rPr>
          <w:b/>
        </w:rPr>
        <w:t>mplement enterprise support programs that are private sector driven, reach a</w:t>
      </w:r>
      <w:r w:rsidR="00B74AFD">
        <w:rPr>
          <w:b/>
        </w:rPr>
        <w:t xml:space="preserve"> larger number of enterprises,</w:t>
      </w:r>
      <w:r w:rsidR="00B74AFD" w:rsidRPr="00ED5D61">
        <w:rPr>
          <w:b/>
        </w:rPr>
        <w:t xml:space="preserve"> and </w:t>
      </w:r>
      <w:r w:rsidR="00B74AFD">
        <w:rPr>
          <w:b/>
        </w:rPr>
        <w:t>generate a high</w:t>
      </w:r>
      <w:r w:rsidR="00B74AFD" w:rsidRPr="00ED5D61">
        <w:rPr>
          <w:b/>
        </w:rPr>
        <w:t xml:space="preserve"> social return </w:t>
      </w:r>
      <w:r w:rsidR="001B53A6">
        <w:rPr>
          <w:b/>
        </w:rPr>
        <w:t xml:space="preserve">to </w:t>
      </w:r>
      <w:r w:rsidR="00B74AFD">
        <w:rPr>
          <w:b/>
        </w:rPr>
        <w:t>increase</w:t>
      </w:r>
      <w:r w:rsidR="00B74AFD" w:rsidRPr="00ED5D61">
        <w:rPr>
          <w:b/>
        </w:rPr>
        <w:t xml:space="preserve"> </w:t>
      </w:r>
      <w:r w:rsidR="00980400" w:rsidRPr="00ED5D61">
        <w:rPr>
          <w:b/>
        </w:rPr>
        <w:t>firm</w:t>
      </w:r>
      <w:r w:rsidR="00B74AFD">
        <w:rPr>
          <w:b/>
        </w:rPr>
        <w:t>-</w:t>
      </w:r>
      <w:r w:rsidR="00980400" w:rsidRPr="00ED5D61">
        <w:rPr>
          <w:b/>
        </w:rPr>
        <w:t>level capability and productivity of existing firms</w:t>
      </w:r>
      <w:r w:rsidR="00980400">
        <w:t xml:space="preserve">. </w:t>
      </w:r>
      <w:r w:rsidR="00B74AFD">
        <w:t>Currently, there is little cooperation or information</w:t>
      </w:r>
      <w:r w:rsidR="005C1325">
        <w:t xml:space="preserve"> </w:t>
      </w:r>
      <w:r w:rsidR="00B74AFD">
        <w:t>sharing between firms</w:t>
      </w:r>
      <w:r w:rsidR="005C1325">
        <w:t xml:space="preserve"> themselves</w:t>
      </w:r>
      <w:r w:rsidR="00B74AFD">
        <w:t>, and between firms, public research centers, and universities. As a result, the internal cost</w:t>
      </w:r>
      <w:r w:rsidR="005C1325">
        <w:t>s</w:t>
      </w:r>
      <w:r w:rsidR="00B74AFD">
        <w:t xml:space="preserve"> of innovating or adapting to changing market conditions </w:t>
      </w:r>
      <w:r w:rsidR="005C1325">
        <w:t xml:space="preserve">are </w:t>
      </w:r>
      <w:r w:rsidR="00B74AFD">
        <w:t xml:space="preserve">quite high, and investments that are made often perform poorly. Enterprise support programs have the potential to address this </w:t>
      </w:r>
      <w:r w:rsidR="00431F89">
        <w:t>market dynamic effectively</w:t>
      </w:r>
      <w:r w:rsidR="005F06ED">
        <w:t>.</w:t>
      </w:r>
      <w:r w:rsidR="00980400">
        <w:t xml:space="preserve"> </w:t>
      </w:r>
    </w:p>
    <w:p w14:paraId="40A5A8C5" w14:textId="398235CE" w:rsidR="00980400" w:rsidRDefault="00F7672E" w:rsidP="00D727BF">
      <w:pPr>
        <w:pStyle w:val="ParagraphNumbering"/>
        <w:numPr>
          <w:ilvl w:val="0"/>
          <w:numId w:val="0"/>
        </w:numPr>
        <w:tabs>
          <w:tab w:val="left" w:pos="720"/>
        </w:tabs>
        <w:spacing w:after="240"/>
      </w:pPr>
      <w:r>
        <w:rPr>
          <w:b/>
        </w:rPr>
        <w:tab/>
      </w:r>
      <w:r w:rsidR="00980400" w:rsidRPr="00042002">
        <w:rPr>
          <w:b/>
        </w:rPr>
        <w:t xml:space="preserve">Develop a financial sector tailored to </w:t>
      </w:r>
      <w:r w:rsidR="00980400">
        <w:rPr>
          <w:b/>
        </w:rPr>
        <w:t xml:space="preserve">the needs of </w:t>
      </w:r>
      <w:r w:rsidR="00980400" w:rsidRPr="00042002">
        <w:rPr>
          <w:b/>
        </w:rPr>
        <w:t>MSMEs</w:t>
      </w:r>
      <w:r w:rsidR="00980400">
        <w:rPr>
          <w:b/>
        </w:rPr>
        <w:t xml:space="preserve"> at scale</w:t>
      </w:r>
      <w:r w:rsidR="00980400" w:rsidRPr="00042002">
        <w:rPr>
          <w:b/>
        </w:rPr>
        <w:t>.</w:t>
      </w:r>
      <w:r w:rsidR="00980400" w:rsidRPr="00042002">
        <w:t xml:space="preserve"> </w:t>
      </w:r>
      <w:r w:rsidR="004970DC">
        <w:t xml:space="preserve">As highlighted in details in this report, commercial banks serve only the large firms while MSMEs suffer from a very limited access to finance. </w:t>
      </w:r>
      <w:r w:rsidR="00980400" w:rsidRPr="00042002">
        <w:t>The</w:t>
      </w:r>
      <w:r w:rsidR="00980400">
        <w:t xml:space="preserve"> </w:t>
      </w:r>
      <w:r w:rsidR="005C1325">
        <w:t>g</w:t>
      </w:r>
      <w:r w:rsidR="00980400">
        <w:t xml:space="preserve">overnment has embarked on establishing a wholesale financial institution to encourage the </w:t>
      </w:r>
      <w:r w:rsidR="00980400" w:rsidRPr="00042002">
        <w:t xml:space="preserve">provision of </w:t>
      </w:r>
      <w:r w:rsidR="00980400">
        <w:t>long-term finance to MSMEs. This policy initiative should be expedited to address the reported lack of access to finance for MSMEs in Nigeria.</w:t>
      </w:r>
      <w:r w:rsidR="00F428F9">
        <w:t xml:space="preserve"> </w:t>
      </w:r>
      <w:r w:rsidR="00980400">
        <w:t>Other complementary measures should include: (a</w:t>
      </w:r>
      <w:r w:rsidR="00980400" w:rsidRPr="00042002">
        <w:t>) improv</w:t>
      </w:r>
      <w:r w:rsidR="00980400">
        <w:t>ing</w:t>
      </w:r>
      <w:r w:rsidR="00980400" w:rsidRPr="00042002">
        <w:t xml:space="preserve"> financial sector infrastructure by implementing a movable assets registry, establishing a credit reporting framework</w:t>
      </w:r>
      <w:r w:rsidR="005C1325">
        <w:t>,</w:t>
      </w:r>
      <w:r w:rsidR="00980400" w:rsidRPr="00042002">
        <w:t xml:space="preserve"> an</w:t>
      </w:r>
      <w:r w:rsidR="00980400">
        <w:t>d improving payments systems; and (b</w:t>
      </w:r>
      <w:r w:rsidR="00980400" w:rsidRPr="00042002">
        <w:t>) encourag</w:t>
      </w:r>
      <w:r w:rsidR="00980400">
        <w:t>ing</w:t>
      </w:r>
      <w:r w:rsidR="00980400" w:rsidRPr="00042002">
        <w:t xml:space="preserve"> the development and supply of new financial products for MSMEs</w:t>
      </w:r>
      <w:r w:rsidR="00980400">
        <w:t>.</w:t>
      </w:r>
    </w:p>
    <w:p w14:paraId="675E94ED" w14:textId="53DF47BC" w:rsidR="00C64E0C" w:rsidRDefault="00F7672E" w:rsidP="00D727BF">
      <w:pPr>
        <w:pStyle w:val="ParagraphNumbering"/>
        <w:numPr>
          <w:ilvl w:val="0"/>
          <w:numId w:val="0"/>
        </w:numPr>
        <w:tabs>
          <w:tab w:val="left" w:pos="720"/>
        </w:tabs>
      </w:pPr>
      <w:r>
        <w:rPr>
          <w:b/>
        </w:rPr>
        <w:tab/>
      </w:r>
      <w:r w:rsidR="00980400" w:rsidRPr="008F58E0">
        <w:rPr>
          <w:b/>
        </w:rPr>
        <w:t xml:space="preserve">Review </w:t>
      </w:r>
      <w:r w:rsidR="00980400">
        <w:rPr>
          <w:b/>
        </w:rPr>
        <w:t>and reform MSME initiatives</w:t>
      </w:r>
      <w:r w:rsidR="00980400" w:rsidRPr="008F58E0">
        <w:rPr>
          <w:b/>
        </w:rPr>
        <w:t xml:space="preserve"> with the objective of improving the efficiency </w:t>
      </w:r>
      <w:r w:rsidR="00980400">
        <w:rPr>
          <w:b/>
        </w:rPr>
        <w:t>of these</w:t>
      </w:r>
      <w:r w:rsidR="00980400" w:rsidRPr="008F58E0">
        <w:rPr>
          <w:b/>
        </w:rPr>
        <w:t xml:space="preserve"> programs and institutions</w:t>
      </w:r>
      <w:r w:rsidR="00980400">
        <w:t xml:space="preserve">. The priority for development programs is to target the </w:t>
      </w:r>
      <w:r w:rsidR="00863D16">
        <w:t>“</w:t>
      </w:r>
      <w:r w:rsidR="00980400">
        <w:t>right</w:t>
      </w:r>
      <w:r w:rsidR="00863D16">
        <w:t>”</w:t>
      </w:r>
      <w:r w:rsidR="00980400">
        <w:t xml:space="preserve"> entrepreneurs</w:t>
      </w:r>
      <w:r w:rsidR="005C1325">
        <w:t xml:space="preserve"> and</w:t>
      </w:r>
      <w:r w:rsidR="00980400">
        <w:t xml:space="preserve"> to allocate resource-constrained project funds in a way that maximizes the impacts of interventions. </w:t>
      </w:r>
    </w:p>
    <w:p w14:paraId="1F7C33C7" w14:textId="77777777" w:rsidR="00A0387E" w:rsidRDefault="00A0387E" w:rsidP="00D727BF">
      <w:pPr>
        <w:tabs>
          <w:tab w:val="left" w:pos="720"/>
        </w:tabs>
        <w:sectPr w:rsidR="00A0387E" w:rsidSect="009130F4">
          <w:pgSz w:w="16983" w:h="15840"/>
          <w:pgMar w:top="1440" w:right="6183" w:bottom="1440" w:left="1440" w:header="720" w:footer="720" w:gutter="0"/>
          <w:cols w:space="720"/>
          <w:docGrid w:linePitch="360"/>
        </w:sectPr>
      </w:pPr>
    </w:p>
    <w:p w14:paraId="328439EA" w14:textId="01E83F53" w:rsidR="00161A69" w:rsidRPr="00161A69" w:rsidRDefault="00161A69" w:rsidP="00D727BF">
      <w:pPr>
        <w:pStyle w:val="Heading1"/>
        <w:numPr>
          <w:ilvl w:val="0"/>
          <w:numId w:val="0"/>
        </w:numPr>
        <w:tabs>
          <w:tab w:val="left" w:pos="720"/>
        </w:tabs>
        <w:ind w:left="20"/>
      </w:pPr>
      <w:bookmarkStart w:id="51" w:name="_Toc444877493"/>
      <w:bookmarkStart w:id="52" w:name="_Toc445450268"/>
      <w:r w:rsidRPr="00161A69">
        <w:lastRenderedPageBreak/>
        <w:t>Chapter 1: Introduction</w:t>
      </w:r>
      <w:bookmarkEnd w:id="13"/>
      <w:bookmarkEnd w:id="51"/>
      <w:bookmarkEnd w:id="52"/>
      <w:r w:rsidR="00F428F9">
        <w:t xml:space="preserve"> </w:t>
      </w:r>
    </w:p>
    <w:p w14:paraId="15AE9C7A" w14:textId="37CFDAA7" w:rsidR="00161A69" w:rsidRPr="005A07C1" w:rsidRDefault="00CB632C" w:rsidP="00D727BF">
      <w:pPr>
        <w:pStyle w:val="Heading2"/>
        <w:numPr>
          <w:ilvl w:val="0"/>
          <w:numId w:val="12"/>
        </w:numPr>
        <w:tabs>
          <w:tab w:val="left" w:pos="720"/>
        </w:tabs>
      </w:pPr>
      <w:r>
        <w:t xml:space="preserve"> </w:t>
      </w:r>
      <w:bookmarkStart w:id="53" w:name="_Toc444877494"/>
      <w:bookmarkStart w:id="54" w:name="_Toc445450269"/>
      <w:r w:rsidR="00161A69" w:rsidRPr="005A07C1">
        <w:t>Objective</w:t>
      </w:r>
      <w:bookmarkEnd w:id="53"/>
      <w:bookmarkEnd w:id="54"/>
    </w:p>
    <w:p w14:paraId="66B5BF52" w14:textId="16F4D0B5" w:rsidR="00AB05A1" w:rsidRPr="00AB05A1" w:rsidRDefault="00F7672E" w:rsidP="00D727BF">
      <w:pPr>
        <w:pStyle w:val="ParagraphNumbering"/>
        <w:numPr>
          <w:ilvl w:val="0"/>
          <w:numId w:val="0"/>
        </w:numPr>
        <w:tabs>
          <w:tab w:val="left" w:pos="720"/>
        </w:tabs>
        <w:spacing w:after="240"/>
      </w:pPr>
      <w:bookmarkStart w:id="55" w:name="_Toc373840185"/>
      <w:r>
        <w:rPr>
          <w:b/>
        </w:rPr>
        <w:tab/>
      </w:r>
      <w:r w:rsidR="00247A5F">
        <w:rPr>
          <w:b/>
        </w:rPr>
        <w:t>The objective</w:t>
      </w:r>
      <w:r w:rsidR="00AB05A1" w:rsidRPr="000F6A00">
        <w:rPr>
          <w:b/>
        </w:rPr>
        <w:t xml:space="preserve"> of this </w:t>
      </w:r>
      <w:r w:rsidR="00B56062" w:rsidRPr="000F6A00">
        <w:rPr>
          <w:b/>
        </w:rPr>
        <w:t>report</w:t>
      </w:r>
      <w:r w:rsidR="00AB05A1" w:rsidRPr="000F6A00">
        <w:rPr>
          <w:b/>
        </w:rPr>
        <w:t xml:space="preserve"> is to evaluate the </w:t>
      </w:r>
      <w:r w:rsidR="007E45C5">
        <w:rPr>
          <w:b/>
        </w:rPr>
        <w:t>investment climate</w:t>
      </w:r>
      <w:r w:rsidR="00AB05A1" w:rsidRPr="000F6A00">
        <w:rPr>
          <w:b/>
        </w:rPr>
        <w:t xml:space="preserve"> </w:t>
      </w:r>
      <w:r w:rsidR="00AB05A1" w:rsidRPr="002A21C4">
        <w:rPr>
          <w:b/>
        </w:rPr>
        <w:t xml:space="preserve">in Nigeria </w:t>
      </w:r>
      <w:r w:rsidR="00431F89">
        <w:rPr>
          <w:b/>
        </w:rPr>
        <w:t>across</w:t>
      </w:r>
      <w:r w:rsidR="00431F89" w:rsidRPr="002A21C4">
        <w:rPr>
          <w:b/>
        </w:rPr>
        <w:t xml:space="preserve"> </w:t>
      </w:r>
      <w:r w:rsidR="00AB05A1" w:rsidRPr="002A21C4">
        <w:rPr>
          <w:b/>
        </w:rPr>
        <w:t>all operational dimensions</w:t>
      </w:r>
      <w:r w:rsidR="00AB05A1" w:rsidRPr="00AB05A1">
        <w:t xml:space="preserve">. </w:t>
      </w:r>
      <w:r w:rsidR="00B56062">
        <w:t>This report</w:t>
      </w:r>
      <w:r w:rsidR="00AB05A1" w:rsidRPr="00AB05A1">
        <w:t xml:space="preserve"> </w:t>
      </w:r>
      <w:r w:rsidR="00661E64">
        <w:t>is largely</w:t>
      </w:r>
      <w:r w:rsidR="00AB05A1" w:rsidRPr="00AB05A1">
        <w:t xml:space="preserve"> based on </w:t>
      </w:r>
      <w:r w:rsidR="00384FCB">
        <w:t xml:space="preserve">the </w:t>
      </w:r>
      <w:r w:rsidR="00AB05A1" w:rsidRPr="00AB05A1">
        <w:t xml:space="preserve">results </w:t>
      </w:r>
      <w:r w:rsidR="00384FCB">
        <w:t xml:space="preserve">of </w:t>
      </w:r>
      <w:r w:rsidR="00AB05A1" w:rsidRPr="00AB05A1">
        <w:t xml:space="preserve">firm-level surveys </w:t>
      </w:r>
      <w:r w:rsidR="00384FCB">
        <w:t>administered to</w:t>
      </w:r>
      <w:r w:rsidR="00384FCB" w:rsidRPr="00AB05A1">
        <w:t xml:space="preserve"> </w:t>
      </w:r>
      <w:r w:rsidR="00AB05A1" w:rsidRPr="00AB05A1">
        <w:t>private enterprises</w:t>
      </w:r>
      <w:r w:rsidR="002A21C4">
        <w:t xml:space="preserve"> and households</w:t>
      </w:r>
      <w:r w:rsidR="00AB05A1" w:rsidRPr="00AB05A1">
        <w:t xml:space="preserve"> </w:t>
      </w:r>
      <w:r w:rsidR="000E1B27">
        <w:t>and</w:t>
      </w:r>
      <w:r w:rsidR="00AB05A1" w:rsidRPr="00AB05A1">
        <w:t xml:space="preserve"> include</w:t>
      </w:r>
      <w:r w:rsidR="00384FCB">
        <w:t>s</w:t>
      </w:r>
      <w:r w:rsidR="00AB05A1" w:rsidRPr="00AB05A1">
        <w:t xml:space="preserve"> data on the cost of doing business, the regulatory environment, the labor market, the financial sector, the trade re</w:t>
      </w:r>
      <w:r w:rsidR="00661E64">
        <w:t>gime</w:t>
      </w:r>
      <w:r w:rsidR="00431F89">
        <w:t>,</w:t>
      </w:r>
      <w:r w:rsidR="00661E64">
        <w:t xml:space="preserve"> and levels of investment.</w:t>
      </w:r>
      <w:r w:rsidR="00F428F9">
        <w:t xml:space="preserve"> </w:t>
      </w:r>
    </w:p>
    <w:p w14:paraId="6579A62C" w14:textId="32E16C58" w:rsidR="00AB05A1" w:rsidRDefault="00F7672E" w:rsidP="00D727BF">
      <w:pPr>
        <w:pStyle w:val="ParagraphNumbering"/>
        <w:numPr>
          <w:ilvl w:val="0"/>
          <w:numId w:val="0"/>
        </w:numPr>
        <w:tabs>
          <w:tab w:val="left" w:pos="720"/>
        </w:tabs>
        <w:autoSpaceDE w:val="0"/>
        <w:autoSpaceDN w:val="0"/>
        <w:adjustRightInd w:val="0"/>
        <w:spacing w:after="240"/>
      </w:pPr>
      <w:r>
        <w:rPr>
          <w:b/>
        </w:rPr>
        <w:tab/>
      </w:r>
      <w:r w:rsidR="00247A5F" w:rsidRPr="002A21C4">
        <w:rPr>
          <w:b/>
        </w:rPr>
        <w:t>Another</w:t>
      </w:r>
      <w:r w:rsidR="00AB05A1" w:rsidRPr="002A21C4">
        <w:rPr>
          <w:b/>
        </w:rPr>
        <w:t xml:space="preserve"> objective of this </w:t>
      </w:r>
      <w:r w:rsidR="00B56062" w:rsidRPr="002A21C4">
        <w:rPr>
          <w:b/>
        </w:rPr>
        <w:t>report</w:t>
      </w:r>
      <w:r w:rsidR="00AB05A1" w:rsidRPr="002A21C4">
        <w:rPr>
          <w:b/>
        </w:rPr>
        <w:t xml:space="preserve"> is to better understand the dynamics of </w:t>
      </w:r>
      <w:r w:rsidR="00661E64" w:rsidRPr="002A21C4">
        <w:rPr>
          <w:b/>
        </w:rPr>
        <w:t>non-farm enterprise</w:t>
      </w:r>
      <w:r w:rsidR="00105E74" w:rsidRPr="002A21C4">
        <w:rPr>
          <w:b/>
        </w:rPr>
        <w:t>s</w:t>
      </w:r>
      <w:r w:rsidR="000E1B27">
        <w:rPr>
          <w:b/>
        </w:rPr>
        <w:t>,</w:t>
      </w:r>
      <w:r w:rsidR="00484638" w:rsidRPr="00247A5F">
        <w:t xml:space="preserve"> </w:t>
      </w:r>
      <w:r w:rsidR="000B4C14" w:rsidRPr="00247A5F">
        <w:t xml:space="preserve">a type of </w:t>
      </w:r>
      <w:r w:rsidR="00AE6F13" w:rsidRPr="00247A5F">
        <w:t xml:space="preserve">informal </w:t>
      </w:r>
      <w:r w:rsidR="00431F89">
        <w:t>activity</w:t>
      </w:r>
      <w:r w:rsidR="00484638" w:rsidRPr="00247A5F">
        <w:t xml:space="preserve"> </w:t>
      </w:r>
      <w:r w:rsidR="000E1B27">
        <w:t>that</w:t>
      </w:r>
      <w:r w:rsidR="000E1B27" w:rsidRPr="00247A5F">
        <w:t xml:space="preserve"> </w:t>
      </w:r>
      <w:r w:rsidR="00484638" w:rsidRPr="00247A5F">
        <w:t>account</w:t>
      </w:r>
      <w:r w:rsidR="00431F89">
        <w:t>s</w:t>
      </w:r>
      <w:r w:rsidR="00484638" w:rsidRPr="00247A5F">
        <w:t xml:space="preserve"> for the bulk of </w:t>
      </w:r>
      <w:r w:rsidR="000B4C14" w:rsidRPr="00247A5F">
        <w:t xml:space="preserve">total </w:t>
      </w:r>
      <w:r w:rsidR="00484638" w:rsidRPr="00247A5F">
        <w:t xml:space="preserve">employment and private sector activity in Nigeria. </w:t>
      </w:r>
      <w:r w:rsidR="00B56062" w:rsidRPr="00247A5F">
        <w:t>This report</w:t>
      </w:r>
      <w:r w:rsidR="00AB05A1" w:rsidRPr="00247A5F">
        <w:t xml:space="preserve"> thus includes a particular focus on </w:t>
      </w:r>
      <w:r w:rsidR="00661E64" w:rsidRPr="00247A5F">
        <w:t>non-farm enterprises</w:t>
      </w:r>
      <w:r w:rsidR="00484638" w:rsidRPr="00247A5F">
        <w:t>,</w:t>
      </w:r>
      <w:r w:rsidR="00661E64" w:rsidRPr="00247A5F">
        <w:t xml:space="preserve"> based on the two </w:t>
      </w:r>
      <w:r w:rsidR="00540CB2" w:rsidRPr="00247A5F">
        <w:t xml:space="preserve">most recent </w:t>
      </w:r>
      <w:r w:rsidR="00661E64" w:rsidRPr="00247A5F">
        <w:t xml:space="preserve">rounds of </w:t>
      </w:r>
      <w:r w:rsidR="00AB05A1" w:rsidRPr="00247A5F">
        <w:t>household surveys</w:t>
      </w:r>
      <w:r w:rsidR="000B4C14" w:rsidRPr="00247A5F">
        <w:t xml:space="preserve"> </w:t>
      </w:r>
      <w:r w:rsidR="00384FCB">
        <w:t xml:space="preserve">in </w:t>
      </w:r>
      <w:r w:rsidR="000B4C14" w:rsidRPr="00247A5F">
        <w:t>2010</w:t>
      </w:r>
      <w:r w:rsidR="000E1B27">
        <w:rPr>
          <w:rFonts w:ascii="Calibri" w:hAnsi="Calibri"/>
        </w:rPr>
        <w:t>‒</w:t>
      </w:r>
      <w:r w:rsidR="000B4C14" w:rsidRPr="00247A5F">
        <w:t>11 and 2012</w:t>
      </w:r>
      <w:r w:rsidR="000E1B27">
        <w:rPr>
          <w:rFonts w:ascii="Calibri" w:hAnsi="Calibri"/>
        </w:rPr>
        <w:t>‒</w:t>
      </w:r>
      <w:r w:rsidR="000B4C14" w:rsidRPr="00247A5F">
        <w:t>13</w:t>
      </w:r>
      <w:r w:rsidR="00AB05A1" w:rsidRPr="00247A5F">
        <w:t>.</w:t>
      </w:r>
    </w:p>
    <w:p w14:paraId="2350C510" w14:textId="77777777" w:rsidR="00101EAC" w:rsidRPr="002A7974" w:rsidRDefault="00101EAC" w:rsidP="00D727BF">
      <w:pPr>
        <w:pStyle w:val="Heading2"/>
        <w:tabs>
          <w:tab w:val="left" w:pos="720"/>
        </w:tabs>
        <w:spacing w:before="0"/>
      </w:pPr>
      <w:bookmarkStart w:id="56" w:name="_Toc444877495"/>
      <w:bookmarkStart w:id="57" w:name="_Toc445450270"/>
      <w:r w:rsidRPr="002A7974">
        <w:t>Structure of the Report</w:t>
      </w:r>
      <w:bookmarkEnd w:id="56"/>
      <w:bookmarkEnd w:id="57"/>
    </w:p>
    <w:p w14:paraId="6CA4C7A8" w14:textId="364658B8" w:rsidR="00101EAC" w:rsidRDefault="00F7672E" w:rsidP="00D727BF">
      <w:pPr>
        <w:pStyle w:val="ParagraphNumbering"/>
        <w:numPr>
          <w:ilvl w:val="0"/>
          <w:numId w:val="0"/>
        </w:numPr>
        <w:tabs>
          <w:tab w:val="left" w:pos="720"/>
        </w:tabs>
        <w:spacing w:after="240"/>
      </w:pPr>
      <w:r>
        <w:rPr>
          <w:b/>
        </w:rPr>
        <w:tab/>
      </w:r>
      <w:r w:rsidR="00101EAC" w:rsidRPr="000343E4">
        <w:rPr>
          <w:b/>
        </w:rPr>
        <w:t>This report is structured as follows</w:t>
      </w:r>
      <w:r w:rsidR="000E1B27">
        <w:rPr>
          <w:b/>
        </w:rPr>
        <w:t>:</w:t>
      </w:r>
      <w:r w:rsidR="00101EAC">
        <w:t xml:space="preserve"> Chapter 1 provide</w:t>
      </w:r>
      <w:r w:rsidR="000E1B27">
        <w:t>s</w:t>
      </w:r>
      <w:r w:rsidR="00101EAC">
        <w:t xml:space="preserve"> the macroeconomic context and methodology of the report. Chapter 2 gives a brief overview of the private sector in Nigeria, including both formal and informal firms. Chapter 3 focuses on non-farm enterprises, most of which are informal. Using the two rounds of household surveys, productivity and profitability across Nigeria</w:t>
      </w:r>
      <w:r w:rsidR="00431F89">
        <w:t xml:space="preserve"> </w:t>
      </w:r>
      <w:r w:rsidR="000E1B27">
        <w:t xml:space="preserve">are </w:t>
      </w:r>
      <w:r w:rsidR="00E80DEC">
        <w:t xml:space="preserve">tracked </w:t>
      </w:r>
      <w:r w:rsidR="00431F89">
        <w:t>and analyze</w:t>
      </w:r>
      <w:r w:rsidR="00E80DEC">
        <w:t>d</w:t>
      </w:r>
      <w:r w:rsidR="00101EAC">
        <w:t>. Chapter 4 is based on the new Enterprise Survey (2014</w:t>
      </w:r>
      <w:r w:rsidR="000E1B27">
        <w:rPr>
          <w:rFonts w:ascii="Calibri" w:hAnsi="Calibri"/>
        </w:rPr>
        <w:t>‒</w:t>
      </w:r>
      <w:r w:rsidR="00101EAC">
        <w:t xml:space="preserve">15) and provides a detailed performance analysis of formal firms in the manufacturing sector. Chapter </w:t>
      </w:r>
      <w:r w:rsidR="00AF2659">
        <w:t xml:space="preserve">5 </w:t>
      </w:r>
      <w:r w:rsidR="00101EAC">
        <w:t>uses the newly developed innovation module to investigate the effect of innovation on firm-level productivity.</w:t>
      </w:r>
    </w:p>
    <w:p w14:paraId="06E8C9B8" w14:textId="2881FF92" w:rsidR="00087B0D" w:rsidRPr="002A7974" w:rsidRDefault="00087B0D" w:rsidP="00D727BF">
      <w:pPr>
        <w:pStyle w:val="Heading2"/>
        <w:tabs>
          <w:tab w:val="left" w:pos="720"/>
        </w:tabs>
        <w:spacing w:before="0"/>
      </w:pPr>
      <w:bookmarkStart w:id="58" w:name="_Toc444877496"/>
      <w:bookmarkStart w:id="59" w:name="_Toc445450271"/>
      <w:r w:rsidRPr="002A7974">
        <w:t xml:space="preserve">Macroeconomic </w:t>
      </w:r>
      <w:r w:rsidR="00484638" w:rsidRPr="002A7974">
        <w:t>C</w:t>
      </w:r>
      <w:r w:rsidR="00CB632C" w:rsidRPr="002A7974">
        <w:t>ontext</w:t>
      </w:r>
      <w:bookmarkEnd w:id="58"/>
      <w:bookmarkEnd w:id="59"/>
    </w:p>
    <w:p w14:paraId="2B8F4241" w14:textId="0722773D" w:rsidR="00087B0D" w:rsidRPr="009130F4" w:rsidRDefault="00F7672E" w:rsidP="00D727BF">
      <w:pPr>
        <w:pStyle w:val="ParagraphNumbering"/>
        <w:numPr>
          <w:ilvl w:val="0"/>
          <w:numId w:val="0"/>
        </w:numPr>
        <w:tabs>
          <w:tab w:val="left" w:pos="720"/>
        </w:tabs>
        <w:autoSpaceDE w:val="0"/>
        <w:autoSpaceDN w:val="0"/>
        <w:adjustRightInd w:val="0"/>
        <w:spacing w:after="240"/>
      </w:pPr>
      <w:r>
        <w:tab/>
      </w:r>
      <w:r w:rsidR="00087B0D" w:rsidRPr="002A21C4">
        <w:t xml:space="preserve">Nigeria has the largest economy and population in Africa </w:t>
      </w:r>
      <w:r w:rsidR="00087B0D" w:rsidRPr="009130F4">
        <w:t xml:space="preserve">and has experienced </w:t>
      </w:r>
      <w:r w:rsidR="002E6F78">
        <w:t>fifteen</w:t>
      </w:r>
      <w:r w:rsidR="00087B0D" w:rsidRPr="009130F4">
        <w:t xml:space="preserve"> years of uninterrupted civilian and democratic rule. This period also witnessed unprecedented economic growth and stability. Annual economic growth </w:t>
      </w:r>
      <w:r w:rsidR="00484638">
        <w:t xml:space="preserve">has </w:t>
      </w:r>
      <w:r w:rsidR="00087B0D" w:rsidRPr="009130F4">
        <w:t>exceed</w:t>
      </w:r>
      <w:r w:rsidR="00484638">
        <w:t>ed</w:t>
      </w:r>
      <w:r w:rsidR="00087B0D" w:rsidRPr="009130F4">
        <w:t xml:space="preserve"> </w:t>
      </w:r>
      <w:r w:rsidR="00AF2659">
        <w:t>an average of 5</w:t>
      </w:r>
      <w:r w:rsidR="00AF2659" w:rsidRPr="009130F4">
        <w:t xml:space="preserve"> </w:t>
      </w:r>
      <w:r w:rsidR="00087B0D" w:rsidRPr="009130F4">
        <w:t>percent and has been concentrated in sectors servicing the domestic market.</w:t>
      </w:r>
      <w:r w:rsidR="00F428F9">
        <w:t xml:space="preserve"> </w:t>
      </w:r>
      <w:r w:rsidR="00087B0D" w:rsidRPr="009130F4">
        <w:t>Some areas of Nigeria, particularly Lagos State, have experienced quite rapid growth and poverty reduction in recent years.</w:t>
      </w:r>
      <w:r w:rsidR="00F428F9">
        <w:t xml:space="preserve"> </w:t>
      </w:r>
    </w:p>
    <w:p w14:paraId="31ED8A1C" w14:textId="7E49A2DD" w:rsidR="00087B0D" w:rsidRPr="009130F4" w:rsidRDefault="00F7672E" w:rsidP="00D727BF">
      <w:pPr>
        <w:pStyle w:val="ParagraphNumbering"/>
        <w:numPr>
          <w:ilvl w:val="0"/>
          <w:numId w:val="0"/>
        </w:numPr>
        <w:tabs>
          <w:tab w:val="left" w:pos="720"/>
        </w:tabs>
        <w:spacing w:after="240"/>
      </w:pPr>
      <w:r>
        <w:tab/>
      </w:r>
      <w:r w:rsidR="00087B0D" w:rsidRPr="002A21C4">
        <w:t xml:space="preserve">Nigeria </w:t>
      </w:r>
      <w:r w:rsidR="00E80DEC">
        <w:t xml:space="preserve">has made </w:t>
      </w:r>
      <w:r w:rsidR="00087B0D" w:rsidRPr="002A21C4">
        <w:t xml:space="preserve">important </w:t>
      </w:r>
      <w:r w:rsidR="00E80DEC">
        <w:t xml:space="preserve">progress </w:t>
      </w:r>
      <w:r w:rsidR="00087B0D" w:rsidRPr="002A21C4">
        <w:t>in reform and institution building</w:t>
      </w:r>
      <w:r w:rsidR="00087B0D" w:rsidRPr="009130F4">
        <w:t xml:space="preserve"> during the period of civilian rule, </w:t>
      </w:r>
      <w:r w:rsidR="00E80DEC">
        <w:t xml:space="preserve">progress </w:t>
      </w:r>
      <w:r w:rsidR="007D4C11">
        <w:t xml:space="preserve">that </w:t>
      </w:r>
      <w:r w:rsidR="00E80DEC">
        <w:t xml:space="preserve">has </w:t>
      </w:r>
      <w:r w:rsidR="00087B0D" w:rsidRPr="009130F4">
        <w:t>continued in</w:t>
      </w:r>
      <w:r w:rsidR="00E80DEC">
        <w:t>to</w:t>
      </w:r>
      <w:r w:rsidR="00087B0D" w:rsidRPr="009130F4">
        <w:t xml:space="preserve"> recent years.</w:t>
      </w:r>
      <w:r w:rsidR="00F428F9">
        <w:t xml:space="preserve"> </w:t>
      </w:r>
      <w:r w:rsidR="00087B0D" w:rsidRPr="009130F4">
        <w:t xml:space="preserve">The creation of the Excess Crude Account (ECA) </w:t>
      </w:r>
      <w:r w:rsidR="00484638">
        <w:t>in</w:t>
      </w:r>
      <w:r w:rsidR="00087B0D" w:rsidRPr="009130F4">
        <w:t xml:space="preserve"> 2004 </w:t>
      </w:r>
      <w:r w:rsidR="00E80DEC">
        <w:t>was</w:t>
      </w:r>
      <w:r w:rsidR="00E80DEC" w:rsidRPr="009130F4">
        <w:t xml:space="preserve"> </w:t>
      </w:r>
      <w:r w:rsidR="00087B0D" w:rsidRPr="009130F4">
        <w:t xml:space="preserve">a milestone </w:t>
      </w:r>
      <w:r w:rsidR="00E80DEC">
        <w:t xml:space="preserve">for </w:t>
      </w:r>
      <w:r w:rsidR="00AF2659">
        <w:t xml:space="preserve">the </w:t>
      </w:r>
      <w:r w:rsidR="00087B0D" w:rsidRPr="009130F4">
        <w:t>effective management of oil revenues and implementation of countercyclical fiscal policy</w:t>
      </w:r>
      <w:r w:rsidR="00105E74">
        <w:t xml:space="preserve">, which </w:t>
      </w:r>
      <w:r w:rsidR="00E80DEC">
        <w:t xml:space="preserve">are </w:t>
      </w:r>
      <w:r w:rsidR="00087B0D" w:rsidRPr="009130F4">
        <w:t>crucial for economic stability in Nigeria.</w:t>
      </w:r>
      <w:r w:rsidR="00F428F9">
        <w:t xml:space="preserve"> </w:t>
      </w:r>
      <w:r w:rsidR="00087B0D" w:rsidRPr="009130F4">
        <w:t xml:space="preserve">The </w:t>
      </w:r>
      <w:r w:rsidR="007D4C11">
        <w:t>f</w:t>
      </w:r>
      <w:r w:rsidR="00087B0D" w:rsidRPr="009130F4">
        <w:t xml:space="preserve">ederal </w:t>
      </w:r>
      <w:r w:rsidR="007D4C11">
        <w:t>g</w:t>
      </w:r>
      <w:r w:rsidR="00087B0D" w:rsidRPr="009130F4">
        <w:t xml:space="preserve">overnment and a number of Nigerian </w:t>
      </w:r>
      <w:r w:rsidR="007D4C11">
        <w:t>s</w:t>
      </w:r>
      <w:r w:rsidR="00087B0D" w:rsidRPr="009130F4">
        <w:t>tates have introduced important reforms in public financial management, including procurement, medium-term fiscal frameworks, sector strategies, and integrated financial management information systems.</w:t>
      </w:r>
      <w:r w:rsidR="00F428F9">
        <w:t xml:space="preserve"> </w:t>
      </w:r>
      <w:r w:rsidR="00087B0D" w:rsidRPr="009130F4">
        <w:t>Priority areas for recent reforms have included power</w:t>
      </w:r>
      <w:r w:rsidR="007D4C11">
        <w:t>—</w:t>
      </w:r>
      <w:r w:rsidR="00087B0D" w:rsidRPr="009130F4">
        <w:t>the state</w:t>
      </w:r>
      <w:r w:rsidR="00105E74">
        <w:t>-</w:t>
      </w:r>
      <w:r w:rsidR="00087B0D" w:rsidRPr="009130F4">
        <w:t xml:space="preserve">owned power holding company was </w:t>
      </w:r>
      <w:r w:rsidR="00087B0D" w:rsidRPr="009130F4">
        <w:lastRenderedPageBreak/>
        <w:t xml:space="preserve">unbundled and privatized into </w:t>
      </w:r>
      <w:r w:rsidR="00762132">
        <w:t>four</w:t>
      </w:r>
      <w:r w:rsidR="00087B0D" w:rsidRPr="009130F4">
        <w:t xml:space="preserve"> generating companies and </w:t>
      </w:r>
      <w:r w:rsidR="007D4C11">
        <w:t>eleven</w:t>
      </w:r>
      <w:r w:rsidR="007D4C11" w:rsidRPr="009130F4">
        <w:t xml:space="preserve"> </w:t>
      </w:r>
      <w:r w:rsidR="00087B0D" w:rsidRPr="009130F4">
        <w:t>distribution companies</w:t>
      </w:r>
      <w:r w:rsidR="007D4C11">
        <w:t>—</w:t>
      </w:r>
      <w:r w:rsidR="00087B0D" w:rsidRPr="009130F4">
        <w:t>agriculture, social assistance, and financial sector / banking regulation.</w:t>
      </w:r>
      <w:r w:rsidR="00F428F9">
        <w:t xml:space="preserve"> </w:t>
      </w:r>
    </w:p>
    <w:p w14:paraId="00D82D7E" w14:textId="334EE126" w:rsidR="00087B0D" w:rsidRPr="009130F4" w:rsidRDefault="00F7672E" w:rsidP="00D727BF">
      <w:pPr>
        <w:pStyle w:val="ParagraphNumbering"/>
        <w:numPr>
          <w:ilvl w:val="0"/>
          <w:numId w:val="0"/>
        </w:numPr>
        <w:tabs>
          <w:tab w:val="left" w:pos="720"/>
        </w:tabs>
        <w:spacing w:after="240"/>
      </w:pPr>
      <w:r>
        <w:tab/>
      </w:r>
      <w:r w:rsidR="00087B0D" w:rsidRPr="002A21C4">
        <w:t>After successful general elections on March 28, 2015,</w:t>
      </w:r>
      <w:r w:rsidR="00087B0D" w:rsidRPr="000F6A00">
        <w:rPr>
          <w:b/>
        </w:rPr>
        <w:t xml:space="preserve"> </w:t>
      </w:r>
      <w:r w:rsidR="00087B0D" w:rsidRPr="009130F4">
        <w:t>a new administration t</w:t>
      </w:r>
      <w:r w:rsidR="00105E74">
        <w:t xml:space="preserve">ook </w:t>
      </w:r>
      <w:r w:rsidR="00087B0D" w:rsidRPr="009130F4">
        <w:t>over on May 29, 2015. This transition represents a new era in Nigeria</w:t>
      </w:r>
      <w:r w:rsidR="00105E74">
        <w:t>n</w:t>
      </w:r>
      <w:r w:rsidR="00087B0D" w:rsidRPr="009130F4">
        <w:t xml:space="preserve"> politics</w:t>
      </w:r>
      <w:r w:rsidR="00105E74">
        <w:t xml:space="preserve">; </w:t>
      </w:r>
      <w:r w:rsidR="00087B0D" w:rsidRPr="009130F4">
        <w:t xml:space="preserve">it is the first </w:t>
      </w:r>
      <w:r w:rsidR="00F52F05">
        <w:t>transition of</w:t>
      </w:r>
      <w:r w:rsidR="00087B0D" w:rsidRPr="009130F4">
        <w:t xml:space="preserve"> power </w:t>
      </w:r>
      <w:r w:rsidR="00F52F05">
        <w:t xml:space="preserve">in the country </w:t>
      </w:r>
      <w:r w:rsidR="00087B0D" w:rsidRPr="009130F4">
        <w:t xml:space="preserve">since the return to civilian rule and democracy in 1999. </w:t>
      </w:r>
      <w:r w:rsidR="00105E74">
        <w:t xml:space="preserve">The new administration has made it a priority to </w:t>
      </w:r>
      <w:r w:rsidR="00087B0D" w:rsidRPr="009130F4">
        <w:t>achiev</w:t>
      </w:r>
      <w:r w:rsidR="00105E74">
        <w:t>e</w:t>
      </w:r>
      <w:r w:rsidR="00087B0D" w:rsidRPr="009130F4">
        <w:t xml:space="preserve"> greater transparency in public finance and the oil sector</w:t>
      </w:r>
      <w:r w:rsidR="00380AAB">
        <w:t>—</w:t>
      </w:r>
      <w:r w:rsidR="00105E74">
        <w:t xml:space="preserve">and to </w:t>
      </w:r>
      <w:r w:rsidR="00087B0D" w:rsidRPr="009130F4">
        <w:t xml:space="preserve">combat the high level of corruption in the country. </w:t>
      </w:r>
    </w:p>
    <w:p w14:paraId="0055DBAC" w14:textId="4F8CF5E6" w:rsidR="00087B0D" w:rsidRPr="00D264A1" w:rsidRDefault="00F7672E" w:rsidP="00D727BF">
      <w:pPr>
        <w:pStyle w:val="ParagraphNumbering"/>
        <w:numPr>
          <w:ilvl w:val="0"/>
          <w:numId w:val="0"/>
        </w:numPr>
        <w:tabs>
          <w:tab w:val="left" w:pos="720"/>
        </w:tabs>
        <w:spacing w:after="240"/>
      </w:pPr>
      <w:r>
        <w:rPr>
          <w:b/>
        </w:rPr>
        <w:tab/>
      </w:r>
      <w:r w:rsidR="00087B0D" w:rsidRPr="000F6A00">
        <w:rPr>
          <w:b/>
        </w:rPr>
        <w:t xml:space="preserve">The Nigerian economy has experienced significant economic growth </w:t>
      </w:r>
      <w:r w:rsidR="00087B0D" w:rsidRPr="002A21C4">
        <w:rPr>
          <w:b/>
        </w:rPr>
        <w:t>over the last decade</w:t>
      </w:r>
      <w:r w:rsidR="00087B0D" w:rsidRPr="009130F4">
        <w:t>.</w:t>
      </w:r>
      <w:r w:rsidR="00F428F9">
        <w:t xml:space="preserve"> </w:t>
      </w:r>
      <w:r w:rsidR="00AF2659" w:rsidRPr="00D92377">
        <w:t>According to the latest national statistics,</w:t>
      </w:r>
      <w:r w:rsidR="00AF2659">
        <w:rPr>
          <w:b/>
        </w:rPr>
        <w:t xml:space="preserve"> </w:t>
      </w:r>
      <w:r w:rsidR="00AF2659" w:rsidRPr="00704D3C">
        <w:t xml:space="preserve">GDP growth averaged 5.3 percent </w:t>
      </w:r>
      <w:r w:rsidR="00AF2659">
        <w:t xml:space="preserve">from 2011 to 2014. </w:t>
      </w:r>
      <w:r w:rsidR="00105E74">
        <w:t>Recent growth has</w:t>
      </w:r>
      <w:r w:rsidR="00F52F05">
        <w:t xml:space="preserve"> largely</w:t>
      </w:r>
      <w:r w:rsidR="00105E74">
        <w:t xml:space="preserve"> been driven by t</w:t>
      </w:r>
      <w:r w:rsidR="00087B0D" w:rsidRPr="009130F4">
        <w:t>he expansion of domestic demand</w:t>
      </w:r>
      <w:r w:rsidR="00380AAB">
        <w:t>,</w:t>
      </w:r>
      <w:r w:rsidR="00105E74">
        <w:t xml:space="preserve"> </w:t>
      </w:r>
      <w:r w:rsidR="00087B0D" w:rsidRPr="009130F4">
        <w:t>while exports, dominated by the oil sector, experienced negative growth (-1.3 percent) in 2014 for the third year in a row (</w:t>
      </w:r>
      <w:r w:rsidR="00AF2659">
        <w:fldChar w:fldCharType="begin"/>
      </w:r>
      <w:r w:rsidR="00AF2659">
        <w:instrText xml:space="preserve"> REF _Ref419281100 \h </w:instrText>
      </w:r>
      <w:r w:rsidR="00AF2659">
        <w:fldChar w:fldCharType="separate"/>
      </w:r>
      <w:r w:rsidR="00380AAB">
        <w:t>f</w:t>
      </w:r>
      <w:r w:rsidR="008A3BBD">
        <w:t xml:space="preserve">igure </w:t>
      </w:r>
      <w:r w:rsidR="008A3BBD">
        <w:rPr>
          <w:noProof/>
        </w:rPr>
        <w:t>12</w:t>
      </w:r>
      <w:r w:rsidR="00AF2659">
        <w:fldChar w:fldCharType="end"/>
      </w:r>
      <w:r w:rsidR="00087B0D" w:rsidRPr="009130F4">
        <w:t>).</w:t>
      </w:r>
      <w:r w:rsidR="00F428F9">
        <w:t xml:space="preserve"> </w:t>
      </w:r>
      <w:r w:rsidR="00087B0D" w:rsidRPr="009130F4">
        <w:t xml:space="preserve">The </w:t>
      </w:r>
      <w:r w:rsidR="00F52F05">
        <w:t>decline of</w:t>
      </w:r>
      <w:r w:rsidR="00087B0D" w:rsidRPr="009130F4">
        <w:t xml:space="preserve"> the oil sector can be </w:t>
      </w:r>
      <w:r w:rsidR="00F52F05">
        <w:t xml:space="preserve">attributed to </w:t>
      </w:r>
      <w:r w:rsidR="00087B0D" w:rsidRPr="009130F4">
        <w:t xml:space="preserve">reported increases in oil theft, temporary </w:t>
      </w:r>
      <w:r w:rsidR="00F52F05">
        <w:t>suspension</w:t>
      </w:r>
      <w:r w:rsidR="00F52F05" w:rsidRPr="009130F4">
        <w:t xml:space="preserve"> </w:t>
      </w:r>
      <w:r w:rsidR="00087B0D" w:rsidRPr="009130F4">
        <w:t>of pipeline</w:t>
      </w:r>
      <w:r w:rsidR="00F52F05">
        <w:t xml:space="preserve"> operation</w:t>
      </w:r>
      <w:r w:rsidR="00087B0D" w:rsidRPr="009130F4">
        <w:t>, and an uncertain regulatory environment</w:t>
      </w:r>
      <w:r w:rsidR="00105E74">
        <w:t xml:space="preserve"> </w:t>
      </w:r>
      <w:r w:rsidR="00380AAB">
        <w:t xml:space="preserve">that </w:t>
      </w:r>
      <w:r w:rsidR="00087B0D" w:rsidRPr="009130F4">
        <w:t xml:space="preserve">has limited investment </w:t>
      </w:r>
      <w:r w:rsidR="00105E74">
        <w:t xml:space="preserve">in </w:t>
      </w:r>
      <w:r w:rsidR="00087B0D" w:rsidRPr="009130F4">
        <w:t xml:space="preserve">this sector. Since 2009, the </w:t>
      </w:r>
      <w:r w:rsidR="00380AAB">
        <w:t>g</w:t>
      </w:r>
      <w:r w:rsidR="00087B0D" w:rsidRPr="009130F4">
        <w:t xml:space="preserve">overnment has </w:t>
      </w:r>
      <w:r w:rsidR="00105E74">
        <w:t xml:space="preserve">been attempting to pass </w:t>
      </w:r>
      <w:r w:rsidR="00087B0D" w:rsidRPr="009130F4">
        <w:t>a comprehensive Petroleum Industry Bill (PIB) to improve the regulatory climate for oil and gas</w:t>
      </w:r>
      <w:r w:rsidR="00F52F05">
        <w:t>; however,</w:t>
      </w:r>
      <w:r w:rsidR="00087B0D" w:rsidRPr="009130F4">
        <w:t xml:space="preserve"> controvers</w:t>
      </w:r>
      <w:r w:rsidR="00F52F05">
        <w:t>y</w:t>
      </w:r>
      <w:r w:rsidR="00087B0D" w:rsidRPr="009130F4">
        <w:t xml:space="preserve"> surrounding </w:t>
      </w:r>
      <w:r w:rsidR="00105E74">
        <w:t xml:space="preserve">the </w:t>
      </w:r>
      <w:r w:rsidR="00087B0D" w:rsidRPr="009130F4">
        <w:t>draft legislation ha</w:t>
      </w:r>
      <w:r w:rsidR="00F52F05">
        <w:t>s</w:t>
      </w:r>
      <w:r w:rsidR="00087B0D" w:rsidRPr="009130F4">
        <w:t xml:space="preserve"> so far prevented </w:t>
      </w:r>
      <w:r w:rsidR="00105E74">
        <w:t xml:space="preserve">its passage </w:t>
      </w:r>
      <w:r w:rsidR="00087B0D" w:rsidRPr="009130F4">
        <w:t xml:space="preserve">in the National Assembly. </w:t>
      </w:r>
    </w:p>
    <w:p w14:paraId="7FAFE3C0" w14:textId="6DC264D3" w:rsidR="00F428F9" w:rsidRDefault="00087B0D" w:rsidP="00D727BF">
      <w:pPr>
        <w:pStyle w:val="Caption"/>
        <w:tabs>
          <w:tab w:val="left" w:pos="720"/>
        </w:tabs>
        <w:jc w:val="center"/>
      </w:pPr>
      <w:bookmarkStart w:id="60" w:name="_Ref419281100"/>
      <w:bookmarkStart w:id="61" w:name="_Toc445449630"/>
      <w:r>
        <w:t xml:space="preserve">Figure </w:t>
      </w:r>
      <w:fldSimple w:instr=" SEQ Figure \* ARABIC ">
        <w:r w:rsidR="008A3BBD">
          <w:rPr>
            <w:noProof/>
          </w:rPr>
          <w:t>12</w:t>
        </w:r>
      </w:fldSimple>
      <w:bookmarkEnd w:id="60"/>
      <w:r>
        <w:t>: GDP Growth in Nigeria</w:t>
      </w:r>
      <w:r w:rsidR="00982988">
        <w:t xml:space="preserve"> </w:t>
      </w:r>
      <w:r w:rsidR="008F046F">
        <w:t>(</w:t>
      </w:r>
      <w:r w:rsidR="008A3BBD">
        <w:t>P</w:t>
      </w:r>
      <w:r w:rsidR="00982988">
        <w:t>ercent</w:t>
      </w:r>
      <w:r w:rsidR="008F046F">
        <w:t>)</w:t>
      </w:r>
      <w:bookmarkEnd w:id="61"/>
    </w:p>
    <w:p w14:paraId="37BB53BD" w14:textId="19C12667" w:rsidR="00087B0D" w:rsidRDefault="00087B0D" w:rsidP="00D727BF">
      <w:pPr>
        <w:tabs>
          <w:tab w:val="left" w:pos="720"/>
        </w:tabs>
        <w:spacing w:after="0"/>
        <w:jc w:val="center"/>
      </w:pPr>
      <w:r w:rsidRPr="00D264A1">
        <w:rPr>
          <w:noProof/>
        </w:rPr>
        <w:drawing>
          <wp:inline distT="0" distB="0" distL="0" distR="0" wp14:anchorId="32F66CB2" wp14:editId="32B4BB29">
            <wp:extent cx="4533900" cy="24955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885899" w14:textId="6BB509A1" w:rsidR="00087B0D" w:rsidRPr="00FA617D" w:rsidRDefault="00F7672E" w:rsidP="00D727BF">
      <w:pPr>
        <w:pStyle w:val="ParagraphNumbering"/>
        <w:numPr>
          <w:ilvl w:val="0"/>
          <w:numId w:val="0"/>
        </w:numPr>
        <w:tabs>
          <w:tab w:val="left" w:pos="720"/>
        </w:tabs>
        <w:spacing w:after="240"/>
      </w:pPr>
      <w:r>
        <w:rPr>
          <w:b/>
        </w:rPr>
        <w:tab/>
      </w:r>
      <w:r w:rsidR="008F046F" w:rsidRPr="001F543C">
        <w:rPr>
          <w:b/>
        </w:rPr>
        <w:t xml:space="preserve">Despite </w:t>
      </w:r>
      <w:r w:rsidR="00AF2659">
        <w:rPr>
          <w:b/>
        </w:rPr>
        <w:t>this</w:t>
      </w:r>
      <w:r w:rsidR="00AF2659" w:rsidRPr="001F543C">
        <w:rPr>
          <w:b/>
        </w:rPr>
        <w:t xml:space="preserve"> </w:t>
      </w:r>
      <w:r w:rsidR="00AF2659">
        <w:rPr>
          <w:b/>
        </w:rPr>
        <w:t xml:space="preserve">protracted </w:t>
      </w:r>
      <w:r w:rsidR="008F046F" w:rsidRPr="001F543C">
        <w:rPr>
          <w:b/>
        </w:rPr>
        <w:t xml:space="preserve">period of growth, </w:t>
      </w:r>
      <w:r w:rsidR="008F046F" w:rsidRPr="00D802DC">
        <w:rPr>
          <w:b/>
        </w:rPr>
        <w:t>w</w:t>
      </w:r>
      <w:r w:rsidR="00087B0D" w:rsidRPr="00D802DC">
        <w:rPr>
          <w:b/>
        </w:rPr>
        <w:t xml:space="preserve">elfare improvements </w:t>
      </w:r>
      <w:r w:rsidR="008F046F" w:rsidRPr="00D802DC">
        <w:rPr>
          <w:b/>
        </w:rPr>
        <w:t xml:space="preserve">have </w:t>
      </w:r>
      <w:r w:rsidR="00087B0D" w:rsidRPr="00D802DC">
        <w:rPr>
          <w:b/>
        </w:rPr>
        <w:t xml:space="preserve">been unevenly distributed across </w:t>
      </w:r>
      <w:r w:rsidR="00AF2659">
        <w:rPr>
          <w:b/>
        </w:rPr>
        <w:t>the country</w:t>
      </w:r>
      <w:r w:rsidR="00087B0D" w:rsidRPr="00D802DC">
        <w:rPr>
          <w:b/>
        </w:rPr>
        <w:t>.</w:t>
      </w:r>
      <w:r w:rsidR="00F428F9">
        <w:t xml:space="preserve"> </w:t>
      </w:r>
      <w:r w:rsidR="00087B0D" w:rsidRPr="00FA617D">
        <w:t xml:space="preserve">While the </w:t>
      </w:r>
      <w:r w:rsidR="007F0A81" w:rsidRPr="00FA617D">
        <w:t xml:space="preserve">share </w:t>
      </w:r>
      <w:r w:rsidR="00087B0D" w:rsidRPr="00FA617D">
        <w:t>of the population living below the official poverty line</w:t>
      </w:r>
      <w:r w:rsidR="00087B0D" w:rsidRPr="00C759C4">
        <w:rPr>
          <w:vertAlign w:val="superscript"/>
        </w:rPr>
        <w:footnoteReference w:id="7"/>
      </w:r>
      <w:r w:rsidR="00087B0D" w:rsidRPr="001F543C">
        <w:t xml:space="preserve"> declined from 35 to 33 percent</w:t>
      </w:r>
      <w:r w:rsidR="00087B0D" w:rsidRPr="00FA617D">
        <w:t xml:space="preserve"> between 2010 and 2012, </w:t>
      </w:r>
      <w:r w:rsidR="00CC55E1">
        <w:t>a regional breakdown of this metric is more telling. In the country</w:t>
      </w:r>
      <w:r w:rsidR="00863D16">
        <w:t>’</w:t>
      </w:r>
      <w:r w:rsidR="00CC55E1">
        <w:t xml:space="preserve">s </w:t>
      </w:r>
      <w:r w:rsidR="006F6842">
        <w:t>South West</w:t>
      </w:r>
      <w:r w:rsidR="00CC55E1">
        <w:t xml:space="preserve"> (</w:t>
      </w:r>
      <w:r w:rsidR="00087B0D" w:rsidRPr="00FA617D">
        <w:t>including Lagos</w:t>
      </w:r>
      <w:r w:rsidR="00CC55E1">
        <w:t>)</w:t>
      </w:r>
      <w:r w:rsidR="00087B0D" w:rsidRPr="00FA617D">
        <w:t xml:space="preserve">, </w:t>
      </w:r>
      <w:r w:rsidR="00CC55E1">
        <w:t xml:space="preserve">poverty rates dropped from 21 percent in 2010 to 16 percent in 2012. </w:t>
      </w:r>
      <w:r w:rsidR="00087B0D" w:rsidRPr="00FA617D">
        <w:t xml:space="preserve">By contrast, poverty rates in the </w:t>
      </w:r>
      <w:r w:rsidR="006F6842">
        <w:t>North West</w:t>
      </w:r>
      <w:r w:rsidR="00087B0D" w:rsidRPr="00FA617D">
        <w:t xml:space="preserve"> and </w:t>
      </w:r>
      <w:r w:rsidR="006F6842">
        <w:t>North East</w:t>
      </w:r>
      <w:r w:rsidR="00087B0D" w:rsidRPr="00FA617D">
        <w:t xml:space="preserve"> did not decline </w:t>
      </w:r>
      <w:r w:rsidR="00AF2659">
        <w:t xml:space="preserve">at all </w:t>
      </w:r>
      <w:r w:rsidR="00087B0D" w:rsidRPr="00FA617D">
        <w:t xml:space="preserve">during this period, </w:t>
      </w:r>
      <w:r w:rsidR="00CC55E1">
        <w:t>standing</w:t>
      </w:r>
      <w:r w:rsidR="00087B0D" w:rsidRPr="00FA617D">
        <w:t xml:space="preserve"> at 46 and 50 percent, respectively, in 2012.</w:t>
      </w:r>
      <w:r w:rsidR="00F428F9">
        <w:t xml:space="preserve"> </w:t>
      </w:r>
      <w:r w:rsidR="00087B0D" w:rsidRPr="00FA617D">
        <w:t xml:space="preserve">Higher poverty rates in the </w:t>
      </w:r>
      <w:r w:rsidR="006F6842">
        <w:t>North West</w:t>
      </w:r>
      <w:r w:rsidR="00087B0D" w:rsidRPr="00FA617D">
        <w:t xml:space="preserve"> and </w:t>
      </w:r>
      <w:r w:rsidR="006F6842">
        <w:t>North East</w:t>
      </w:r>
      <w:r w:rsidR="00087B0D" w:rsidRPr="00FA617D">
        <w:t xml:space="preserve"> reflect a number of factors, including relatively poor social services, infrastructure weaknesses, and the recent instability in that region.</w:t>
      </w:r>
      <w:r w:rsidR="00F428F9">
        <w:t xml:space="preserve"> </w:t>
      </w:r>
    </w:p>
    <w:p w14:paraId="11BB9E61" w14:textId="66AEB37E" w:rsidR="00E15F99" w:rsidRPr="00FA617D" w:rsidRDefault="00F7672E" w:rsidP="00D727BF">
      <w:pPr>
        <w:pStyle w:val="ParagraphNumbering"/>
        <w:numPr>
          <w:ilvl w:val="0"/>
          <w:numId w:val="0"/>
        </w:numPr>
        <w:tabs>
          <w:tab w:val="left" w:pos="720"/>
        </w:tabs>
        <w:spacing w:after="240"/>
      </w:pPr>
      <w:r>
        <w:rPr>
          <w:b/>
        </w:rPr>
        <w:lastRenderedPageBreak/>
        <w:tab/>
      </w:r>
      <w:r w:rsidR="00E15F99" w:rsidRPr="00D802DC">
        <w:rPr>
          <w:b/>
        </w:rPr>
        <w:t>The pace of inflation is Nigeria in recent years has been rather high</w:t>
      </w:r>
      <w:r w:rsidR="00E15F99" w:rsidRPr="002A21C4">
        <w:rPr>
          <w:b/>
        </w:rPr>
        <w:t>, although tighter macroeconomic policy since 2011 has gradually subdued inflationary pressures</w:t>
      </w:r>
      <w:r w:rsidR="00E15F99" w:rsidRPr="000F6A00">
        <w:t>.</w:t>
      </w:r>
      <w:r w:rsidR="00F428F9">
        <w:t xml:space="preserve"> </w:t>
      </w:r>
      <w:r w:rsidR="00E15F99" w:rsidRPr="00FA617D">
        <w:t>C</w:t>
      </w:r>
      <w:r w:rsidR="007F0A81" w:rsidRPr="00FA617D">
        <w:t>onsumer Price Index (C</w:t>
      </w:r>
      <w:r w:rsidR="00E15F99" w:rsidRPr="00FA617D">
        <w:t>PI</w:t>
      </w:r>
      <w:r w:rsidR="007F0A81" w:rsidRPr="00FA617D">
        <w:t>)</w:t>
      </w:r>
      <w:r w:rsidR="00E15F99" w:rsidRPr="00FA617D">
        <w:t xml:space="preserve"> inflation remained in double digits until 2013, which reflected </w:t>
      </w:r>
      <w:r w:rsidR="00CC55E1">
        <w:t xml:space="preserve">a number of factors including </w:t>
      </w:r>
      <w:r w:rsidR="00E15F99" w:rsidRPr="00FA617D">
        <w:t>pressures for currency appreciation at the prevailing exchange rate (pre-2008), currency depreciation (2009), expansionary fiscal policy (2010</w:t>
      </w:r>
      <w:r w:rsidR="00F0446E">
        <w:t xml:space="preserve"> to </w:t>
      </w:r>
      <w:r w:rsidR="00E15F99" w:rsidRPr="00FA617D">
        <w:t>mid-2011), administered increases in utility prices (2012), and poor weather conditions (2012).</w:t>
      </w:r>
      <w:r w:rsidR="009E101A">
        <w:t xml:space="preserve"> </w:t>
      </w:r>
      <w:r w:rsidR="00E15F99" w:rsidRPr="00FA617D">
        <w:t xml:space="preserve">The </w:t>
      </w:r>
      <w:r w:rsidR="00CC55E1">
        <w:t>introduction</w:t>
      </w:r>
      <w:r w:rsidR="00CC55E1" w:rsidRPr="00FA617D">
        <w:t xml:space="preserve"> </w:t>
      </w:r>
      <w:r w:rsidR="00E15F99" w:rsidRPr="00FA617D">
        <w:t>of tighter monetary and fiscal policy subsequently succeeded in bringing down core inflationary pressures.</w:t>
      </w:r>
      <w:r w:rsidR="00F428F9">
        <w:t xml:space="preserve"> </w:t>
      </w:r>
      <w:r w:rsidR="00CC55E1">
        <w:t>Year-on-year</w:t>
      </w:r>
      <w:r w:rsidR="00E15F99" w:rsidRPr="00FA617D">
        <w:t xml:space="preserve"> CPI inflation </w:t>
      </w:r>
      <w:r w:rsidR="00CC55E1">
        <w:t xml:space="preserve">in December </w:t>
      </w:r>
      <w:r w:rsidR="00E15F99" w:rsidRPr="00FA617D">
        <w:t xml:space="preserve">was </w:t>
      </w:r>
      <w:r w:rsidR="005753B0">
        <w:t>8</w:t>
      </w:r>
      <w:r w:rsidR="005753B0" w:rsidRPr="00FA617D">
        <w:t xml:space="preserve"> </w:t>
      </w:r>
      <w:r w:rsidR="00E15F99" w:rsidRPr="00FA617D">
        <w:t>percent</w:t>
      </w:r>
      <w:r w:rsidR="00FA617D" w:rsidRPr="00FA617D">
        <w:t xml:space="preserve"> for both 2013 and 2014.</w:t>
      </w:r>
      <w:r w:rsidR="00F428F9">
        <w:t xml:space="preserve"> </w:t>
      </w:r>
      <w:r w:rsidR="00E15F99" w:rsidRPr="00FA617D">
        <w:t xml:space="preserve">The pace of inflation </w:t>
      </w:r>
      <w:r w:rsidR="00CC55E1">
        <w:t xml:space="preserve">increased slightly in </w:t>
      </w:r>
      <w:r w:rsidR="00E15F99" w:rsidRPr="00FA617D">
        <w:t xml:space="preserve">early 2015 following the depreciation of the </w:t>
      </w:r>
      <w:r w:rsidR="003A6769">
        <w:t>naira</w:t>
      </w:r>
      <w:r w:rsidR="00E15F99" w:rsidRPr="00FA617D">
        <w:t>, reaching 8.5 percent in March (year-on-year).</w:t>
      </w:r>
      <w:r w:rsidR="00F428F9">
        <w:t xml:space="preserve"> </w:t>
      </w:r>
      <w:r w:rsidR="00E15F99" w:rsidRPr="00FA617D">
        <w:t xml:space="preserve">It is expected that the pace of inflation will again decline following the stabilization of the </w:t>
      </w:r>
      <w:r w:rsidR="003A6769">
        <w:t>naira</w:t>
      </w:r>
      <w:r w:rsidR="00E15F99" w:rsidRPr="00FA617D">
        <w:t>.</w:t>
      </w:r>
    </w:p>
    <w:p w14:paraId="65B7BCF0" w14:textId="6F3A04F1" w:rsidR="00E15F99" w:rsidRPr="008A3F3E" w:rsidRDefault="00F7672E" w:rsidP="00D727BF">
      <w:pPr>
        <w:pStyle w:val="ParagraphNumbering"/>
        <w:numPr>
          <w:ilvl w:val="0"/>
          <w:numId w:val="0"/>
        </w:numPr>
        <w:tabs>
          <w:tab w:val="left" w:pos="720"/>
        </w:tabs>
        <w:spacing w:after="240"/>
      </w:pPr>
      <w:r>
        <w:rPr>
          <w:b/>
        </w:rPr>
        <w:tab/>
      </w:r>
      <w:r w:rsidR="00F2271C" w:rsidRPr="00D802DC">
        <w:rPr>
          <w:b/>
        </w:rPr>
        <w:t>High interest rates impede private sector growth.</w:t>
      </w:r>
      <w:r w:rsidR="00F2271C" w:rsidRPr="00FA617D">
        <w:t xml:space="preserve"> </w:t>
      </w:r>
      <w:r w:rsidR="00E15F99" w:rsidRPr="00FA617D">
        <w:t>Following the recovery of Nigerian banks from</w:t>
      </w:r>
      <w:r w:rsidR="00E15F99" w:rsidRPr="00D264A1">
        <w:t xml:space="preserve"> the </w:t>
      </w:r>
      <w:r w:rsidR="00044DA0">
        <w:t xml:space="preserve">global financial </w:t>
      </w:r>
      <w:r w:rsidR="00E15F99" w:rsidRPr="00D264A1">
        <w:t>turmoil of 2008</w:t>
      </w:r>
      <w:r w:rsidR="005753B0">
        <w:rPr>
          <w:rFonts w:ascii="Calibri" w:hAnsi="Calibri"/>
        </w:rPr>
        <w:t>‒</w:t>
      </w:r>
      <w:r w:rsidR="00044DA0">
        <w:t>0</w:t>
      </w:r>
      <w:r w:rsidR="00E15F99" w:rsidRPr="00D264A1">
        <w:t xml:space="preserve">9, the Central Bank increased the base interest rate from </w:t>
      </w:r>
      <w:r w:rsidR="00044DA0">
        <w:t>6</w:t>
      </w:r>
      <w:r w:rsidR="00044DA0" w:rsidRPr="00D264A1">
        <w:t xml:space="preserve"> </w:t>
      </w:r>
      <w:r w:rsidR="00E15F99" w:rsidRPr="00D264A1">
        <w:t xml:space="preserve">percent to </w:t>
      </w:r>
      <w:r w:rsidR="000D26C7">
        <w:t>12</w:t>
      </w:r>
      <w:r w:rsidR="000D26C7" w:rsidRPr="00D264A1">
        <w:t xml:space="preserve"> </w:t>
      </w:r>
      <w:r w:rsidR="00E15F99" w:rsidRPr="00D264A1">
        <w:t>percent</w:t>
      </w:r>
      <w:r w:rsidR="00F2271C">
        <w:t xml:space="preserve"> and increased it further to </w:t>
      </w:r>
      <w:r w:rsidR="000D26C7">
        <w:t xml:space="preserve">13 </w:t>
      </w:r>
      <w:r w:rsidR="00F2271C">
        <w:t>percent</w:t>
      </w:r>
      <w:r w:rsidR="00E15F99" w:rsidRPr="00D264A1">
        <w:t xml:space="preserve"> in 2014.</w:t>
      </w:r>
      <w:r w:rsidR="00F428F9">
        <w:t xml:space="preserve"> </w:t>
      </w:r>
      <w:r w:rsidR="00E15F99" w:rsidRPr="00D264A1">
        <w:t xml:space="preserve">Considering that the Central Bank was also committed to holding the exchange rate essentially stable against the US dollar during 2012 through most of 2014, the domestic interest rate has been quite </w:t>
      </w:r>
      <w:r w:rsidR="000D26C7">
        <w:t>high</w:t>
      </w:r>
      <w:r w:rsidR="000D26C7" w:rsidRPr="00D264A1">
        <w:t xml:space="preserve"> </w:t>
      </w:r>
      <w:r w:rsidR="00E15F99" w:rsidRPr="00D264A1">
        <w:t>by international standards and</w:t>
      </w:r>
      <w:r w:rsidR="005753B0">
        <w:t>,</w:t>
      </w:r>
      <w:r w:rsidR="00E15F99" w:rsidRPr="00D264A1">
        <w:t xml:space="preserve"> consequently</w:t>
      </w:r>
      <w:r w:rsidR="005753B0">
        <w:t>,</w:t>
      </w:r>
      <w:r w:rsidR="00E15F99" w:rsidRPr="00D264A1">
        <w:t xml:space="preserve"> the focus of some controversy within </w:t>
      </w:r>
      <w:r w:rsidR="00FA617D">
        <w:t>the</w:t>
      </w:r>
      <w:r w:rsidR="00E15F99" w:rsidRPr="00D264A1">
        <w:t xml:space="preserve"> country.</w:t>
      </w:r>
      <w:r w:rsidR="00F428F9">
        <w:t xml:space="preserve"> </w:t>
      </w:r>
      <w:r w:rsidR="00E15F99" w:rsidRPr="00D264A1">
        <w:t>Real credit growth to the private sector has remained extremely modest since the banking crisis and was even negative until 2013.</w:t>
      </w:r>
      <w:r w:rsidR="00F428F9">
        <w:t xml:space="preserve"> </w:t>
      </w:r>
      <w:r w:rsidR="00E15F99" w:rsidRPr="00D264A1">
        <w:t xml:space="preserve">The domestic interest </w:t>
      </w:r>
      <w:r w:rsidR="000D26C7">
        <w:t>rate is</w:t>
      </w:r>
      <w:r w:rsidR="000D26C7" w:rsidRPr="00D264A1">
        <w:t xml:space="preserve"> </w:t>
      </w:r>
      <w:r w:rsidR="00E15F99" w:rsidRPr="00D264A1">
        <w:t xml:space="preserve">also a primary cause of the massive </w:t>
      </w:r>
      <w:r w:rsidR="000D26C7">
        <w:t xml:space="preserve">influx of </w:t>
      </w:r>
      <w:r w:rsidR="00E15F99" w:rsidRPr="00D264A1">
        <w:t>short-term capital since 2012</w:t>
      </w:r>
      <w:r w:rsidR="00FA617D">
        <w:t>, which</w:t>
      </w:r>
      <w:r w:rsidR="00E15F99" w:rsidRPr="00D264A1">
        <w:t xml:space="preserve"> </w:t>
      </w:r>
      <w:r w:rsidR="000D26C7">
        <w:t xml:space="preserve">has </w:t>
      </w:r>
      <w:r w:rsidR="00E15F99" w:rsidRPr="00D264A1">
        <w:t xml:space="preserve">arguably added additional volatility to </w:t>
      </w:r>
      <w:r w:rsidR="000D26C7">
        <w:t xml:space="preserve">the </w:t>
      </w:r>
      <w:r w:rsidR="00E15F99" w:rsidRPr="00D264A1">
        <w:t>country</w:t>
      </w:r>
      <w:r w:rsidR="00863D16">
        <w:t>’</w:t>
      </w:r>
      <w:r w:rsidR="00E15F99" w:rsidRPr="00D264A1">
        <w:t>s already unstable balance of payments posit</w:t>
      </w:r>
      <w:r w:rsidR="00F2271C">
        <w:t>i</w:t>
      </w:r>
      <w:r w:rsidR="00E15F99" w:rsidRPr="00D264A1">
        <w:t>on. The Central Bank maintains that its tight monetary policy position has been necessary</w:t>
      </w:r>
      <w:r w:rsidR="00FA617D">
        <w:t xml:space="preserve"> to bring </w:t>
      </w:r>
      <w:r w:rsidR="00E15F99" w:rsidRPr="00D264A1">
        <w:t xml:space="preserve">inflation down to acceptable levels. </w:t>
      </w:r>
    </w:p>
    <w:p w14:paraId="54D82AE3" w14:textId="5DC0ADCA" w:rsidR="00087B0D" w:rsidRPr="002A7974" w:rsidRDefault="00161A69" w:rsidP="00D727BF">
      <w:pPr>
        <w:pStyle w:val="Heading2"/>
        <w:tabs>
          <w:tab w:val="left" w:pos="720"/>
        </w:tabs>
        <w:spacing w:before="0"/>
      </w:pPr>
      <w:bookmarkStart w:id="62" w:name="_Toc444877497"/>
      <w:bookmarkStart w:id="63" w:name="_Toc445450272"/>
      <w:r w:rsidRPr="002A7974">
        <w:t>Rationale</w:t>
      </w:r>
      <w:r w:rsidR="00B54A94" w:rsidRPr="002A7974">
        <w:t xml:space="preserve"> for Report and</w:t>
      </w:r>
      <w:r w:rsidRPr="002A7974">
        <w:t xml:space="preserve"> </w:t>
      </w:r>
      <w:r w:rsidR="00FA617D" w:rsidRPr="002A7974">
        <w:t xml:space="preserve">Relevance </w:t>
      </w:r>
      <w:r w:rsidRPr="002A7974">
        <w:t>to Government</w:t>
      </w:r>
      <w:r w:rsidR="00863D16">
        <w:t>’</w:t>
      </w:r>
      <w:r w:rsidRPr="002A7974">
        <w:t>s Priorities</w:t>
      </w:r>
      <w:bookmarkEnd w:id="55"/>
      <w:bookmarkEnd w:id="62"/>
      <w:bookmarkEnd w:id="63"/>
    </w:p>
    <w:p w14:paraId="03F22F4B" w14:textId="1FDC7CC7" w:rsidR="00C5511E" w:rsidRPr="008A3F3E" w:rsidRDefault="00F7672E" w:rsidP="00D727BF">
      <w:pPr>
        <w:pStyle w:val="ParagraphNumbering"/>
        <w:numPr>
          <w:ilvl w:val="0"/>
          <w:numId w:val="0"/>
        </w:numPr>
        <w:tabs>
          <w:tab w:val="left" w:pos="720"/>
        </w:tabs>
        <w:spacing w:after="240"/>
      </w:pPr>
      <w:r>
        <w:rPr>
          <w:b/>
        </w:rPr>
        <w:tab/>
      </w:r>
      <w:r w:rsidR="00F2271C" w:rsidRPr="008A3F3E">
        <w:rPr>
          <w:b/>
        </w:rPr>
        <w:t xml:space="preserve">The </w:t>
      </w:r>
      <w:r w:rsidR="00DA341D">
        <w:rPr>
          <w:b/>
        </w:rPr>
        <w:t>Nigerian economy</w:t>
      </w:r>
      <w:r w:rsidR="00F2271C" w:rsidRPr="008A3F3E">
        <w:rPr>
          <w:b/>
        </w:rPr>
        <w:t xml:space="preserve"> remains highly </w:t>
      </w:r>
      <w:r w:rsidR="00044DA0">
        <w:rPr>
          <w:b/>
        </w:rPr>
        <w:t xml:space="preserve">exposed </w:t>
      </w:r>
      <w:r w:rsidR="00F2271C" w:rsidRPr="008A3F3E">
        <w:rPr>
          <w:b/>
        </w:rPr>
        <w:t xml:space="preserve">to </w:t>
      </w:r>
      <w:r w:rsidR="00044DA0">
        <w:rPr>
          <w:b/>
        </w:rPr>
        <w:t xml:space="preserve">fluctuations </w:t>
      </w:r>
      <w:r w:rsidR="00F2271C" w:rsidRPr="008A3F3E">
        <w:rPr>
          <w:b/>
        </w:rPr>
        <w:t>in the international oil market.</w:t>
      </w:r>
      <w:r w:rsidR="00F428F9">
        <w:t xml:space="preserve"> </w:t>
      </w:r>
      <w:r w:rsidR="00FA617D">
        <w:rPr>
          <w:rFonts w:eastAsia="Calibri"/>
        </w:rPr>
        <w:t>O</w:t>
      </w:r>
      <w:r w:rsidR="00DC139E">
        <w:rPr>
          <w:rFonts w:eastAsia="Calibri"/>
        </w:rPr>
        <w:t xml:space="preserve">il prices </w:t>
      </w:r>
      <w:r w:rsidR="00044DA0">
        <w:rPr>
          <w:rFonts w:eastAsia="Calibri"/>
        </w:rPr>
        <w:t xml:space="preserve">in </w:t>
      </w:r>
      <w:r w:rsidR="00DC139E">
        <w:rPr>
          <w:rFonts w:eastAsia="Calibri"/>
        </w:rPr>
        <w:t xml:space="preserve">international markets </w:t>
      </w:r>
      <w:r w:rsidR="00FA617D">
        <w:rPr>
          <w:rFonts w:eastAsia="Calibri"/>
        </w:rPr>
        <w:t xml:space="preserve">have fallen </w:t>
      </w:r>
      <w:r w:rsidR="00DC139E">
        <w:rPr>
          <w:rFonts w:eastAsia="Calibri"/>
        </w:rPr>
        <w:t xml:space="preserve">from around </w:t>
      </w:r>
      <w:r w:rsidR="00FA617D">
        <w:rPr>
          <w:rFonts w:eastAsia="Calibri"/>
        </w:rPr>
        <w:t>US</w:t>
      </w:r>
      <w:r w:rsidR="00DC139E">
        <w:rPr>
          <w:rFonts w:eastAsia="Calibri"/>
        </w:rPr>
        <w:t>$115 per barrel in June 2014</w:t>
      </w:r>
      <w:r w:rsidR="00834EC0">
        <w:rPr>
          <w:rFonts w:eastAsia="Calibri"/>
        </w:rPr>
        <w:t xml:space="preserve"> to about </w:t>
      </w:r>
      <w:r w:rsidR="00FA617D">
        <w:rPr>
          <w:rFonts w:eastAsia="Calibri"/>
        </w:rPr>
        <w:t>US</w:t>
      </w:r>
      <w:r w:rsidR="00AD50AE">
        <w:rPr>
          <w:rFonts w:eastAsia="Calibri"/>
        </w:rPr>
        <w:t>$40</w:t>
      </w:r>
      <w:r w:rsidR="00834EC0">
        <w:rPr>
          <w:rFonts w:eastAsia="Calibri"/>
        </w:rPr>
        <w:t xml:space="preserve"> per barrel today. </w:t>
      </w:r>
      <w:r w:rsidR="00834EC0" w:rsidRPr="004219E8">
        <w:rPr>
          <w:rFonts w:eastAsia="Calibri"/>
        </w:rPr>
        <w:t xml:space="preserve">The impacts on the </w:t>
      </w:r>
      <w:r w:rsidR="00F2271C">
        <w:rPr>
          <w:rFonts w:eastAsia="Calibri"/>
        </w:rPr>
        <w:t>macro</w:t>
      </w:r>
      <w:r w:rsidR="00F2271C" w:rsidRPr="004219E8">
        <w:rPr>
          <w:rFonts w:eastAsia="Calibri"/>
        </w:rPr>
        <w:t>economy</w:t>
      </w:r>
      <w:r w:rsidR="00834EC0" w:rsidRPr="004219E8">
        <w:rPr>
          <w:rFonts w:eastAsia="Calibri"/>
        </w:rPr>
        <w:t xml:space="preserve"> can already be observed</w:t>
      </w:r>
      <w:r w:rsidR="009D082D">
        <w:rPr>
          <w:rFonts w:eastAsia="Calibri"/>
        </w:rPr>
        <w:t>.</w:t>
      </w:r>
      <w:r w:rsidR="00C5511E">
        <w:rPr>
          <w:rStyle w:val="FootnoteReference"/>
          <w:rFonts w:eastAsia="Calibri"/>
        </w:rPr>
        <w:footnoteReference w:id="8"/>
      </w:r>
      <w:r w:rsidR="009D082D">
        <w:rPr>
          <w:rFonts w:eastAsia="Calibri"/>
        </w:rPr>
        <w:t xml:space="preserve"> </w:t>
      </w:r>
    </w:p>
    <w:p w14:paraId="7D0D0824" w14:textId="33724EED" w:rsidR="00C5511E" w:rsidRPr="008A3F3E" w:rsidRDefault="00F2271C" w:rsidP="00D727BF">
      <w:pPr>
        <w:pStyle w:val="Bullets"/>
        <w:numPr>
          <w:ilvl w:val="0"/>
          <w:numId w:val="2"/>
        </w:numPr>
        <w:tabs>
          <w:tab w:val="left" w:pos="720"/>
        </w:tabs>
        <w:spacing w:after="120"/>
        <w:ind w:left="720" w:hanging="720"/>
        <w:rPr>
          <w:rFonts w:eastAsia="Times New Roman"/>
        </w:rPr>
      </w:pPr>
      <w:r>
        <w:t>First, t</w:t>
      </w:r>
      <w:r w:rsidR="009D082D" w:rsidRPr="00D264A1">
        <w:rPr>
          <w:rFonts w:eastAsia="Times New Roman"/>
        </w:rPr>
        <w:t xml:space="preserve">he oil price shock </w:t>
      </w:r>
      <w:r w:rsidR="000D26C7">
        <w:rPr>
          <w:rFonts w:eastAsia="Times New Roman"/>
        </w:rPr>
        <w:t xml:space="preserve">produced </w:t>
      </w:r>
      <w:r w:rsidR="009D082D" w:rsidRPr="00D264A1">
        <w:rPr>
          <w:rFonts w:eastAsia="Times New Roman"/>
        </w:rPr>
        <w:t>a 20</w:t>
      </w:r>
      <w:r w:rsidR="0027605D">
        <w:rPr>
          <w:rFonts w:eastAsia="Times New Roman"/>
        </w:rPr>
        <w:t xml:space="preserve"> </w:t>
      </w:r>
      <w:r w:rsidR="009D082D" w:rsidRPr="00D264A1">
        <w:rPr>
          <w:rFonts w:eastAsia="Times New Roman"/>
        </w:rPr>
        <w:t xml:space="preserve">percent depreciation of the </w:t>
      </w:r>
      <w:r w:rsidR="003A6769">
        <w:rPr>
          <w:rFonts w:eastAsia="Times New Roman"/>
        </w:rPr>
        <w:t>naira</w:t>
      </w:r>
      <w:r w:rsidR="009D082D" w:rsidRPr="00D264A1">
        <w:rPr>
          <w:rFonts w:eastAsia="Times New Roman"/>
        </w:rPr>
        <w:t xml:space="preserve">. </w:t>
      </w:r>
      <w:r w:rsidR="00E15F99" w:rsidRPr="00D264A1">
        <w:t xml:space="preserve">Until 2015, authorities held the official exchange rate quite stable, opting for rapid one-off depreciations in the face of strong pressures on the </w:t>
      </w:r>
      <w:r w:rsidR="003A6769">
        <w:t>naira</w:t>
      </w:r>
      <w:r w:rsidR="00D802DC">
        <w:t>: 20 percent i</w:t>
      </w:r>
      <w:r w:rsidR="00E15F99" w:rsidRPr="00D264A1">
        <w:t>n 2009</w:t>
      </w:r>
      <w:r w:rsidR="00D802DC">
        <w:t xml:space="preserve">, </w:t>
      </w:r>
      <w:r w:rsidR="005753B0">
        <w:t xml:space="preserve">6 </w:t>
      </w:r>
      <w:r w:rsidR="002E2227">
        <w:t>percent</w:t>
      </w:r>
      <w:r w:rsidR="00D802DC">
        <w:t xml:space="preserve"> in 2011,</w:t>
      </w:r>
      <w:r w:rsidR="002E2227">
        <w:t xml:space="preserve"> and </w:t>
      </w:r>
      <w:r w:rsidR="005753B0">
        <w:t xml:space="preserve">6 </w:t>
      </w:r>
      <w:r w:rsidR="00D802DC">
        <w:t xml:space="preserve">percent in </w:t>
      </w:r>
      <w:r w:rsidR="002E2227">
        <w:t>2014</w:t>
      </w:r>
      <w:r w:rsidR="00E15F99">
        <w:t>.</w:t>
      </w:r>
      <w:r w:rsidR="00E15F99" w:rsidRPr="00D264A1">
        <w:t xml:space="preserve"> </w:t>
      </w:r>
    </w:p>
    <w:p w14:paraId="77FE3A3F" w14:textId="031F8F6C" w:rsidR="00C5511E" w:rsidRDefault="00F2271C" w:rsidP="00D727BF">
      <w:pPr>
        <w:pStyle w:val="Bullets"/>
        <w:numPr>
          <w:ilvl w:val="0"/>
          <w:numId w:val="2"/>
        </w:numPr>
        <w:tabs>
          <w:tab w:val="left" w:pos="720"/>
        </w:tabs>
        <w:spacing w:after="120"/>
        <w:ind w:left="720" w:hanging="720"/>
        <w:rPr>
          <w:rFonts w:eastAsia="Times New Roman"/>
        </w:rPr>
      </w:pPr>
      <w:r>
        <w:t xml:space="preserve">Second, oil exports account for about 95 percent of foreign earnings and about 70 percent of government revenues. As a </w:t>
      </w:r>
      <w:r w:rsidR="000D26C7">
        <w:t>result</w:t>
      </w:r>
      <w:r>
        <w:t xml:space="preserve">, </w:t>
      </w:r>
      <w:r w:rsidRPr="006639CA">
        <w:rPr>
          <w:rFonts w:eastAsia="Times New Roman"/>
        </w:rPr>
        <w:t>Nigeria</w:t>
      </w:r>
      <w:r w:rsidR="00863D16">
        <w:rPr>
          <w:rFonts w:eastAsia="Times New Roman"/>
        </w:rPr>
        <w:t>’</w:t>
      </w:r>
      <w:r w:rsidRPr="006639CA">
        <w:rPr>
          <w:rFonts w:eastAsia="Times New Roman"/>
        </w:rPr>
        <w:t>s balance of payments has exhibited significant volatility in recent years</w:t>
      </w:r>
      <w:r w:rsidR="00D802DC">
        <w:rPr>
          <w:rFonts w:eastAsia="Times New Roman"/>
        </w:rPr>
        <w:t xml:space="preserve">, </w:t>
      </w:r>
      <w:r w:rsidR="000D26C7">
        <w:rPr>
          <w:rFonts w:eastAsia="Times New Roman"/>
        </w:rPr>
        <w:t xml:space="preserve">a situation </w:t>
      </w:r>
      <w:r w:rsidR="00D802DC">
        <w:rPr>
          <w:rFonts w:eastAsia="Times New Roman"/>
        </w:rPr>
        <w:t xml:space="preserve">exacerbated by economic policy and political factors. </w:t>
      </w:r>
      <w:r w:rsidR="009D082D" w:rsidRPr="00D264A1">
        <w:rPr>
          <w:rFonts w:eastAsia="Times New Roman"/>
        </w:rPr>
        <w:t>Gross foreign reserves</w:t>
      </w:r>
      <w:r w:rsidR="00D802DC">
        <w:rPr>
          <w:rFonts w:eastAsia="Times New Roman"/>
        </w:rPr>
        <w:t>,</w:t>
      </w:r>
      <w:r w:rsidR="009D082D" w:rsidRPr="00D264A1">
        <w:rPr>
          <w:rFonts w:eastAsia="Times New Roman"/>
        </w:rPr>
        <w:t xml:space="preserve"> at US$29 billion</w:t>
      </w:r>
      <w:r w:rsidR="00D802DC">
        <w:rPr>
          <w:rFonts w:eastAsia="Times New Roman"/>
        </w:rPr>
        <w:t>,</w:t>
      </w:r>
      <w:r w:rsidR="009D082D" w:rsidRPr="00D264A1">
        <w:rPr>
          <w:rFonts w:eastAsia="Times New Roman"/>
        </w:rPr>
        <w:t xml:space="preserve"> are currently at their lowest level in recent years</w:t>
      </w:r>
      <w:r w:rsidR="00044DA0">
        <w:rPr>
          <w:rFonts w:eastAsia="Times New Roman"/>
        </w:rPr>
        <w:t xml:space="preserve"> and provide</w:t>
      </w:r>
      <w:r w:rsidR="009D082D" w:rsidRPr="00D264A1">
        <w:rPr>
          <w:rFonts w:eastAsia="Times New Roman"/>
        </w:rPr>
        <w:t xml:space="preserve"> </w:t>
      </w:r>
      <w:r w:rsidR="00044DA0">
        <w:rPr>
          <w:rFonts w:eastAsia="Times New Roman"/>
        </w:rPr>
        <w:t xml:space="preserve">just </w:t>
      </w:r>
      <w:r w:rsidR="0027605D">
        <w:rPr>
          <w:rFonts w:eastAsia="Times New Roman"/>
        </w:rPr>
        <w:t xml:space="preserve">six </w:t>
      </w:r>
      <w:r w:rsidR="009D082D" w:rsidRPr="00D264A1">
        <w:rPr>
          <w:rFonts w:eastAsia="Times New Roman"/>
        </w:rPr>
        <w:t>months</w:t>
      </w:r>
      <w:r w:rsidR="0027605D">
        <w:rPr>
          <w:rFonts w:eastAsia="Times New Roman"/>
        </w:rPr>
        <w:t>’</w:t>
      </w:r>
      <w:r w:rsidR="009D082D" w:rsidRPr="00D264A1">
        <w:rPr>
          <w:rFonts w:eastAsia="Times New Roman"/>
        </w:rPr>
        <w:t xml:space="preserve"> cover </w:t>
      </w:r>
      <w:r w:rsidR="000D26C7">
        <w:rPr>
          <w:rFonts w:eastAsia="Times New Roman"/>
        </w:rPr>
        <w:t xml:space="preserve">for imports of </w:t>
      </w:r>
      <w:r w:rsidR="009D082D" w:rsidRPr="00D264A1">
        <w:rPr>
          <w:rFonts w:eastAsia="Times New Roman"/>
        </w:rPr>
        <w:t>goods and services.</w:t>
      </w:r>
      <w:r w:rsidR="00F428F9">
        <w:rPr>
          <w:rFonts w:eastAsia="Times New Roman"/>
        </w:rPr>
        <w:t xml:space="preserve"> </w:t>
      </w:r>
      <w:r w:rsidR="00EB2623">
        <w:rPr>
          <w:rFonts w:eastAsia="Times New Roman"/>
        </w:rPr>
        <w:t>However, s</w:t>
      </w:r>
      <w:r w:rsidR="009D082D" w:rsidRPr="00D264A1">
        <w:rPr>
          <w:rFonts w:eastAsia="Times New Roman"/>
        </w:rPr>
        <w:t xml:space="preserve">ince official statistics </w:t>
      </w:r>
      <w:r w:rsidR="00EB2623">
        <w:rPr>
          <w:rFonts w:eastAsia="Times New Roman"/>
        </w:rPr>
        <w:t xml:space="preserve">are widely considered to </w:t>
      </w:r>
      <w:r w:rsidR="009D082D" w:rsidRPr="00D264A1">
        <w:rPr>
          <w:rFonts w:eastAsia="Times New Roman"/>
        </w:rPr>
        <w:t>underestimate imports</w:t>
      </w:r>
      <w:r w:rsidR="00D802DC">
        <w:rPr>
          <w:rFonts w:eastAsia="Times New Roman"/>
        </w:rPr>
        <w:t>,</w:t>
      </w:r>
      <w:r w:rsidR="009D082D" w:rsidRPr="00D264A1">
        <w:rPr>
          <w:rFonts w:eastAsia="Times New Roman"/>
        </w:rPr>
        <w:t xml:space="preserve"> actual import cover is probably closer to </w:t>
      </w:r>
      <w:r w:rsidR="0027605D">
        <w:rPr>
          <w:rFonts w:eastAsia="Times New Roman"/>
        </w:rPr>
        <w:t xml:space="preserve">four </w:t>
      </w:r>
      <w:r w:rsidR="00044DA0">
        <w:rPr>
          <w:rFonts w:eastAsia="Times New Roman"/>
        </w:rPr>
        <w:t xml:space="preserve">to </w:t>
      </w:r>
      <w:r w:rsidR="0027605D">
        <w:rPr>
          <w:rFonts w:eastAsia="Times New Roman"/>
        </w:rPr>
        <w:t>five</w:t>
      </w:r>
      <w:r w:rsidR="0027605D" w:rsidRPr="00D264A1">
        <w:rPr>
          <w:rFonts w:eastAsia="Times New Roman"/>
        </w:rPr>
        <w:t xml:space="preserve"> </w:t>
      </w:r>
      <w:r w:rsidR="009D082D" w:rsidRPr="00D264A1">
        <w:rPr>
          <w:rFonts w:eastAsia="Times New Roman"/>
        </w:rPr>
        <w:t>months.</w:t>
      </w:r>
      <w:r w:rsidR="00F428F9">
        <w:rPr>
          <w:rFonts w:eastAsia="Times New Roman"/>
        </w:rPr>
        <w:t xml:space="preserve"> </w:t>
      </w:r>
    </w:p>
    <w:p w14:paraId="6F0D75C0" w14:textId="39794108" w:rsidR="00F06C67" w:rsidRPr="00D264A1" w:rsidRDefault="00F06C67" w:rsidP="00D727BF">
      <w:pPr>
        <w:pStyle w:val="Bullets"/>
        <w:numPr>
          <w:ilvl w:val="0"/>
          <w:numId w:val="2"/>
        </w:numPr>
        <w:tabs>
          <w:tab w:val="left" w:pos="720"/>
        </w:tabs>
        <w:spacing w:after="120"/>
        <w:ind w:left="720" w:hanging="720"/>
      </w:pPr>
      <w:r>
        <w:lastRenderedPageBreak/>
        <w:t xml:space="preserve">Third, adjustments in economic policy </w:t>
      </w:r>
      <w:r w:rsidR="00044DA0">
        <w:t>in response to the</w:t>
      </w:r>
      <w:r>
        <w:t xml:space="preserve"> drop in oil prices</w:t>
      </w:r>
      <w:r w:rsidR="00D802DC">
        <w:t xml:space="preserve"> have had limited impact. </w:t>
      </w:r>
      <w:r>
        <w:t>T</w:t>
      </w:r>
      <w:r w:rsidRPr="00D264A1">
        <w:t xml:space="preserve">he burden of the fuel subsidy, which increases with the oil price, has been consistently very high, costing the </w:t>
      </w:r>
      <w:r w:rsidR="0027605D">
        <w:t>g</w:t>
      </w:r>
      <w:r w:rsidRPr="00D264A1">
        <w:t>overnment close to US$30 billion since 2011.</w:t>
      </w:r>
      <w:r w:rsidR="00F428F9">
        <w:t xml:space="preserve"> </w:t>
      </w:r>
      <w:r w:rsidRPr="00D264A1">
        <w:t xml:space="preserve">The </w:t>
      </w:r>
      <w:r w:rsidR="0027605D">
        <w:t>g</w:t>
      </w:r>
      <w:r w:rsidRPr="00D264A1">
        <w:t>overnment tried to eliminate the fuel subsidy in early 2012, but growing civil unrest finally led to its reinstatement with a 50</w:t>
      </w:r>
      <w:r w:rsidR="0027605D">
        <w:t xml:space="preserve"> </w:t>
      </w:r>
      <w:r w:rsidRPr="00D264A1">
        <w:t>percent reduction.</w:t>
      </w:r>
      <w:r w:rsidR="00F428F9">
        <w:t xml:space="preserve"> </w:t>
      </w:r>
      <w:r w:rsidRPr="00D264A1">
        <w:t xml:space="preserve">As part of this agreement, a </w:t>
      </w:r>
      <w:r w:rsidR="00EB2623">
        <w:t>significant</w:t>
      </w:r>
      <w:r w:rsidR="00EB2623" w:rsidRPr="00D264A1">
        <w:t xml:space="preserve"> </w:t>
      </w:r>
      <w:r w:rsidRPr="00D264A1">
        <w:t xml:space="preserve">portion of the savings </w:t>
      </w:r>
      <w:r w:rsidR="00EB2623">
        <w:t xml:space="preserve">generated </w:t>
      </w:r>
      <w:r w:rsidRPr="00D264A1">
        <w:t xml:space="preserve">from this reduction </w:t>
      </w:r>
      <w:r w:rsidR="00EB2623">
        <w:t xml:space="preserve">have </w:t>
      </w:r>
      <w:r w:rsidRPr="00D264A1">
        <w:t>gone to financ</w:t>
      </w:r>
      <w:r w:rsidR="00EB2623">
        <w:t xml:space="preserve">e </w:t>
      </w:r>
      <w:r w:rsidRPr="00D264A1">
        <w:t>special extra-budgetary programs under the Subsidy Reinvestment Program (SURE-P).</w:t>
      </w:r>
      <w:r w:rsidR="00F428F9">
        <w:t xml:space="preserve"> </w:t>
      </w:r>
    </w:p>
    <w:p w14:paraId="726B321F" w14:textId="58CE456F" w:rsidR="00C5511E" w:rsidRDefault="00F06C67" w:rsidP="00D727BF">
      <w:pPr>
        <w:pStyle w:val="Bullets"/>
        <w:numPr>
          <w:ilvl w:val="0"/>
          <w:numId w:val="2"/>
        </w:numPr>
        <w:tabs>
          <w:tab w:val="left" w:pos="720"/>
        </w:tabs>
        <w:spacing w:after="120"/>
        <w:ind w:left="720" w:hanging="720"/>
        <w:rPr>
          <w:rFonts w:eastAsia="Times New Roman"/>
        </w:rPr>
      </w:pPr>
      <w:r>
        <w:t>Fourth</w:t>
      </w:r>
      <w:r w:rsidR="00F2271C">
        <w:t>, w</w:t>
      </w:r>
      <w:r w:rsidR="00F2271C" w:rsidRPr="00D264A1">
        <w:rPr>
          <w:rFonts w:eastAsia="Times New Roman"/>
        </w:rPr>
        <w:t xml:space="preserve">ith the ECA almost depleted, the sharp drop in oil prices has severely strained </w:t>
      </w:r>
      <w:r w:rsidR="00D802DC">
        <w:rPr>
          <w:rFonts w:eastAsia="Times New Roman"/>
        </w:rPr>
        <w:t>f</w:t>
      </w:r>
      <w:r w:rsidR="00F2271C" w:rsidRPr="00D264A1">
        <w:rPr>
          <w:rFonts w:eastAsia="Times New Roman"/>
        </w:rPr>
        <w:t xml:space="preserve">ederal and </w:t>
      </w:r>
      <w:r w:rsidR="00D802DC">
        <w:rPr>
          <w:rFonts w:eastAsia="Times New Roman"/>
        </w:rPr>
        <w:t>s</w:t>
      </w:r>
      <w:r w:rsidR="00F2271C" w:rsidRPr="00D264A1">
        <w:rPr>
          <w:rFonts w:eastAsia="Times New Roman"/>
        </w:rPr>
        <w:t xml:space="preserve">tate </w:t>
      </w:r>
      <w:r w:rsidR="00D802DC">
        <w:rPr>
          <w:rFonts w:eastAsia="Times New Roman"/>
        </w:rPr>
        <w:t>b</w:t>
      </w:r>
      <w:r w:rsidR="00F2271C" w:rsidRPr="00D264A1">
        <w:rPr>
          <w:rFonts w:eastAsia="Times New Roman"/>
        </w:rPr>
        <w:t xml:space="preserve">udgets, resulting in significant </w:t>
      </w:r>
      <w:r w:rsidR="00EB2623">
        <w:rPr>
          <w:rFonts w:eastAsia="Times New Roman"/>
        </w:rPr>
        <w:t xml:space="preserve">budget </w:t>
      </w:r>
      <w:r w:rsidR="00F2271C" w:rsidRPr="00D264A1">
        <w:rPr>
          <w:rFonts w:eastAsia="Times New Roman"/>
        </w:rPr>
        <w:t xml:space="preserve">cuts, particularly to capital expenditures. </w:t>
      </w:r>
      <w:r w:rsidR="00D802DC">
        <w:rPr>
          <w:rFonts w:eastAsia="Times New Roman"/>
        </w:rPr>
        <w:t>W</w:t>
      </w:r>
      <w:r w:rsidR="00F2271C" w:rsidRPr="00D264A1">
        <w:rPr>
          <w:rFonts w:eastAsia="Times New Roman"/>
        </w:rPr>
        <w:t xml:space="preserve">ith </w:t>
      </w:r>
      <w:r w:rsidR="00EB2623">
        <w:rPr>
          <w:rFonts w:eastAsia="Times New Roman"/>
        </w:rPr>
        <w:t xml:space="preserve">2014 </w:t>
      </w:r>
      <w:r w:rsidR="00F2271C" w:rsidRPr="00D264A1">
        <w:rPr>
          <w:rFonts w:eastAsia="Times New Roman"/>
        </w:rPr>
        <w:t xml:space="preserve">oil revenues </w:t>
      </w:r>
      <w:r w:rsidR="00956045">
        <w:rPr>
          <w:rFonts w:eastAsia="Times New Roman"/>
        </w:rPr>
        <w:t>6</w:t>
      </w:r>
      <w:r w:rsidR="00956045" w:rsidRPr="00D264A1">
        <w:rPr>
          <w:rFonts w:eastAsia="Times New Roman"/>
        </w:rPr>
        <w:t xml:space="preserve"> </w:t>
      </w:r>
      <w:r w:rsidR="00F2271C" w:rsidRPr="00D264A1">
        <w:rPr>
          <w:rFonts w:eastAsia="Times New Roman"/>
        </w:rPr>
        <w:t xml:space="preserve">percent below </w:t>
      </w:r>
      <w:r w:rsidR="00D802DC">
        <w:rPr>
          <w:rFonts w:eastAsia="Times New Roman"/>
        </w:rPr>
        <w:t>projection,</w:t>
      </w:r>
      <w:r w:rsidR="00F2271C" w:rsidRPr="00D264A1">
        <w:rPr>
          <w:rFonts w:eastAsia="Times New Roman"/>
          <w:vertAlign w:val="superscript"/>
        </w:rPr>
        <w:footnoteReference w:id="9"/>
      </w:r>
      <w:r w:rsidR="00F2271C">
        <w:t xml:space="preserve"> </w:t>
      </w:r>
      <w:r w:rsidR="00D802DC">
        <w:t>f</w:t>
      </w:r>
      <w:r w:rsidR="00D802DC" w:rsidRPr="00D264A1">
        <w:rPr>
          <w:rFonts w:eastAsia="Times New Roman"/>
        </w:rPr>
        <w:t xml:space="preserve">ederal </w:t>
      </w:r>
      <w:r w:rsidR="00D802DC">
        <w:rPr>
          <w:rFonts w:eastAsia="Times New Roman"/>
        </w:rPr>
        <w:t>g</w:t>
      </w:r>
      <w:r w:rsidR="00D802DC" w:rsidRPr="00D264A1">
        <w:rPr>
          <w:rFonts w:eastAsia="Times New Roman"/>
        </w:rPr>
        <w:t>overnment revenues were</w:t>
      </w:r>
      <w:r w:rsidR="00D802DC">
        <w:t xml:space="preserve"> </w:t>
      </w:r>
      <w:r w:rsidR="00D802DC" w:rsidRPr="00D264A1">
        <w:rPr>
          <w:rFonts w:eastAsia="Times New Roman"/>
        </w:rPr>
        <w:t xml:space="preserve">15 percent below </w:t>
      </w:r>
      <w:r w:rsidR="00D802DC">
        <w:rPr>
          <w:rFonts w:eastAsia="Times New Roman"/>
        </w:rPr>
        <w:t xml:space="preserve">those </w:t>
      </w:r>
      <w:r w:rsidR="00956045">
        <w:rPr>
          <w:rFonts w:eastAsia="Times New Roman"/>
        </w:rPr>
        <w:t xml:space="preserve">projected </w:t>
      </w:r>
      <w:r w:rsidR="00D802DC">
        <w:rPr>
          <w:rFonts w:eastAsia="Times New Roman"/>
        </w:rPr>
        <w:t>in the budget.</w:t>
      </w:r>
      <w:r w:rsidR="00F428F9">
        <w:rPr>
          <w:rFonts w:eastAsia="Times New Roman"/>
        </w:rPr>
        <w:t xml:space="preserve"> </w:t>
      </w:r>
      <w:r w:rsidR="00F2271C" w:rsidRPr="00D264A1">
        <w:rPr>
          <w:rFonts w:eastAsia="Times New Roman"/>
        </w:rPr>
        <w:t xml:space="preserve">In response to this decline, the </w:t>
      </w:r>
      <w:r w:rsidR="00271F21">
        <w:rPr>
          <w:rFonts w:eastAsia="Times New Roman"/>
        </w:rPr>
        <w:t>f</w:t>
      </w:r>
      <w:r w:rsidR="00F2271C" w:rsidRPr="00D264A1">
        <w:rPr>
          <w:rFonts w:eastAsia="Times New Roman"/>
        </w:rPr>
        <w:t xml:space="preserve">ederal </w:t>
      </w:r>
      <w:r w:rsidR="00D802DC">
        <w:rPr>
          <w:rFonts w:eastAsia="Times New Roman"/>
        </w:rPr>
        <w:t>g</w:t>
      </w:r>
      <w:r w:rsidR="00F2271C" w:rsidRPr="00D264A1">
        <w:rPr>
          <w:rFonts w:eastAsia="Times New Roman"/>
        </w:rPr>
        <w:t>overnment significantly reduced capital expenditure</w:t>
      </w:r>
      <w:r w:rsidR="004707A6">
        <w:rPr>
          <w:rFonts w:eastAsia="Times New Roman"/>
        </w:rPr>
        <w:t xml:space="preserve"> </w:t>
      </w:r>
      <w:r w:rsidR="004707A6" w:rsidRPr="00D264A1">
        <w:rPr>
          <w:rFonts w:eastAsia="Times New Roman"/>
        </w:rPr>
        <w:t xml:space="preserve">outlays </w:t>
      </w:r>
      <w:r w:rsidR="00F2271C" w:rsidRPr="00D264A1">
        <w:rPr>
          <w:rFonts w:eastAsia="Times New Roman"/>
        </w:rPr>
        <w:t>in 2014</w:t>
      </w:r>
      <w:r w:rsidR="009F275D">
        <w:rPr>
          <w:rFonts w:eastAsia="Times New Roman"/>
        </w:rPr>
        <w:t>.</w:t>
      </w:r>
      <w:r w:rsidR="00F2271C" w:rsidRPr="00D264A1">
        <w:rPr>
          <w:rFonts w:eastAsia="Times New Roman"/>
        </w:rPr>
        <w:t xml:space="preserve"> </w:t>
      </w:r>
      <w:r w:rsidR="00C5511E">
        <w:t xml:space="preserve">As a result, </w:t>
      </w:r>
      <w:r w:rsidR="00F2271C" w:rsidRPr="00D264A1">
        <w:rPr>
          <w:rFonts w:eastAsia="Times New Roman"/>
        </w:rPr>
        <w:t xml:space="preserve">the 2015 total approved budget is </w:t>
      </w:r>
      <w:r w:rsidR="00271F21">
        <w:rPr>
          <w:rFonts w:eastAsia="Times New Roman"/>
        </w:rPr>
        <w:t>4</w:t>
      </w:r>
      <w:r w:rsidR="00271F21" w:rsidRPr="00D264A1">
        <w:rPr>
          <w:rFonts w:eastAsia="Times New Roman"/>
        </w:rPr>
        <w:t xml:space="preserve"> </w:t>
      </w:r>
      <w:r w:rsidR="00F2271C" w:rsidRPr="00D264A1">
        <w:rPr>
          <w:rFonts w:eastAsia="Times New Roman"/>
        </w:rPr>
        <w:t>percent lower than the budget approved in 2014 in nominal terms.</w:t>
      </w:r>
      <w:r w:rsidR="004707A6">
        <w:t xml:space="preserve"> S</w:t>
      </w:r>
      <w:r w:rsidR="00C5511E">
        <w:t>o far,</w:t>
      </w:r>
      <w:r w:rsidR="00F2271C" w:rsidRPr="00D264A1">
        <w:rPr>
          <w:rFonts w:eastAsia="Times New Roman"/>
        </w:rPr>
        <w:t xml:space="preserve"> allocations to key sectors such as education and health have been protected. </w:t>
      </w:r>
    </w:p>
    <w:p w14:paraId="156EB458" w14:textId="7250FEAC" w:rsidR="00F2271C" w:rsidRPr="00D264A1" w:rsidRDefault="00C5511E" w:rsidP="00D727BF">
      <w:pPr>
        <w:pStyle w:val="Bullets"/>
        <w:numPr>
          <w:ilvl w:val="0"/>
          <w:numId w:val="2"/>
        </w:numPr>
        <w:tabs>
          <w:tab w:val="left" w:pos="720"/>
        </w:tabs>
        <w:ind w:left="720" w:hanging="720"/>
        <w:rPr>
          <w:rFonts w:eastAsia="Times New Roman"/>
        </w:rPr>
      </w:pPr>
      <w:r>
        <w:t>F</w:t>
      </w:r>
      <w:r w:rsidR="00F06C67">
        <w:t>ift</w:t>
      </w:r>
      <w:r>
        <w:t xml:space="preserve">h, </w:t>
      </w:r>
      <w:r w:rsidRPr="008A3F3E">
        <w:rPr>
          <w:rFonts w:eastAsia="Times New Roman"/>
        </w:rPr>
        <w:t xml:space="preserve">Nigerian </w:t>
      </w:r>
      <w:r w:rsidR="009F275D">
        <w:rPr>
          <w:rFonts w:eastAsia="Times New Roman"/>
        </w:rPr>
        <w:t>s</w:t>
      </w:r>
      <w:r w:rsidRPr="008A3F3E">
        <w:rPr>
          <w:rFonts w:eastAsia="Times New Roman"/>
        </w:rPr>
        <w:t xml:space="preserve">tates have been </w:t>
      </w:r>
      <w:r w:rsidR="004707A6">
        <w:rPr>
          <w:rFonts w:eastAsia="Times New Roman"/>
        </w:rPr>
        <w:t>severely affected</w:t>
      </w:r>
      <w:r w:rsidRPr="008A3F3E">
        <w:rPr>
          <w:rFonts w:eastAsia="Times New Roman"/>
        </w:rPr>
        <w:t xml:space="preserve"> by the oil price shock</w:t>
      </w:r>
      <w:r w:rsidR="009F275D">
        <w:rPr>
          <w:rFonts w:eastAsia="Times New Roman"/>
        </w:rPr>
        <w:t>. M</w:t>
      </w:r>
      <w:r w:rsidRPr="00D264A1">
        <w:rPr>
          <w:rFonts w:eastAsia="Times New Roman"/>
        </w:rPr>
        <w:t xml:space="preserve">ost states depend on Federation Account (mostly oil) allocations for the vast majority of their budgetary </w:t>
      </w:r>
      <w:r w:rsidR="009F275D" w:rsidRPr="00D264A1">
        <w:rPr>
          <w:rFonts w:eastAsia="Times New Roman"/>
        </w:rPr>
        <w:t>revenues</w:t>
      </w:r>
      <w:r w:rsidR="009F275D">
        <w:rPr>
          <w:rFonts w:eastAsia="Times New Roman"/>
        </w:rPr>
        <w:t xml:space="preserve">, and </w:t>
      </w:r>
      <w:r w:rsidRPr="00D264A1">
        <w:rPr>
          <w:rFonts w:eastAsia="Times New Roman"/>
        </w:rPr>
        <w:t>have therefore been compelled to tighten their budgets substantially.</w:t>
      </w:r>
      <w:r w:rsidR="00F428F9">
        <w:rPr>
          <w:rFonts w:eastAsia="Times New Roman"/>
        </w:rPr>
        <w:t xml:space="preserve"> </w:t>
      </w:r>
      <w:r w:rsidRPr="00D264A1">
        <w:rPr>
          <w:rFonts w:eastAsia="Times New Roman"/>
        </w:rPr>
        <w:t xml:space="preserve">Given the nature of the revenue sharing rule, the extent of the decline in oil revenues accruable to the </w:t>
      </w:r>
      <w:r w:rsidR="00E34FF9">
        <w:rPr>
          <w:rFonts w:eastAsia="Times New Roman"/>
        </w:rPr>
        <w:t>f</w:t>
      </w:r>
      <w:r w:rsidRPr="00D264A1">
        <w:rPr>
          <w:rFonts w:eastAsia="Times New Roman"/>
        </w:rPr>
        <w:t xml:space="preserve">ederal </w:t>
      </w:r>
      <w:r w:rsidR="009F275D">
        <w:rPr>
          <w:rFonts w:eastAsia="Times New Roman"/>
        </w:rPr>
        <w:t>g</w:t>
      </w:r>
      <w:r w:rsidRPr="00D264A1">
        <w:rPr>
          <w:rFonts w:eastAsia="Times New Roman"/>
        </w:rPr>
        <w:t>overnment</w:t>
      </w:r>
      <w:r>
        <w:rPr>
          <w:rFonts w:eastAsia="Times New Roman"/>
        </w:rPr>
        <w:t xml:space="preserve"> is</w:t>
      </w:r>
      <w:r w:rsidRPr="00D264A1">
        <w:rPr>
          <w:rFonts w:eastAsia="Times New Roman"/>
        </w:rPr>
        <w:t xml:space="preserve"> identical for most Nigerian </w:t>
      </w:r>
      <w:r w:rsidR="00E34FF9">
        <w:rPr>
          <w:rFonts w:eastAsia="Times New Roman"/>
        </w:rPr>
        <w:t>s</w:t>
      </w:r>
      <w:r w:rsidRPr="00D264A1">
        <w:rPr>
          <w:rFonts w:eastAsia="Times New Roman"/>
        </w:rPr>
        <w:t xml:space="preserve">tates. For the oil-producing </w:t>
      </w:r>
      <w:r w:rsidR="009F275D">
        <w:rPr>
          <w:rFonts w:eastAsia="Times New Roman"/>
        </w:rPr>
        <w:t>s</w:t>
      </w:r>
      <w:r w:rsidRPr="00D264A1">
        <w:rPr>
          <w:rFonts w:eastAsia="Times New Roman"/>
        </w:rPr>
        <w:t>tates, the decline is even greater.</w:t>
      </w:r>
      <w:r w:rsidR="00F428F9">
        <w:rPr>
          <w:rFonts w:eastAsia="Times New Roman"/>
        </w:rPr>
        <w:t xml:space="preserve"> </w:t>
      </w:r>
      <w:r w:rsidR="009F275D">
        <w:rPr>
          <w:rFonts w:eastAsia="Times New Roman"/>
        </w:rPr>
        <w:t>Further, m</w:t>
      </w:r>
      <w:r w:rsidRPr="00D264A1">
        <w:rPr>
          <w:rFonts w:eastAsia="Times New Roman"/>
        </w:rPr>
        <w:t xml:space="preserve">ost </w:t>
      </w:r>
      <w:r w:rsidR="009F275D">
        <w:rPr>
          <w:rFonts w:eastAsia="Times New Roman"/>
        </w:rPr>
        <w:t>s</w:t>
      </w:r>
      <w:r w:rsidRPr="00D264A1">
        <w:rPr>
          <w:rFonts w:eastAsia="Times New Roman"/>
        </w:rPr>
        <w:t xml:space="preserve">tates have limited capacity to borrow, and require </w:t>
      </w:r>
      <w:r w:rsidR="009F275D">
        <w:rPr>
          <w:rFonts w:eastAsia="Times New Roman"/>
        </w:rPr>
        <w:t>f</w:t>
      </w:r>
      <w:r w:rsidRPr="00D264A1">
        <w:rPr>
          <w:rFonts w:eastAsia="Times New Roman"/>
        </w:rPr>
        <w:t xml:space="preserve">ederal </w:t>
      </w:r>
      <w:r w:rsidR="009F275D">
        <w:rPr>
          <w:rFonts w:eastAsia="Times New Roman"/>
        </w:rPr>
        <w:t xml:space="preserve">government </w:t>
      </w:r>
      <w:r w:rsidRPr="00D264A1">
        <w:rPr>
          <w:rFonts w:eastAsia="Times New Roman"/>
        </w:rPr>
        <w:t xml:space="preserve">approval for any foreign borrowing. There are reports that more than </w:t>
      </w:r>
      <w:r w:rsidR="0023354A">
        <w:rPr>
          <w:rFonts w:eastAsia="Times New Roman"/>
        </w:rPr>
        <w:t>ten</w:t>
      </w:r>
      <w:r w:rsidRPr="00D264A1">
        <w:rPr>
          <w:rFonts w:eastAsia="Times New Roman"/>
        </w:rPr>
        <w:t xml:space="preserve"> states have recently accumulat</w:t>
      </w:r>
      <w:r w:rsidR="004707A6">
        <w:rPr>
          <w:rFonts w:eastAsia="Times New Roman"/>
        </w:rPr>
        <w:t xml:space="preserve">ed </w:t>
      </w:r>
      <w:r w:rsidRPr="00D264A1">
        <w:rPr>
          <w:rFonts w:eastAsia="Times New Roman"/>
        </w:rPr>
        <w:t>salary arrears.</w:t>
      </w:r>
      <w:r w:rsidR="00F428F9">
        <w:rPr>
          <w:rFonts w:eastAsia="Times New Roman"/>
        </w:rPr>
        <w:t xml:space="preserve"> </w:t>
      </w:r>
      <w:r w:rsidRPr="00D264A1">
        <w:rPr>
          <w:rFonts w:eastAsia="Times New Roman"/>
        </w:rPr>
        <w:t xml:space="preserve">In addition, </w:t>
      </w:r>
      <w:r w:rsidR="00E34FF9">
        <w:rPr>
          <w:rFonts w:eastAsia="Times New Roman"/>
        </w:rPr>
        <w:t>twenty-five</w:t>
      </w:r>
      <w:r w:rsidR="00E34FF9" w:rsidRPr="00D264A1">
        <w:rPr>
          <w:rFonts w:eastAsia="Times New Roman"/>
        </w:rPr>
        <w:t xml:space="preserve"> </w:t>
      </w:r>
      <w:r w:rsidRPr="00D264A1">
        <w:rPr>
          <w:rFonts w:eastAsia="Times New Roman"/>
        </w:rPr>
        <w:t xml:space="preserve">out of </w:t>
      </w:r>
      <w:r w:rsidR="00E34FF9">
        <w:rPr>
          <w:rFonts w:eastAsia="Times New Roman"/>
        </w:rPr>
        <w:t>thirty-six</w:t>
      </w:r>
      <w:r w:rsidR="00E34FF9" w:rsidRPr="00D264A1">
        <w:rPr>
          <w:rFonts w:eastAsia="Times New Roman"/>
        </w:rPr>
        <w:t xml:space="preserve"> </w:t>
      </w:r>
      <w:r w:rsidRPr="00D264A1">
        <w:rPr>
          <w:rFonts w:eastAsia="Times New Roman"/>
        </w:rPr>
        <w:t>states have passed 2015 budgets that are</w:t>
      </w:r>
      <w:r w:rsidR="009F275D">
        <w:rPr>
          <w:rFonts w:eastAsia="Times New Roman"/>
        </w:rPr>
        <w:t>,</w:t>
      </w:r>
      <w:r w:rsidRPr="00D264A1">
        <w:rPr>
          <w:rFonts w:eastAsia="Times New Roman"/>
        </w:rPr>
        <w:t xml:space="preserve"> in nominal terms, below those approved in 2014. On average, approved state </w:t>
      </w:r>
      <w:r w:rsidR="009F275D">
        <w:rPr>
          <w:rFonts w:eastAsia="Times New Roman"/>
        </w:rPr>
        <w:t>g</w:t>
      </w:r>
      <w:r w:rsidRPr="00D264A1">
        <w:rPr>
          <w:rFonts w:eastAsia="Times New Roman"/>
        </w:rPr>
        <w:t xml:space="preserve">overnment budgets for 2015 are </w:t>
      </w:r>
      <w:r w:rsidR="00E34FF9">
        <w:rPr>
          <w:rFonts w:eastAsia="Times New Roman"/>
        </w:rPr>
        <w:t>10</w:t>
      </w:r>
      <w:r w:rsidR="00E34FF9" w:rsidRPr="00D264A1">
        <w:rPr>
          <w:rFonts w:eastAsia="Times New Roman"/>
        </w:rPr>
        <w:t xml:space="preserve"> </w:t>
      </w:r>
      <w:r w:rsidRPr="00D264A1">
        <w:rPr>
          <w:rFonts w:eastAsia="Times New Roman"/>
        </w:rPr>
        <w:t xml:space="preserve">percent below the approved budgets for 2014. </w:t>
      </w:r>
      <w:r w:rsidR="009F275D">
        <w:rPr>
          <w:rFonts w:eastAsia="Times New Roman"/>
        </w:rPr>
        <w:t xml:space="preserve">The states of </w:t>
      </w:r>
      <w:r w:rsidRPr="00D264A1">
        <w:rPr>
          <w:rFonts w:eastAsia="Times New Roman"/>
        </w:rPr>
        <w:t xml:space="preserve">Rivers and Delta, which are heavily dependent on oil transfers, have made the largest adjustments, with their 2015 approved budgets at 30 percent and 27 percent below those approved for 2014, respectively. </w:t>
      </w:r>
    </w:p>
    <w:p w14:paraId="530948CB" w14:textId="186C868B" w:rsidR="00E15F99" w:rsidRPr="00D264A1" w:rsidRDefault="004E78E7" w:rsidP="00D727BF">
      <w:pPr>
        <w:pStyle w:val="ParagraphNumbering"/>
        <w:numPr>
          <w:ilvl w:val="0"/>
          <w:numId w:val="0"/>
        </w:numPr>
        <w:tabs>
          <w:tab w:val="left" w:pos="720"/>
        </w:tabs>
        <w:spacing w:after="240"/>
        <w:rPr>
          <w:b/>
        </w:rPr>
      </w:pPr>
      <w:bookmarkStart w:id="64" w:name="_Toc387948020"/>
      <w:bookmarkStart w:id="65" w:name="_Toc387948063"/>
      <w:bookmarkStart w:id="66" w:name="_Toc387948133"/>
      <w:bookmarkStart w:id="67" w:name="_Toc387948302"/>
      <w:bookmarkStart w:id="68" w:name="_Toc387948339"/>
      <w:bookmarkStart w:id="69" w:name="_Toc387948374"/>
      <w:bookmarkEnd w:id="64"/>
      <w:bookmarkEnd w:id="65"/>
      <w:bookmarkEnd w:id="66"/>
      <w:bookmarkEnd w:id="67"/>
      <w:bookmarkEnd w:id="68"/>
      <w:bookmarkEnd w:id="69"/>
      <w:r>
        <w:rPr>
          <w:b/>
        </w:rPr>
        <w:tab/>
      </w:r>
      <w:r w:rsidR="009F275D">
        <w:rPr>
          <w:b/>
        </w:rPr>
        <w:t>H</w:t>
      </w:r>
      <w:r w:rsidR="009D679F" w:rsidRPr="002A2785">
        <w:rPr>
          <w:b/>
        </w:rPr>
        <w:t>igh population growth</w:t>
      </w:r>
      <w:r w:rsidR="00E15F99">
        <w:rPr>
          <w:b/>
        </w:rPr>
        <w:t xml:space="preserve"> and insufficient job creation</w:t>
      </w:r>
      <w:r w:rsidR="009D679F" w:rsidRPr="002A2785">
        <w:rPr>
          <w:b/>
        </w:rPr>
        <w:t xml:space="preserve"> may worsen underemployment and poverty in Nigeria</w:t>
      </w:r>
      <w:r w:rsidR="00E15F99">
        <w:rPr>
          <w:b/>
        </w:rPr>
        <w:t>, especially for the youth</w:t>
      </w:r>
      <w:r w:rsidR="009D679F" w:rsidRPr="002A2785">
        <w:rPr>
          <w:b/>
        </w:rPr>
        <w:t>.</w:t>
      </w:r>
      <w:r w:rsidR="009D679F">
        <w:t xml:space="preserve"> </w:t>
      </w:r>
      <w:r w:rsidR="004707A6" w:rsidRPr="00704D3C">
        <w:t>Nigeria</w:t>
      </w:r>
      <w:r w:rsidR="00863D16">
        <w:t>’</w:t>
      </w:r>
      <w:r w:rsidR="004707A6" w:rsidRPr="00704D3C">
        <w:t>s population pyramid remains dominated by children and youth</w:t>
      </w:r>
      <w:r w:rsidR="00E34FF9">
        <w:t>,</w:t>
      </w:r>
      <w:r w:rsidR="004707A6" w:rsidRPr="00704D3C">
        <w:t xml:space="preserve"> </w:t>
      </w:r>
      <w:r w:rsidR="004707A6">
        <w:t>and</w:t>
      </w:r>
      <w:r w:rsidR="00E34FF9">
        <w:t>,</w:t>
      </w:r>
      <w:r w:rsidR="004707A6">
        <w:t xml:space="preserve"> w</w:t>
      </w:r>
      <w:r w:rsidR="004707A6" w:rsidRPr="00704D3C">
        <w:t xml:space="preserve">ith </w:t>
      </w:r>
      <w:r w:rsidR="00E34FF9">
        <w:t>3</w:t>
      </w:r>
      <w:r w:rsidR="00E34FF9" w:rsidRPr="00704D3C">
        <w:t xml:space="preserve"> </w:t>
      </w:r>
      <w:r w:rsidR="004707A6" w:rsidRPr="00704D3C">
        <w:t xml:space="preserve">percent </w:t>
      </w:r>
      <w:r w:rsidR="004707A6">
        <w:t xml:space="preserve">annual </w:t>
      </w:r>
      <w:r w:rsidR="004707A6" w:rsidRPr="00704D3C">
        <w:t>growth</w:t>
      </w:r>
      <w:r w:rsidR="004707A6">
        <w:t xml:space="preserve"> in the general population</w:t>
      </w:r>
      <w:r w:rsidR="004707A6" w:rsidRPr="00704D3C">
        <w:t xml:space="preserve">, </w:t>
      </w:r>
      <w:r w:rsidR="004707A6">
        <w:t xml:space="preserve">the </w:t>
      </w:r>
      <w:r w:rsidR="004707A6" w:rsidRPr="00704D3C">
        <w:t>working-age population</w:t>
      </w:r>
      <w:r w:rsidR="004707A6">
        <w:t xml:space="preserve"> in Nigeria is growing disproportionately</w:t>
      </w:r>
      <w:r w:rsidR="009D679F">
        <w:t>.</w:t>
      </w:r>
      <w:r w:rsidR="00E15F99">
        <w:rPr>
          <w:rStyle w:val="FootnoteReference"/>
        </w:rPr>
        <w:footnoteReference w:id="10"/>
      </w:r>
      <w:r w:rsidR="00E15F99">
        <w:t xml:space="preserve"> </w:t>
      </w:r>
      <w:r w:rsidR="00E15F99" w:rsidRPr="00D264A1">
        <w:t xml:space="preserve">While explicit unemployment in Nigeria by the ILO definition appears to be well under </w:t>
      </w:r>
      <w:r w:rsidR="00E34FF9">
        <w:t>10</w:t>
      </w:r>
      <w:r w:rsidR="00E34FF9" w:rsidRPr="00D264A1">
        <w:t xml:space="preserve"> </w:t>
      </w:r>
      <w:r w:rsidR="00E15F99" w:rsidRPr="00D264A1">
        <w:t>percent, low</w:t>
      </w:r>
      <w:r w:rsidR="009F275D">
        <w:t>-</w:t>
      </w:r>
      <w:r w:rsidR="00E15F99" w:rsidRPr="00D264A1">
        <w:t>productivity jobs in agriculture and services currently account for the majority of employment.</w:t>
      </w:r>
      <w:r w:rsidR="00F428F9">
        <w:t xml:space="preserve"> </w:t>
      </w:r>
      <w:r w:rsidR="00E15F99">
        <w:t xml:space="preserve">According to the Nigeria Jobs Report (2015), only </w:t>
      </w:r>
      <w:r w:rsidR="0023354A">
        <w:t>nine</w:t>
      </w:r>
      <w:r w:rsidR="00E15F99">
        <w:t xml:space="preserve"> million out </w:t>
      </w:r>
      <w:r w:rsidR="00E34FF9">
        <w:t xml:space="preserve">eighty-seven </w:t>
      </w:r>
      <w:r w:rsidR="00E15F99">
        <w:t>million working</w:t>
      </w:r>
      <w:r w:rsidR="009F275D">
        <w:t>-</w:t>
      </w:r>
      <w:r w:rsidR="00E15F99">
        <w:t xml:space="preserve">age adults are indeed wage workers </w:t>
      </w:r>
      <w:r w:rsidR="009F275D">
        <w:t xml:space="preserve">in </w:t>
      </w:r>
      <w:r w:rsidR="00E15F99">
        <w:t>either the private or the public sector</w:t>
      </w:r>
      <w:r w:rsidR="009F275D">
        <w:t>,</w:t>
      </w:r>
      <w:r w:rsidR="00E15F99">
        <w:t xml:space="preserve"> while the bulk of the population works in agriculture or </w:t>
      </w:r>
      <w:r w:rsidR="009F275D">
        <w:t>is</w:t>
      </w:r>
      <w:r w:rsidR="00E15F99">
        <w:t xml:space="preserve"> self-employed. </w:t>
      </w:r>
      <w:r w:rsidR="00E15F99" w:rsidRPr="00D264A1">
        <w:t xml:space="preserve">The </w:t>
      </w:r>
      <w:r w:rsidR="00E34FF9">
        <w:t>g</w:t>
      </w:r>
      <w:r w:rsidR="00E15F99" w:rsidRPr="00D264A1">
        <w:t xml:space="preserve">overnment </w:t>
      </w:r>
      <w:r w:rsidR="009F275D">
        <w:lastRenderedPageBreak/>
        <w:t>c</w:t>
      </w:r>
      <w:r w:rsidR="00E15F99" w:rsidRPr="00D264A1">
        <w:t>onsider</w:t>
      </w:r>
      <w:r w:rsidR="009F275D">
        <w:t>s</w:t>
      </w:r>
      <w:r w:rsidR="00E15F99" w:rsidRPr="00D264A1">
        <w:t xml:space="preserve"> the shortage of productive jobs to be the most important current challenge </w:t>
      </w:r>
      <w:r w:rsidR="004707A6">
        <w:t xml:space="preserve">for </w:t>
      </w:r>
      <w:r w:rsidR="00E15F99" w:rsidRPr="00D264A1">
        <w:t>the country.</w:t>
      </w:r>
      <w:r w:rsidR="00F428F9">
        <w:t xml:space="preserve"> </w:t>
      </w:r>
      <w:r w:rsidR="009F275D">
        <w:t xml:space="preserve">With a </w:t>
      </w:r>
      <w:r w:rsidR="00E15F99" w:rsidRPr="00D264A1">
        <w:t>population close to 180 million</w:t>
      </w:r>
      <w:r w:rsidR="009F275D">
        <w:t xml:space="preserve"> and a </w:t>
      </w:r>
      <w:r w:rsidR="00E15F99" w:rsidRPr="00D264A1">
        <w:t>median age of fourteen</w:t>
      </w:r>
      <w:r w:rsidR="009F275D">
        <w:t xml:space="preserve">, an </w:t>
      </w:r>
      <w:r w:rsidR="00E15F99" w:rsidRPr="00D264A1">
        <w:t xml:space="preserve">estimated </w:t>
      </w:r>
      <w:r w:rsidR="00E34FF9">
        <w:t>forty</w:t>
      </w:r>
      <w:r w:rsidR="00E34FF9" w:rsidRPr="00D264A1">
        <w:t xml:space="preserve"> </w:t>
      </w:r>
      <w:r w:rsidR="00E15F99" w:rsidRPr="00D264A1">
        <w:t>million new jobs will be needed to absorb labor market entrants by 2030.</w:t>
      </w:r>
      <w:r w:rsidR="00F428F9">
        <w:t xml:space="preserve"> </w:t>
      </w:r>
    </w:p>
    <w:p w14:paraId="263A6FC3" w14:textId="51CD3C60" w:rsidR="002A2785" w:rsidRDefault="004E78E7" w:rsidP="00D727BF">
      <w:pPr>
        <w:pStyle w:val="ParagraphNumbering"/>
        <w:numPr>
          <w:ilvl w:val="0"/>
          <w:numId w:val="0"/>
        </w:numPr>
        <w:tabs>
          <w:tab w:val="left" w:pos="720"/>
        </w:tabs>
        <w:spacing w:after="240"/>
      </w:pPr>
      <w:r>
        <w:rPr>
          <w:b/>
        </w:rPr>
        <w:tab/>
      </w:r>
      <w:r w:rsidR="009D4135">
        <w:rPr>
          <w:b/>
        </w:rPr>
        <w:t>W</w:t>
      </w:r>
      <w:r w:rsidR="002A2785" w:rsidRPr="00980400">
        <w:rPr>
          <w:b/>
        </w:rPr>
        <w:t xml:space="preserve">ith the predominance of </w:t>
      </w:r>
      <w:r w:rsidR="004707A6">
        <w:rPr>
          <w:b/>
        </w:rPr>
        <w:t xml:space="preserve">economic activity occurring in </w:t>
      </w:r>
      <w:r w:rsidR="002A2785" w:rsidRPr="00980400">
        <w:rPr>
          <w:b/>
        </w:rPr>
        <w:t xml:space="preserve">Lagos, </w:t>
      </w:r>
      <w:r w:rsidR="004707A6">
        <w:rPr>
          <w:b/>
        </w:rPr>
        <w:t xml:space="preserve">around </w:t>
      </w:r>
      <w:r w:rsidR="00672197" w:rsidRPr="00980400">
        <w:rPr>
          <w:b/>
        </w:rPr>
        <w:t>oil and gas</w:t>
      </w:r>
      <w:r w:rsidR="002A2785" w:rsidRPr="00980400">
        <w:rPr>
          <w:b/>
        </w:rPr>
        <w:t xml:space="preserve"> </w:t>
      </w:r>
      <w:r w:rsidR="004707A6">
        <w:rPr>
          <w:b/>
        </w:rPr>
        <w:t xml:space="preserve">sources </w:t>
      </w:r>
      <w:r w:rsidR="002A2785" w:rsidRPr="00980400">
        <w:rPr>
          <w:b/>
        </w:rPr>
        <w:t>in the Delta region</w:t>
      </w:r>
      <w:r w:rsidR="0054541E" w:rsidRPr="00980400">
        <w:rPr>
          <w:b/>
        </w:rPr>
        <w:t>,</w:t>
      </w:r>
      <w:r w:rsidR="002A2785" w:rsidRPr="00980400">
        <w:rPr>
          <w:b/>
        </w:rPr>
        <w:t xml:space="preserve"> and a</w:t>
      </w:r>
      <w:r w:rsidR="004707A6">
        <w:rPr>
          <w:b/>
        </w:rPr>
        <w:t xml:space="preserve">long </w:t>
      </w:r>
      <w:r w:rsidR="002A2785" w:rsidRPr="00980400">
        <w:rPr>
          <w:b/>
        </w:rPr>
        <w:t xml:space="preserve">the </w:t>
      </w:r>
      <w:r w:rsidR="00942839">
        <w:rPr>
          <w:b/>
        </w:rPr>
        <w:t>Kano/Kaduna</w:t>
      </w:r>
      <w:r w:rsidR="002A2785" w:rsidRPr="00980400">
        <w:rPr>
          <w:b/>
        </w:rPr>
        <w:t xml:space="preserve"> </w:t>
      </w:r>
      <w:r w:rsidR="00672197" w:rsidRPr="00980400">
        <w:rPr>
          <w:b/>
        </w:rPr>
        <w:t>corridor</w:t>
      </w:r>
      <w:r w:rsidR="004707A6">
        <w:rPr>
          <w:b/>
        </w:rPr>
        <w:t xml:space="preserve">, economic </w:t>
      </w:r>
      <w:r w:rsidR="009D4135">
        <w:rPr>
          <w:b/>
        </w:rPr>
        <w:t>progress in Nigeria</w:t>
      </w:r>
      <w:r w:rsidR="004707A6">
        <w:rPr>
          <w:b/>
        </w:rPr>
        <w:t xml:space="preserve"> has been un</w:t>
      </w:r>
      <w:r w:rsidR="009D4135">
        <w:rPr>
          <w:b/>
        </w:rPr>
        <w:t>even</w:t>
      </w:r>
      <w:r w:rsidR="00672197">
        <w:t xml:space="preserve">. Apart from these specific </w:t>
      </w:r>
      <w:r w:rsidR="009D4135">
        <w:t>regions</w:t>
      </w:r>
      <w:r w:rsidR="00672197">
        <w:t xml:space="preserve">, </w:t>
      </w:r>
      <w:r w:rsidR="009D4135">
        <w:t xml:space="preserve">much of the rest </w:t>
      </w:r>
      <w:r w:rsidR="00672197">
        <w:t xml:space="preserve">of the country has </w:t>
      </w:r>
      <w:r w:rsidR="009D4135">
        <w:t xml:space="preserve">remained </w:t>
      </w:r>
      <w:r w:rsidR="00672197">
        <w:t>economically stagnant</w:t>
      </w:r>
      <w:r w:rsidR="009D4135">
        <w:t xml:space="preserve"> </w:t>
      </w:r>
      <w:r w:rsidR="00672197">
        <w:t>with high poverty rates. As shown in</w:t>
      </w:r>
      <w:r w:rsidR="00C459CE">
        <w:t xml:space="preserve"> </w:t>
      </w:r>
      <w:r w:rsidR="00E34FF9">
        <w:t>m</w:t>
      </w:r>
      <w:r w:rsidR="00956045">
        <w:t>ap 3 below</w:t>
      </w:r>
      <w:r w:rsidR="00672197">
        <w:t xml:space="preserve">, the poorest states are located in the </w:t>
      </w:r>
      <w:r w:rsidR="00E34FF9">
        <w:t>n</w:t>
      </w:r>
      <w:r w:rsidR="00672197">
        <w:t xml:space="preserve">orthern and </w:t>
      </w:r>
      <w:r w:rsidR="00E34FF9">
        <w:t>e</w:t>
      </w:r>
      <w:r w:rsidR="00672197">
        <w:t>a</w:t>
      </w:r>
      <w:r w:rsidR="00C501DA">
        <w:t>stern part</w:t>
      </w:r>
      <w:r w:rsidR="0054541E">
        <w:t>s</w:t>
      </w:r>
      <w:r w:rsidR="00C501DA">
        <w:t xml:space="preserve"> of the country.</w:t>
      </w:r>
      <w:r w:rsidR="00F428F9">
        <w:t xml:space="preserve"> </w:t>
      </w:r>
      <w:r w:rsidR="00956045">
        <w:t xml:space="preserve">Map 4 below </w:t>
      </w:r>
      <w:r w:rsidR="00672197">
        <w:t xml:space="preserve">provides </w:t>
      </w:r>
      <w:r w:rsidR="009D4135">
        <w:t>a snapshot</w:t>
      </w:r>
      <w:r w:rsidR="00672197">
        <w:t xml:space="preserve"> of economic activity in Nigeria using nighttime light intensity as a proxy. </w:t>
      </w:r>
      <w:r w:rsidR="0054541E">
        <w:t>It shows that t</w:t>
      </w:r>
      <w:r w:rsidR="00672197">
        <w:t xml:space="preserve">he </w:t>
      </w:r>
      <w:r w:rsidR="009D61F9">
        <w:t xml:space="preserve">concentration of population and economic activity in the </w:t>
      </w:r>
      <w:r w:rsidR="00672197">
        <w:t>Delta region</w:t>
      </w:r>
      <w:r w:rsidR="009D4135">
        <w:t>,</w:t>
      </w:r>
      <w:r w:rsidR="00672197">
        <w:t xml:space="preserve"> as well as </w:t>
      </w:r>
      <w:r w:rsidR="002E2227">
        <w:t xml:space="preserve">in </w:t>
      </w:r>
      <w:r w:rsidR="00672197">
        <w:t>Lagos</w:t>
      </w:r>
      <w:r w:rsidR="009D61F9">
        <w:t xml:space="preserve"> </w:t>
      </w:r>
      <w:r w:rsidR="00672197">
        <w:t xml:space="preserve">and to a lesser extent </w:t>
      </w:r>
      <w:r w:rsidR="002E2227">
        <w:t xml:space="preserve">in </w:t>
      </w:r>
      <w:r w:rsidR="00672197">
        <w:t>Abuja</w:t>
      </w:r>
      <w:r w:rsidR="0054541E">
        <w:t>,</w:t>
      </w:r>
      <w:r w:rsidR="009D61F9">
        <w:t xml:space="preserve"> is very high when compared to the rest of the country.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857"/>
      </w:tblGrid>
      <w:tr w:rsidR="00672197" w14:paraId="56530BA1" w14:textId="77777777" w:rsidTr="00672197">
        <w:tc>
          <w:tcPr>
            <w:tcW w:w="4788" w:type="dxa"/>
          </w:tcPr>
          <w:p w14:paraId="5A345D43" w14:textId="036D9A42" w:rsidR="008A3BBD" w:rsidRDefault="00C459CE" w:rsidP="00D727BF">
            <w:pPr>
              <w:pStyle w:val="Caption"/>
              <w:keepNext/>
              <w:tabs>
                <w:tab w:val="left" w:pos="720"/>
              </w:tabs>
              <w:ind w:left="20" w:hanging="20"/>
              <w:jc w:val="center"/>
            </w:pPr>
            <w:bookmarkStart w:id="70" w:name="_Ref419358938"/>
            <w:bookmarkStart w:id="71" w:name="_Toc445132404"/>
            <w:r>
              <w:t>Map</w:t>
            </w:r>
            <w:r w:rsidR="008A3BBD">
              <w:t xml:space="preserve"> </w:t>
            </w:r>
            <w:fldSimple w:instr=" SEQ Map \* ARABIC ">
              <w:r w:rsidR="008A3BBD">
                <w:rPr>
                  <w:noProof/>
                </w:rPr>
                <w:t>3</w:t>
              </w:r>
            </w:fldSimple>
            <w:bookmarkEnd w:id="70"/>
            <w:r>
              <w:t xml:space="preserve">: </w:t>
            </w:r>
            <w:r w:rsidRPr="00C459CE">
              <w:t xml:space="preserve">Proportion of Poor </w:t>
            </w:r>
            <w:r w:rsidR="008A3BBD">
              <w:t>H</w:t>
            </w:r>
            <w:r w:rsidR="008A3BBD" w:rsidRPr="00C459CE">
              <w:t>ouseholds</w:t>
            </w:r>
          </w:p>
          <w:p w14:paraId="2ADE416A" w14:textId="6E3C730C" w:rsidR="00C459CE" w:rsidRDefault="00C459CE" w:rsidP="00D727BF">
            <w:pPr>
              <w:pStyle w:val="Caption"/>
              <w:keepNext/>
              <w:tabs>
                <w:tab w:val="left" w:pos="720"/>
              </w:tabs>
              <w:ind w:left="20" w:hanging="20"/>
              <w:jc w:val="center"/>
            </w:pPr>
            <w:r w:rsidRPr="00C459CE">
              <w:t xml:space="preserve">by </w:t>
            </w:r>
            <w:r w:rsidR="008A3BBD">
              <w:t>S</w:t>
            </w:r>
            <w:r w:rsidRPr="00C459CE">
              <w:t>tate</w:t>
            </w:r>
            <w:r w:rsidR="008A3BBD">
              <w:t>,</w:t>
            </w:r>
            <w:r>
              <w:t xml:space="preserve"> 2012</w:t>
            </w:r>
            <w:r w:rsidR="008A3BBD">
              <w:rPr>
                <w:rFonts w:ascii="Calibri" w:hAnsi="Calibri"/>
              </w:rPr>
              <w:t>‒</w:t>
            </w:r>
            <w:r>
              <w:t>13</w:t>
            </w:r>
            <w:bookmarkEnd w:id="71"/>
          </w:p>
          <w:p w14:paraId="2B80547A" w14:textId="77777777" w:rsidR="00672197" w:rsidRDefault="00672197" w:rsidP="00D727BF">
            <w:pPr>
              <w:pStyle w:val="ParagraphNumbering"/>
              <w:numPr>
                <w:ilvl w:val="0"/>
                <w:numId w:val="0"/>
              </w:numPr>
              <w:tabs>
                <w:tab w:val="left" w:pos="720"/>
              </w:tabs>
              <w:autoSpaceDE w:val="0"/>
              <w:autoSpaceDN w:val="0"/>
              <w:adjustRightInd w:val="0"/>
            </w:pPr>
            <w:r w:rsidRPr="00672197">
              <w:rPr>
                <w:noProof/>
              </w:rPr>
              <w:drawing>
                <wp:inline distT="0" distB="0" distL="0" distR="0" wp14:anchorId="5A7CED35" wp14:editId="7891451A">
                  <wp:extent cx="2697817" cy="2147776"/>
                  <wp:effectExtent l="0" t="0" r="7620" b="5080"/>
                  <wp:docPr id="307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4387" cy="2153006"/>
                          </a:xfrm>
                          <a:prstGeom prst="rect">
                            <a:avLst/>
                          </a:prstGeom>
                          <a:noFill/>
                          <a:extLst/>
                        </pic:spPr>
                      </pic:pic>
                    </a:graphicData>
                  </a:graphic>
                </wp:inline>
              </w:drawing>
            </w:r>
          </w:p>
          <w:p w14:paraId="7535A568" w14:textId="18B2A054" w:rsidR="00672197" w:rsidRPr="001845F3" w:rsidRDefault="00672197" w:rsidP="00D727BF">
            <w:pPr>
              <w:pStyle w:val="FootnoteText"/>
              <w:tabs>
                <w:tab w:val="left" w:pos="720"/>
              </w:tabs>
              <w:rPr>
                <w:rFonts w:ascii="Times New Roman" w:hAnsi="Times New Roman"/>
              </w:rPr>
            </w:pPr>
            <w:r w:rsidRPr="001845F3">
              <w:rPr>
                <w:rFonts w:ascii="Times New Roman" w:hAnsi="Times New Roman"/>
              </w:rPr>
              <w:t>Source: GHS dataset (2012</w:t>
            </w:r>
            <w:r w:rsidR="008A3BBD">
              <w:rPr>
                <w:rFonts w:ascii="Calibri" w:hAnsi="Calibri"/>
              </w:rPr>
              <w:t>‒</w:t>
            </w:r>
            <w:r w:rsidRPr="001845F3">
              <w:rPr>
                <w:rFonts w:ascii="Times New Roman" w:hAnsi="Times New Roman"/>
              </w:rPr>
              <w:t>2013)</w:t>
            </w:r>
          </w:p>
        </w:tc>
        <w:tc>
          <w:tcPr>
            <w:tcW w:w="4788" w:type="dxa"/>
          </w:tcPr>
          <w:p w14:paraId="261785DD" w14:textId="17BD8259" w:rsidR="004312CF" w:rsidRDefault="004312CF" w:rsidP="00D727BF">
            <w:pPr>
              <w:pStyle w:val="Caption"/>
              <w:keepNext/>
              <w:tabs>
                <w:tab w:val="left" w:pos="720"/>
              </w:tabs>
              <w:jc w:val="center"/>
            </w:pPr>
            <w:bookmarkStart w:id="72" w:name="_Ref429836346"/>
            <w:bookmarkStart w:id="73" w:name="_Toc445132405"/>
            <w:r>
              <w:t xml:space="preserve">Map </w:t>
            </w:r>
            <w:fldSimple w:instr=" SEQ Map \* ARABIC ">
              <w:r w:rsidR="008A3BBD">
                <w:rPr>
                  <w:noProof/>
                </w:rPr>
                <w:t>4</w:t>
              </w:r>
            </w:fldSimple>
            <w:bookmarkEnd w:id="72"/>
            <w:r>
              <w:t>:</w:t>
            </w:r>
            <w:r w:rsidRPr="00C459CE">
              <w:t xml:space="preserve"> Nighttime </w:t>
            </w:r>
            <w:r w:rsidR="008A3BBD">
              <w:t>L</w:t>
            </w:r>
            <w:r w:rsidRPr="00C459CE">
              <w:t>ights in 2012</w:t>
            </w:r>
            <w:bookmarkEnd w:id="73"/>
          </w:p>
          <w:p w14:paraId="6F772528" w14:textId="77777777" w:rsidR="00672197" w:rsidRDefault="009D65D4" w:rsidP="00D727BF">
            <w:pPr>
              <w:pStyle w:val="ParagraphNumbering"/>
              <w:numPr>
                <w:ilvl w:val="0"/>
                <w:numId w:val="0"/>
              </w:numPr>
              <w:tabs>
                <w:tab w:val="left" w:pos="720"/>
              </w:tabs>
              <w:autoSpaceDE w:val="0"/>
              <w:autoSpaceDN w:val="0"/>
              <w:adjustRightInd w:val="0"/>
              <w:spacing w:after="0"/>
              <w:ind w:left="20"/>
            </w:pPr>
            <w:r>
              <w:rPr>
                <w:noProof/>
              </w:rPr>
              <w:drawing>
                <wp:inline distT="0" distB="0" distL="0" distR="0" wp14:anchorId="24C61C40" wp14:editId="27D94D7B">
                  <wp:extent cx="2934586" cy="25765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41025" cy="2582196"/>
                          </a:xfrm>
                          <a:prstGeom prst="rect">
                            <a:avLst/>
                          </a:prstGeom>
                        </pic:spPr>
                      </pic:pic>
                    </a:graphicData>
                  </a:graphic>
                </wp:inline>
              </w:drawing>
            </w:r>
          </w:p>
          <w:p w14:paraId="48D96060" w14:textId="5C3E3CEA" w:rsidR="00661E64" w:rsidRPr="00672197" w:rsidRDefault="00672197" w:rsidP="00D727BF">
            <w:pPr>
              <w:pStyle w:val="FootnoteText"/>
              <w:keepNext/>
              <w:tabs>
                <w:tab w:val="left" w:pos="720"/>
              </w:tabs>
              <w:spacing w:before="60" w:after="0"/>
            </w:pPr>
            <w:r w:rsidRPr="001845F3">
              <w:rPr>
                <w:rFonts w:ascii="Times New Roman" w:hAnsi="Times New Roman"/>
              </w:rPr>
              <w:t>Source: WB (2015)</w:t>
            </w:r>
            <w:r w:rsidR="009D0601" w:rsidRPr="001845F3">
              <w:rPr>
                <w:rFonts w:ascii="Times New Roman" w:hAnsi="Times New Roman"/>
              </w:rPr>
              <w:t xml:space="preserve"> based on </w:t>
            </w:r>
            <w:r w:rsidR="000B4C14" w:rsidRPr="001845F3">
              <w:rPr>
                <w:rFonts w:ascii="Times New Roman" w:hAnsi="Times New Roman"/>
              </w:rPr>
              <w:t>Defense Meteorological Satellite Program (</w:t>
            </w:r>
            <w:r w:rsidR="009D0601" w:rsidRPr="001845F3">
              <w:rPr>
                <w:rFonts w:ascii="Times New Roman" w:hAnsi="Times New Roman"/>
              </w:rPr>
              <w:t>DMSP</w:t>
            </w:r>
            <w:r w:rsidR="000B4C14" w:rsidRPr="001845F3">
              <w:rPr>
                <w:rFonts w:ascii="Times New Roman" w:hAnsi="Times New Roman"/>
              </w:rPr>
              <w:t>)</w:t>
            </w:r>
            <w:r w:rsidR="009D0601" w:rsidRPr="001845F3">
              <w:rPr>
                <w:rFonts w:ascii="Times New Roman" w:hAnsi="Times New Roman"/>
              </w:rPr>
              <w:t xml:space="preserve"> data</w:t>
            </w:r>
          </w:p>
        </w:tc>
      </w:tr>
    </w:tbl>
    <w:p w14:paraId="743F7D01" w14:textId="67037E73" w:rsidR="00F428F9" w:rsidRDefault="00F428F9" w:rsidP="00D727BF">
      <w:pPr>
        <w:tabs>
          <w:tab w:val="left" w:pos="720"/>
        </w:tabs>
        <w:spacing w:after="0"/>
      </w:pPr>
    </w:p>
    <w:p w14:paraId="753790FE" w14:textId="3815C940" w:rsidR="00FC4AF5" w:rsidRDefault="004E78E7" w:rsidP="00D727BF">
      <w:pPr>
        <w:pStyle w:val="ParagraphNumbering"/>
        <w:numPr>
          <w:ilvl w:val="0"/>
          <w:numId w:val="0"/>
        </w:numPr>
        <w:tabs>
          <w:tab w:val="left" w:pos="720"/>
        </w:tabs>
        <w:autoSpaceDE w:val="0"/>
        <w:autoSpaceDN w:val="0"/>
        <w:adjustRightInd w:val="0"/>
        <w:spacing w:after="240"/>
      </w:pPr>
      <w:r>
        <w:rPr>
          <w:b/>
        </w:rPr>
        <w:tab/>
      </w:r>
      <w:r w:rsidR="00AE6F13" w:rsidRPr="000F6A00">
        <w:rPr>
          <w:b/>
        </w:rPr>
        <w:t xml:space="preserve">The development of a vibrant private sector, </w:t>
      </w:r>
      <w:r w:rsidR="00956045">
        <w:rPr>
          <w:b/>
        </w:rPr>
        <w:t>particularly focused</w:t>
      </w:r>
      <w:r w:rsidR="00AE6F13" w:rsidRPr="000F6A00">
        <w:rPr>
          <w:b/>
        </w:rPr>
        <w:t xml:space="preserve"> in the </w:t>
      </w:r>
      <w:r w:rsidR="00956045">
        <w:rPr>
          <w:b/>
        </w:rPr>
        <w:t>n</w:t>
      </w:r>
      <w:r w:rsidR="00AE6F13" w:rsidRPr="000F6A00">
        <w:rPr>
          <w:b/>
        </w:rPr>
        <w:t>orth, constitutes one option</w:t>
      </w:r>
      <w:r w:rsidR="00B77A58">
        <w:rPr>
          <w:b/>
        </w:rPr>
        <w:t>—</w:t>
      </w:r>
      <w:r w:rsidR="00FC4AF5" w:rsidRPr="000F6A00">
        <w:rPr>
          <w:b/>
        </w:rPr>
        <w:t xml:space="preserve">among others such </w:t>
      </w:r>
      <w:r w:rsidR="00956045">
        <w:rPr>
          <w:b/>
        </w:rPr>
        <w:t>as investment in education or health programming</w:t>
      </w:r>
      <w:r w:rsidR="00B77A58">
        <w:rPr>
          <w:b/>
        </w:rPr>
        <w:t>—</w:t>
      </w:r>
      <w:r w:rsidR="009D4135">
        <w:rPr>
          <w:b/>
        </w:rPr>
        <w:t xml:space="preserve">for </w:t>
      </w:r>
      <w:r w:rsidR="00AE6F13" w:rsidRPr="000F6A00">
        <w:rPr>
          <w:b/>
        </w:rPr>
        <w:t>reduc</w:t>
      </w:r>
      <w:r w:rsidR="009D4135">
        <w:rPr>
          <w:b/>
        </w:rPr>
        <w:t>ing</w:t>
      </w:r>
      <w:r w:rsidR="00AE6F13" w:rsidRPr="000F6A00">
        <w:rPr>
          <w:b/>
        </w:rPr>
        <w:t xml:space="preserve"> inequalit</w:t>
      </w:r>
      <w:r w:rsidR="009D4135">
        <w:rPr>
          <w:b/>
        </w:rPr>
        <w:t>y in the country</w:t>
      </w:r>
      <w:r w:rsidR="00AE6F13" w:rsidRPr="000F6A00">
        <w:rPr>
          <w:b/>
        </w:rPr>
        <w:t>.</w:t>
      </w:r>
      <w:r w:rsidR="00F428F9">
        <w:rPr>
          <w:b/>
        </w:rPr>
        <w:t xml:space="preserve"> </w:t>
      </w:r>
      <w:r w:rsidR="00956045">
        <w:t>There</w:t>
      </w:r>
      <w:r w:rsidR="009D4135">
        <w:t xml:space="preserve"> </w:t>
      </w:r>
      <w:r w:rsidR="00BE5383">
        <w:t xml:space="preserve">is evidence to suggest that the </w:t>
      </w:r>
      <w:r w:rsidR="009D4135">
        <w:t xml:space="preserve">availability of </w:t>
      </w:r>
      <w:r w:rsidR="00FC4AF5">
        <w:t xml:space="preserve">wage work </w:t>
      </w:r>
      <w:r w:rsidR="00BE5383">
        <w:t>can reduce poverty measures</w:t>
      </w:r>
      <w:r w:rsidR="00FC4AF5">
        <w:t xml:space="preserve">. </w:t>
      </w:r>
      <w:r w:rsidR="00FC4AF5" w:rsidRPr="00FC4AF5">
        <w:t>As indicated in the Nigeria Jobs Report</w:t>
      </w:r>
      <w:r w:rsidR="004B00C9">
        <w:t xml:space="preserve"> (2015)</w:t>
      </w:r>
      <w:r w:rsidR="00B77A58">
        <w:t>,</w:t>
      </w:r>
      <w:r w:rsidR="004B00C9">
        <w:rPr>
          <w:rStyle w:val="FootnoteReference"/>
        </w:rPr>
        <w:footnoteReference w:id="11"/>
      </w:r>
      <w:r w:rsidR="00FC4AF5" w:rsidRPr="00FC4AF5">
        <w:t xml:space="preserve"> the richest </w:t>
      </w:r>
      <w:r w:rsidR="00FC4AF5" w:rsidRPr="00540786">
        <w:t xml:space="preserve">20 percent </w:t>
      </w:r>
      <w:r w:rsidR="009D4135">
        <w:t xml:space="preserve">of the population </w:t>
      </w:r>
      <w:r w:rsidR="00FC4AF5" w:rsidRPr="00540786">
        <w:t xml:space="preserve">account for 40 percent of private wage work, </w:t>
      </w:r>
      <w:r w:rsidR="009D4135">
        <w:t xml:space="preserve">which </w:t>
      </w:r>
      <w:r w:rsidR="00FC4AF5" w:rsidRPr="00540786">
        <w:t>impl</w:t>
      </w:r>
      <w:r w:rsidR="009D4135">
        <w:t xml:space="preserve">ies </w:t>
      </w:r>
      <w:r w:rsidR="00FC4AF5" w:rsidRPr="00540786">
        <w:t xml:space="preserve">that wage work </w:t>
      </w:r>
      <w:r w:rsidR="009D4135">
        <w:t xml:space="preserve">is a </w:t>
      </w:r>
      <w:r w:rsidR="00956045">
        <w:t xml:space="preserve">significantly </w:t>
      </w:r>
      <w:r w:rsidR="009D4135">
        <w:t xml:space="preserve">more profitable occupation </w:t>
      </w:r>
      <w:r w:rsidR="00FC4AF5" w:rsidRPr="00540786">
        <w:t xml:space="preserve">than agriculture or </w:t>
      </w:r>
      <w:r w:rsidR="006127EB">
        <w:t>self-employment</w:t>
      </w:r>
      <w:r w:rsidR="00FC4AF5" w:rsidRPr="00540786">
        <w:t>.</w:t>
      </w:r>
      <w:r w:rsidR="00FC4AF5">
        <w:t xml:space="preserve"> </w:t>
      </w:r>
      <w:r w:rsidR="009202AC" w:rsidRPr="00FC4AF5">
        <w:t>I</w:t>
      </w:r>
      <w:r w:rsidR="007E0725" w:rsidRPr="00FC4AF5">
        <w:t>ncreasing</w:t>
      </w:r>
      <w:r w:rsidR="00C00DF3" w:rsidRPr="00FC4AF5">
        <w:t xml:space="preserve"> the number but also</w:t>
      </w:r>
      <w:r w:rsidR="007E0725" w:rsidRPr="00FC4AF5">
        <w:t xml:space="preserve"> the quality of jobs in Nigeria, especially for unskilled youth, may help reduce both underemployment and poverty</w:t>
      </w:r>
      <w:r w:rsidR="00AE6F13" w:rsidRPr="000F6A00">
        <w:t>, in particular in the areas that are subject to high poverty rates</w:t>
      </w:r>
      <w:r w:rsidR="007E0725" w:rsidRPr="00FC4AF5">
        <w:t xml:space="preserve">. </w:t>
      </w:r>
    </w:p>
    <w:p w14:paraId="6B8F2282" w14:textId="19E056CB" w:rsidR="00101EAC" w:rsidRPr="00FC4AF5" w:rsidRDefault="004E78E7" w:rsidP="00D727BF">
      <w:pPr>
        <w:pStyle w:val="ParagraphNumbering"/>
        <w:numPr>
          <w:ilvl w:val="0"/>
          <w:numId w:val="0"/>
        </w:numPr>
        <w:tabs>
          <w:tab w:val="left" w:pos="720"/>
        </w:tabs>
        <w:autoSpaceDE w:val="0"/>
        <w:autoSpaceDN w:val="0"/>
        <w:adjustRightInd w:val="0"/>
        <w:spacing w:after="240"/>
      </w:pPr>
      <w:r>
        <w:tab/>
      </w:r>
      <w:r w:rsidR="00FC4AF5" w:rsidRPr="000F6A00">
        <w:t>This report is an attempt to understand how to foster the development of a vibrant private sector beyond the bounds of the economic capital city of the country, Lagos.</w:t>
      </w:r>
      <w:r w:rsidR="00FC4AF5" w:rsidRPr="00FC4AF5">
        <w:t xml:space="preserve"> </w:t>
      </w:r>
    </w:p>
    <w:p w14:paraId="0ECA13EF" w14:textId="77777777" w:rsidR="00956045" w:rsidRDefault="00956045" w:rsidP="00D727BF">
      <w:pPr>
        <w:tabs>
          <w:tab w:val="left" w:pos="720"/>
        </w:tabs>
        <w:rPr>
          <w:rFonts w:ascii="AndesExtraLight"/>
          <w:color w:val="0D2240"/>
          <w:sz w:val="28"/>
        </w:rPr>
      </w:pPr>
      <w:bookmarkStart w:id="74" w:name="_Toc444877498"/>
      <w:r>
        <w:lastRenderedPageBreak/>
        <w:br w:type="page"/>
      </w:r>
    </w:p>
    <w:p w14:paraId="4A6C919C" w14:textId="36D67976" w:rsidR="004C33CC" w:rsidRPr="002A7974" w:rsidRDefault="00986C4D" w:rsidP="00D727BF">
      <w:pPr>
        <w:pStyle w:val="Heading2"/>
        <w:tabs>
          <w:tab w:val="left" w:pos="720"/>
        </w:tabs>
        <w:spacing w:before="0"/>
      </w:pPr>
      <w:bookmarkStart w:id="75" w:name="_Toc444877499"/>
      <w:bookmarkStart w:id="76" w:name="_Toc445450273"/>
      <w:bookmarkEnd w:id="74"/>
      <w:r w:rsidRPr="002A7974">
        <w:lastRenderedPageBreak/>
        <w:t>L</w:t>
      </w:r>
      <w:r w:rsidR="004C33CC" w:rsidRPr="002A7974">
        <w:t xml:space="preserve">essons </w:t>
      </w:r>
      <w:r w:rsidRPr="002A7974">
        <w:t>Learned S</w:t>
      </w:r>
      <w:r w:rsidR="004C33CC" w:rsidRPr="002A7974">
        <w:t xml:space="preserve">o </w:t>
      </w:r>
      <w:r w:rsidRPr="002A7974">
        <w:t>Far</w:t>
      </w:r>
      <w:bookmarkEnd w:id="75"/>
      <w:bookmarkEnd w:id="76"/>
    </w:p>
    <w:p w14:paraId="421AE5A3" w14:textId="17500772" w:rsidR="00E726BD" w:rsidRDefault="004E78E7" w:rsidP="00D727BF">
      <w:pPr>
        <w:pStyle w:val="ParagraphNumbering"/>
        <w:numPr>
          <w:ilvl w:val="0"/>
          <w:numId w:val="0"/>
        </w:numPr>
        <w:tabs>
          <w:tab w:val="left" w:pos="720"/>
        </w:tabs>
        <w:autoSpaceDE w:val="0"/>
        <w:autoSpaceDN w:val="0"/>
        <w:adjustRightInd w:val="0"/>
        <w:spacing w:after="240"/>
        <w:rPr>
          <w:rFonts w:ascii="Berling-Roman" w:hAnsi="Berling-Roman" w:cs="Berling-Roman"/>
          <w:sz w:val="20"/>
          <w:szCs w:val="20"/>
        </w:rPr>
      </w:pPr>
      <w:r>
        <w:rPr>
          <w:b/>
        </w:rPr>
        <w:tab/>
      </w:r>
      <w:r w:rsidR="00C45EEE">
        <w:rPr>
          <w:b/>
        </w:rPr>
        <w:t xml:space="preserve">Low wages </w:t>
      </w:r>
      <w:r w:rsidR="00970390">
        <w:rPr>
          <w:b/>
        </w:rPr>
        <w:t>do not</w:t>
      </w:r>
      <w:r w:rsidR="00C45EEE">
        <w:rPr>
          <w:b/>
        </w:rPr>
        <w:t xml:space="preserve"> compensate for the low labor productivity observed in Nigeria. </w:t>
      </w:r>
      <w:r w:rsidR="00C45EEE" w:rsidRPr="00AB05A1">
        <w:t xml:space="preserve">The </w:t>
      </w:r>
      <w:r w:rsidR="00C45EEE">
        <w:t>last</w:t>
      </w:r>
      <w:r w:rsidR="00C45EEE" w:rsidRPr="00AB05A1">
        <w:t xml:space="preserve"> Nigeria</w:t>
      </w:r>
      <w:r w:rsidR="00A32737">
        <w:t>n</w:t>
      </w:r>
      <w:r w:rsidR="00C45EEE" w:rsidRPr="00AB05A1">
        <w:t xml:space="preserve"> </w:t>
      </w:r>
      <w:r w:rsidR="00531361">
        <w:t>Investment Climate Assessment (</w:t>
      </w:r>
      <w:r w:rsidR="00C45EEE" w:rsidRPr="00AB05A1">
        <w:t>ICA</w:t>
      </w:r>
      <w:r w:rsidR="00531361">
        <w:t xml:space="preserve"> </w:t>
      </w:r>
      <w:r w:rsidR="00C45EEE" w:rsidRPr="00AB05A1">
        <w:t xml:space="preserve">2011) </w:t>
      </w:r>
      <w:r w:rsidR="009102D2">
        <w:t>finds</w:t>
      </w:r>
      <w:r w:rsidR="009102D2" w:rsidRPr="00AB05A1">
        <w:t xml:space="preserve"> </w:t>
      </w:r>
      <w:r w:rsidR="00C45EEE" w:rsidRPr="00AB05A1">
        <w:t xml:space="preserve">relatively low wages in Nigeria </w:t>
      </w:r>
      <w:r w:rsidR="00970390">
        <w:t xml:space="preserve">relative to </w:t>
      </w:r>
      <w:r w:rsidR="00C45EEE" w:rsidRPr="00AB05A1">
        <w:t xml:space="preserve">most of the comparator countries. The median firm reported annual wages of about </w:t>
      </w:r>
      <w:r w:rsidR="00546254">
        <w:t>US</w:t>
      </w:r>
      <w:r w:rsidR="00C45EEE" w:rsidRPr="00AB05A1">
        <w:t>$882 per worker</w:t>
      </w:r>
      <w:r w:rsidR="00970390">
        <w:t xml:space="preserve">, compared to </w:t>
      </w:r>
      <w:r w:rsidR="00C45EEE" w:rsidRPr="00AB05A1">
        <w:t xml:space="preserve">about </w:t>
      </w:r>
      <w:r w:rsidR="00546254">
        <w:t>US</w:t>
      </w:r>
      <w:r w:rsidR="00C45EEE" w:rsidRPr="00AB05A1">
        <w:t>$1,800 in Kenya</w:t>
      </w:r>
      <w:r w:rsidR="00B77A58">
        <w:t>;</w:t>
      </w:r>
      <w:r w:rsidR="00C45EEE" w:rsidRPr="00AB05A1">
        <w:t xml:space="preserve"> </w:t>
      </w:r>
      <w:r w:rsidR="00546254">
        <w:t>US</w:t>
      </w:r>
      <w:r w:rsidR="00C45EEE" w:rsidRPr="00AB05A1">
        <w:t>$4,400 in Russia</w:t>
      </w:r>
      <w:r w:rsidR="00B77A58">
        <w:t>;</w:t>
      </w:r>
      <w:r w:rsidR="00C45EEE" w:rsidRPr="00AB05A1">
        <w:t xml:space="preserve"> and </w:t>
      </w:r>
      <w:r w:rsidR="00546254">
        <w:t>US</w:t>
      </w:r>
      <w:r w:rsidR="00C45EEE" w:rsidRPr="00AB05A1">
        <w:t>$7,600 in South Africa.</w:t>
      </w:r>
      <w:r w:rsidR="00F428F9">
        <w:t xml:space="preserve"> </w:t>
      </w:r>
      <w:r w:rsidR="00C45EEE" w:rsidRPr="00AB05A1">
        <w:t>This implies that Nigeria could potentially attract investors that seek low labor costs, especially in labor-intensive manufacturing</w:t>
      </w:r>
      <w:r w:rsidR="009102D2">
        <w:t xml:space="preserve"> sectors</w:t>
      </w:r>
      <w:r w:rsidR="00C45EEE" w:rsidRPr="00AB05A1">
        <w:t>.</w:t>
      </w:r>
      <w:r w:rsidR="00C45EEE">
        <w:t xml:space="preserve"> </w:t>
      </w:r>
      <w:r w:rsidR="00C45EEE" w:rsidRPr="00AB05A1">
        <w:t>At the same time</w:t>
      </w:r>
      <w:r w:rsidR="009102D2">
        <w:t>,</w:t>
      </w:r>
      <w:r w:rsidR="00C45EEE" w:rsidRPr="00AB05A1">
        <w:t xml:space="preserve"> however, </w:t>
      </w:r>
      <w:r w:rsidR="00C45EEE" w:rsidRPr="008B6CEA">
        <w:t>value</w:t>
      </w:r>
      <w:r w:rsidR="00B77A58">
        <w:t xml:space="preserve"> </w:t>
      </w:r>
      <w:r w:rsidR="00C45EEE" w:rsidRPr="008B6CEA">
        <w:t>added per worker was also lower in Nigeria than in most comparator countries</w:t>
      </w:r>
      <w:r w:rsidR="00B77A58">
        <w:t>:</w:t>
      </w:r>
      <w:r w:rsidR="009102D2">
        <w:t xml:space="preserve"> approximately </w:t>
      </w:r>
      <w:r w:rsidR="00546254">
        <w:t>US</w:t>
      </w:r>
      <w:r w:rsidR="00C45EEE" w:rsidRPr="008B6CEA">
        <w:t xml:space="preserve">$2,100 </w:t>
      </w:r>
      <w:r w:rsidR="00970390">
        <w:t>for a median manufacturing firm, compared to US</w:t>
      </w:r>
      <w:r w:rsidR="00970390" w:rsidRPr="00AB05A1">
        <w:t>$7,700</w:t>
      </w:r>
      <w:r w:rsidR="00B77A58">
        <w:t>;</w:t>
      </w:r>
      <w:r w:rsidR="00970390" w:rsidRPr="00AB05A1">
        <w:t xml:space="preserve"> </w:t>
      </w:r>
      <w:r w:rsidR="00970390">
        <w:t>US</w:t>
      </w:r>
      <w:r w:rsidR="00970390" w:rsidRPr="00AB05A1">
        <w:t>$9,100</w:t>
      </w:r>
      <w:r w:rsidR="00B77A58">
        <w:t>;</w:t>
      </w:r>
      <w:r w:rsidR="00970390" w:rsidRPr="00AB05A1">
        <w:t xml:space="preserve"> and </w:t>
      </w:r>
      <w:r w:rsidR="00970390">
        <w:t>US</w:t>
      </w:r>
      <w:r w:rsidR="00970390" w:rsidRPr="00AB05A1">
        <w:t>$18,700</w:t>
      </w:r>
      <w:r w:rsidR="00970390">
        <w:t xml:space="preserve"> </w:t>
      </w:r>
      <w:r w:rsidR="00C45EEE" w:rsidRPr="00AB05A1">
        <w:t>for firms in Kenya, Russia, and South Africa</w:t>
      </w:r>
      <w:r w:rsidR="00970390">
        <w:t>,</w:t>
      </w:r>
      <w:r w:rsidR="00C45EEE" w:rsidRPr="00AB05A1">
        <w:t xml:space="preserve"> respectively. </w:t>
      </w:r>
      <w:r w:rsidR="00E726BD" w:rsidRPr="00E726BD">
        <w:t xml:space="preserve">Firms </w:t>
      </w:r>
      <w:r w:rsidR="00E726BD" w:rsidRPr="009078C5">
        <w:t xml:space="preserve">in Kenya are about 40 percent more </w:t>
      </w:r>
      <w:r w:rsidR="006638D6">
        <w:t>productive</w:t>
      </w:r>
      <w:r w:rsidR="00E726BD" w:rsidRPr="009078C5">
        <w:t>, firms in Russia almost twice as productive, and firms in South Africa almost four times as productive. As a result, if we compare wages with labor productivity levels, unit labor cost</w:t>
      </w:r>
      <w:r w:rsidR="009078C5">
        <w:t xml:space="preserve"> </w:t>
      </w:r>
      <w:r w:rsidR="00F77856">
        <w:t>(</w:t>
      </w:r>
      <w:r w:rsidR="009078C5">
        <w:t xml:space="preserve">labor costs as </w:t>
      </w:r>
      <w:r w:rsidR="00F77856">
        <w:t>a</w:t>
      </w:r>
      <w:r w:rsidR="009078C5">
        <w:t xml:space="preserve"> percentage of value added</w:t>
      </w:r>
      <w:r w:rsidR="00F77856">
        <w:t>)</w:t>
      </w:r>
      <w:r w:rsidR="00E726BD" w:rsidRPr="009078C5">
        <w:t xml:space="preserve"> in Nigeria are among the most expensive in Sub-Saharan Africa</w:t>
      </w:r>
      <w:r w:rsidR="009078C5" w:rsidRPr="009078C5">
        <w:t xml:space="preserve">. In other words, the low wages in Nigeria do not compensate </w:t>
      </w:r>
      <w:r w:rsidR="00F77856">
        <w:t>for</w:t>
      </w:r>
      <w:r w:rsidR="009078C5" w:rsidRPr="009078C5">
        <w:t xml:space="preserve"> low labor productivity, </w:t>
      </w:r>
      <w:r w:rsidR="00F77856">
        <w:t xml:space="preserve">and this </w:t>
      </w:r>
      <w:r w:rsidR="009078C5" w:rsidRPr="009078C5">
        <w:t>diminish</w:t>
      </w:r>
      <w:r w:rsidR="00F77856">
        <w:t>es</w:t>
      </w:r>
      <w:r w:rsidR="009078C5" w:rsidRPr="009078C5">
        <w:t xml:space="preserve"> Nigeria</w:t>
      </w:r>
      <w:r w:rsidR="00863D16">
        <w:t>’</w:t>
      </w:r>
      <w:r w:rsidR="009078C5" w:rsidRPr="009078C5">
        <w:t>s competitiveness compared to other comparator</w:t>
      </w:r>
      <w:r w:rsidR="00C945D9">
        <w:t xml:space="preserve"> countries</w:t>
      </w:r>
      <w:r w:rsidR="009078C5">
        <w:t>.</w:t>
      </w:r>
      <w:r w:rsidR="00F428F9">
        <w:rPr>
          <w:rFonts w:ascii="Berling-Roman" w:hAnsi="Berling-Roman" w:cs="Berling-Roman"/>
          <w:sz w:val="20"/>
          <w:szCs w:val="20"/>
        </w:rPr>
        <w:t xml:space="preserve"> </w:t>
      </w:r>
    </w:p>
    <w:p w14:paraId="1CE8817F" w14:textId="37E3A6ED" w:rsidR="00E726BD" w:rsidRDefault="004E78E7" w:rsidP="00D727BF">
      <w:pPr>
        <w:pStyle w:val="ParagraphNumbering"/>
        <w:numPr>
          <w:ilvl w:val="0"/>
          <w:numId w:val="0"/>
        </w:numPr>
        <w:tabs>
          <w:tab w:val="left" w:pos="720"/>
        </w:tabs>
        <w:spacing w:after="240"/>
      </w:pPr>
      <w:r>
        <w:rPr>
          <w:b/>
        </w:rPr>
        <w:tab/>
      </w:r>
      <w:r w:rsidR="00E726BD" w:rsidRPr="00C45EEE">
        <w:rPr>
          <w:b/>
        </w:rPr>
        <w:t xml:space="preserve">Nigerian firms face a </w:t>
      </w:r>
      <w:r w:rsidR="00C945D9">
        <w:rPr>
          <w:b/>
        </w:rPr>
        <w:t>challenging</w:t>
      </w:r>
      <w:r w:rsidR="00C945D9" w:rsidRPr="00C45EEE">
        <w:rPr>
          <w:b/>
        </w:rPr>
        <w:t xml:space="preserve"> </w:t>
      </w:r>
      <w:r w:rsidR="00E726BD" w:rsidRPr="00C45EEE">
        <w:rPr>
          <w:b/>
        </w:rPr>
        <w:t>business environment.</w:t>
      </w:r>
      <w:r w:rsidR="00E726BD" w:rsidRPr="00C45EEE">
        <w:t xml:space="preserve"> </w:t>
      </w:r>
      <w:r w:rsidR="009078C5">
        <w:t xml:space="preserve">According to the Doing Business </w:t>
      </w:r>
      <w:r w:rsidR="00942839">
        <w:t>Report (</w:t>
      </w:r>
      <w:r w:rsidR="006A7997">
        <w:t>2015</w:t>
      </w:r>
      <w:r w:rsidR="00942839">
        <w:t>)</w:t>
      </w:r>
      <w:r w:rsidR="009078C5">
        <w:t xml:space="preserve">, Nigeria ranks </w:t>
      </w:r>
      <w:r w:rsidR="00F77856">
        <w:t xml:space="preserve">near the bottom </w:t>
      </w:r>
      <w:r w:rsidR="005A71CA">
        <w:t xml:space="preserve">in </w:t>
      </w:r>
      <w:r w:rsidR="00863D16">
        <w:t>“</w:t>
      </w:r>
      <w:r w:rsidR="00B77A58">
        <w:t>e</w:t>
      </w:r>
      <w:r w:rsidR="005A71CA">
        <w:t>ase of doing business</w:t>
      </w:r>
      <w:r w:rsidR="00863D16">
        <w:t>”</w:t>
      </w:r>
      <w:r w:rsidR="005A71CA">
        <w:t xml:space="preserve"> (170 out of 189 countries), suggesting </w:t>
      </w:r>
      <w:r w:rsidR="00F77856">
        <w:t xml:space="preserve">the existence of major barriers. </w:t>
      </w:r>
      <w:r w:rsidR="005A71CA">
        <w:t>In this report, we consider th</w:t>
      </w:r>
      <w:r w:rsidR="00F77856">
        <w:t>e</w:t>
      </w:r>
      <w:r w:rsidR="005A71CA">
        <w:t xml:space="preserve"> b</w:t>
      </w:r>
      <w:r w:rsidR="00E726BD">
        <w:t xml:space="preserve">usiness environment </w:t>
      </w:r>
      <w:r w:rsidR="00F77856">
        <w:t xml:space="preserve">to </w:t>
      </w:r>
      <w:r w:rsidR="00E726BD">
        <w:t xml:space="preserve">include </w:t>
      </w:r>
      <w:r w:rsidR="00696802">
        <w:t xml:space="preserve">(a) </w:t>
      </w:r>
      <w:r w:rsidR="00E726BD" w:rsidRPr="000F6A00">
        <w:rPr>
          <w:i/>
        </w:rPr>
        <w:t>economic incentives</w:t>
      </w:r>
      <w:r w:rsidR="00E726BD" w:rsidRPr="00AB05A1">
        <w:t xml:space="preserve"> </w:t>
      </w:r>
      <w:r w:rsidR="006A7997">
        <w:t>that</w:t>
      </w:r>
      <w:r w:rsidR="00E726BD" w:rsidRPr="00AB05A1">
        <w:t xml:space="preserve"> are shaped by a set of macroeconomic policies</w:t>
      </w:r>
      <w:r w:rsidR="00696802">
        <w:t>,</w:t>
      </w:r>
      <w:r w:rsidR="00E726BD" w:rsidRPr="00AB05A1">
        <w:t xml:space="preserve"> a regulatory framework</w:t>
      </w:r>
      <w:r w:rsidR="00696802">
        <w:t xml:space="preserve">, and </w:t>
      </w:r>
      <w:r w:rsidR="00E726BD" w:rsidRPr="00AB05A1">
        <w:t>public administrative procedures</w:t>
      </w:r>
      <w:r w:rsidR="00696802">
        <w:t xml:space="preserve">; and (b) </w:t>
      </w:r>
      <w:r w:rsidR="00E726BD" w:rsidRPr="000F6A00">
        <w:rPr>
          <w:i/>
        </w:rPr>
        <w:t xml:space="preserve">incentives embodied in institutional arrangements </w:t>
      </w:r>
      <w:r w:rsidR="00E726BD" w:rsidRPr="00AB05A1">
        <w:t>such as the security of property rights, the rule of law</w:t>
      </w:r>
      <w:r w:rsidR="00696802">
        <w:t xml:space="preserve">, and </w:t>
      </w:r>
      <w:r w:rsidR="00E726BD" w:rsidRPr="00AB05A1">
        <w:t>governance stability.</w:t>
      </w:r>
      <w:r w:rsidR="00F428F9">
        <w:t xml:space="preserve"> </w:t>
      </w:r>
      <w:r w:rsidR="00E726BD" w:rsidRPr="00AB05A1">
        <w:t>Institutional arrangements influence private investment decisions by structuring the rules of the game as they affect investment uncertainty, risk, and investment safeguards (protection of property rights, enforcement of contracts, and maintenance of integrity of monetary standards).</w:t>
      </w:r>
      <w:r w:rsidR="00E726BD" w:rsidRPr="00AB05A1">
        <w:rPr>
          <w:rStyle w:val="FootnoteReference"/>
        </w:rPr>
        <w:footnoteReference w:id="12"/>
      </w:r>
      <w:r w:rsidR="00F428F9">
        <w:t xml:space="preserve"> </w:t>
      </w:r>
      <w:r w:rsidR="00E726BD" w:rsidRPr="00AB05A1">
        <w:t xml:space="preserve">Defined in this manner, the </w:t>
      </w:r>
      <w:r w:rsidR="00A6456C">
        <w:t>business</w:t>
      </w:r>
      <w:r w:rsidR="00A6456C" w:rsidRPr="00AB05A1">
        <w:t xml:space="preserve"> </w:t>
      </w:r>
      <w:r w:rsidR="00E726BD" w:rsidRPr="00AB05A1">
        <w:t xml:space="preserve">climate </w:t>
      </w:r>
      <w:r w:rsidR="00A6456C">
        <w:t xml:space="preserve">encompasses those attributes </w:t>
      </w:r>
      <w:r w:rsidR="006A7997">
        <w:t xml:space="preserve">that </w:t>
      </w:r>
      <w:r w:rsidR="00A6456C">
        <w:t xml:space="preserve">will influence </w:t>
      </w:r>
      <w:r w:rsidR="00E726BD" w:rsidRPr="00AB05A1">
        <w:t xml:space="preserve">the </w:t>
      </w:r>
      <w:r w:rsidR="00A6456C">
        <w:t xml:space="preserve">financial </w:t>
      </w:r>
      <w:r w:rsidR="00E726BD" w:rsidRPr="00AB05A1">
        <w:t>return</w:t>
      </w:r>
      <w:r w:rsidR="00A6456C">
        <w:t xml:space="preserve"> on</w:t>
      </w:r>
      <w:r w:rsidR="00A6456C" w:rsidRPr="00AB05A1">
        <w:t xml:space="preserve"> </w:t>
      </w:r>
      <w:r w:rsidR="00E726BD" w:rsidRPr="00AB05A1">
        <w:t>dif</w:t>
      </w:r>
      <w:r w:rsidR="00E726BD">
        <w:t xml:space="preserve">ferent economic activities. </w:t>
      </w:r>
      <w:r w:rsidR="00A6456C">
        <w:t>Hence</w:t>
      </w:r>
      <w:r w:rsidR="00E726BD">
        <w:t xml:space="preserve">, a nonconducive </w:t>
      </w:r>
      <w:r w:rsidR="00703C7F">
        <w:t xml:space="preserve">investment climate </w:t>
      </w:r>
      <w:r w:rsidR="00A6456C">
        <w:t xml:space="preserve">likely will </w:t>
      </w:r>
      <w:r w:rsidR="00E726BD">
        <w:t xml:space="preserve">discourage the private sector </w:t>
      </w:r>
      <w:r w:rsidR="00696802">
        <w:t xml:space="preserve">from </w:t>
      </w:r>
      <w:r w:rsidR="00E726BD">
        <w:t>invest</w:t>
      </w:r>
      <w:r w:rsidR="00696802">
        <w:t>ing</w:t>
      </w:r>
      <w:r w:rsidR="00E726BD">
        <w:t xml:space="preserve"> in both human and physical capital, leading to low </w:t>
      </w:r>
      <w:r w:rsidR="00696802">
        <w:t xml:space="preserve">productivity of both </w:t>
      </w:r>
      <w:r w:rsidR="00E726BD">
        <w:t xml:space="preserve">labor </w:t>
      </w:r>
      <w:r w:rsidR="00696802">
        <w:t xml:space="preserve">and capital. </w:t>
      </w:r>
      <w:r w:rsidR="00E726BD">
        <w:t xml:space="preserve">According to the </w:t>
      </w:r>
      <w:r w:rsidR="00696802">
        <w:t xml:space="preserve">last two </w:t>
      </w:r>
      <w:r w:rsidR="00E726BD">
        <w:t xml:space="preserve">Nigeria </w:t>
      </w:r>
      <w:r w:rsidR="00696802">
        <w:t>ICAs</w:t>
      </w:r>
      <w:r w:rsidR="009078C5">
        <w:t xml:space="preserve"> (2009 and 2011)</w:t>
      </w:r>
      <w:r w:rsidR="00E726BD" w:rsidRPr="00C45EEE">
        <w:t>, the three most important constraints to</w:t>
      </w:r>
      <w:r w:rsidR="00E726BD">
        <w:t xml:space="preserve"> </w:t>
      </w:r>
      <w:r w:rsidR="00E726BD" w:rsidRPr="00C45EEE">
        <w:t xml:space="preserve">doing business are </w:t>
      </w:r>
      <w:r w:rsidR="00696802">
        <w:t>lack of access to electricity</w:t>
      </w:r>
      <w:r w:rsidR="00E726BD" w:rsidRPr="00C45EEE">
        <w:t>, finance, and transport</w:t>
      </w:r>
      <w:r w:rsidR="00E726BD">
        <w:t xml:space="preserve">. </w:t>
      </w:r>
      <w:r w:rsidR="007333FE">
        <w:t>I</w:t>
      </w:r>
      <w:r w:rsidR="007E45C5">
        <w:t>nvestment climate</w:t>
      </w:r>
      <w:r w:rsidR="00E726BD">
        <w:t xml:space="preserve"> constraints add substantially to the cost of doing business in Nigeria. Each year</w:t>
      </w:r>
      <w:r w:rsidR="00696802">
        <w:t>,</w:t>
      </w:r>
      <w:r w:rsidR="00E726BD">
        <w:t xml:space="preserve"> </w:t>
      </w:r>
      <w:r w:rsidR="009078C5">
        <w:t xml:space="preserve">more than </w:t>
      </w:r>
      <w:r w:rsidR="00C945D9">
        <w:t xml:space="preserve">10 </w:t>
      </w:r>
      <w:r w:rsidR="00E726BD">
        <w:t xml:space="preserve">percent of sales </w:t>
      </w:r>
      <w:r w:rsidR="006A7997">
        <w:t xml:space="preserve">is </w:t>
      </w:r>
      <w:r w:rsidR="00E726BD">
        <w:t>lost as a result of unreliable</w:t>
      </w:r>
      <w:r w:rsidR="00703C7F">
        <w:t xml:space="preserve"> electricity</w:t>
      </w:r>
      <w:r w:rsidR="00E726BD">
        <w:t xml:space="preserve">, transport delays, </w:t>
      </w:r>
      <w:r w:rsidR="00C945D9">
        <w:t xml:space="preserve">and </w:t>
      </w:r>
      <w:r w:rsidR="00E726BD">
        <w:t>crime and corruption</w:t>
      </w:r>
      <w:r w:rsidR="00A6456C">
        <w:t xml:space="preserve">, which </w:t>
      </w:r>
      <w:r w:rsidR="00E726BD">
        <w:t xml:space="preserve">is twice </w:t>
      </w:r>
      <w:r w:rsidR="00C945D9">
        <w:t>the</w:t>
      </w:r>
      <w:r w:rsidR="00E726BD">
        <w:t xml:space="preserve"> </w:t>
      </w:r>
      <w:r w:rsidR="00A6456C">
        <w:t xml:space="preserve">levels reported </w:t>
      </w:r>
      <w:r w:rsidR="00E726BD">
        <w:t>in South Africa, Brazil, Russia</w:t>
      </w:r>
      <w:r w:rsidR="006A7997">
        <w:t>,</w:t>
      </w:r>
      <w:r w:rsidR="00E726BD">
        <w:t xml:space="preserve"> and Indonesia.</w:t>
      </w:r>
    </w:p>
    <w:p w14:paraId="1EBCB277" w14:textId="200B2458" w:rsidR="00E726BD" w:rsidRDefault="004E78E7" w:rsidP="00D727BF">
      <w:pPr>
        <w:pStyle w:val="ParagraphNumbering"/>
        <w:numPr>
          <w:ilvl w:val="0"/>
          <w:numId w:val="0"/>
        </w:numPr>
        <w:tabs>
          <w:tab w:val="left" w:pos="720"/>
        </w:tabs>
        <w:spacing w:after="240"/>
      </w:pPr>
      <w:r>
        <w:rPr>
          <w:b/>
        </w:rPr>
        <w:lastRenderedPageBreak/>
        <w:tab/>
      </w:r>
      <w:r w:rsidR="00E726BD">
        <w:rPr>
          <w:b/>
        </w:rPr>
        <w:t xml:space="preserve">Good management </w:t>
      </w:r>
      <w:r w:rsidR="00936EE4">
        <w:rPr>
          <w:b/>
        </w:rPr>
        <w:t xml:space="preserve">can help </w:t>
      </w:r>
      <w:r w:rsidR="00E726BD">
        <w:rPr>
          <w:b/>
        </w:rPr>
        <w:t>firm</w:t>
      </w:r>
      <w:r w:rsidR="00936EE4">
        <w:rPr>
          <w:b/>
        </w:rPr>
        <w:t>s</w:t>
      </w:r>
      <w:r w:rsidR="00E726BD">
        <w:rPr>
          <w:b/>
        </w:rPr>
        <w:t xml:space="preserve"> overcome a weak </w:t>
      </w:r>
      <w:r w:rsidR="007E45C5">
        <w:rPr>
          <w:b/>
        </w:rPr>
        <w:t>investment climate</w:t>
      </w:r>
      <w:r w:rsidR="00E726BD">
        <w:rPr>
          <w:b/>
        </w:rPr>
        <w:t xml:space="preserve">. </w:t>
      </w:r>
      <w:r w:rsidR="00E726BD" w:rsidRPr="00C45EEE">
        <w:t xml:space="preserve">The </w:t>
      </w:r>
      <w:r w:rsidR="00696802">
        <w:t xml:space="preserve">ICA </w:t>
      </w:r>
      <w:r w:rsidR="00E726BD" w:rsidRPr="00C45EEE">
        <w:t>(2009)</w:t>
      </w:r>
      <w:r w:rsidR="00E726BD">
        <w:t xml:space="preserve"> </w:t>
      </w:r>
      <w:r w:rsidR="0011011A">
        <w:t xml:space="preserve">found </w:t>
      </w:r>
      <w:r w:rsidR="00E726BD">
        <w:t>that Nigerian firms that are better managed are 60 to 80 percent more productive than firms that are not. It also indicated that good managers can be almost as productive in a poor business environment as poor managers are in a good environment, thereby stressing the importance of management skills in improving the profitability and productivity of Nigerian firms.</w:t>
      </w:r>
    </w:p>
    <w:p w14:paraId="48174417" w14:textId="667DF532" w:rsidR="00175C0C" w:rsidRDefault="004E78E7" w:rsidP="00D727BF">
      <w:pPr>
        <w:pStyle w:val="ParagraphNumbering"/>
        <w:numPr>
          <w:ilvl w:val="0"/>
          <w:numId w:val="0"/>
        </w:numPr>
        <w:tabs>
          <w:tab w:val="left" w:pos="720"/>
        </w:tabs>
        <w:autoSpaceDE w:val="0"/>
        <w:autoSpaceDN w:val="0"/>
        <w:adjustRightInd w:val="0"/>
        <w:spacing w:after="240"/>
      </w:pPr>
      <w:r>
        <w:rPr>
          <w:b/>
        </w:rPr>
        <w:tab/>
      </w:r>
      <w:r w:rsidR="005A71CA" w:rsidRPr="006D1D2A">
        <w:rPr>
          <w:b/>
        </w:rPr>
        <w:t xml:space="preserve">The Nigerian economy consists of </w:t>
      </w:r>
      <w:r w:rsidR="00CD4389">
        <w:rPr>
          <w:b/>
        </w:rPr>
        <w:t>productive</w:t>
      </w:r>
      <w:r w:rsidR="00CD4389" w:rsidRPr="006D1D2A">
        <w:rPr>
          <w:b/>
        </w:rPr>
        <w:t xml:space="preserve"> </w:t>
      </w:r>
      <w:r w:rsidR="005A71CA" w:rsidRPr="006D1D2A">
        <w:rPr>
          <w:b/>
        </w:rPr>
        <w:t>enclaves in a sea of smaller</w:t>
      </w:r>
      <w:r w:rsidR="00CD4389">
        <w:rPr>
          <w:b/>
        </w:rPr>
        <w:t>,</w:t>
      </w:r>
      <w:r w:rsidR="005A71CA" w:rsidRPr="006D1D2A">
        <w:rPr>
          <w:b/>
        </w:rPr>
        <w:t xml:space="preserve"> low-productivity firms. </w:t>
      </w:r>
      <w:r w:rsidR="004C33CC" w:rsidRPr="006D1D2A">
        <w:t>Recent work conducted by Ramachandran et al. (2013)</w:t>
      </w:r>
      <w:r w:rsidR="005A71CA" w:rsidRPr="006D1D2A">
        <w:rPr>
          <w:rStyle w:val="FootnoteReference"/>
        </w:rPr>
        <w:footnoteReference w:id="13"/>
      </w:r>
      <w:r w:rsidR="004C33CC" w:rsidRPr="006D1D2A">
        <w:t xml:space="preserve"> indicates that</w:t>
      </w:r>
      <w:r w:rsidR="00936EE4">
        <w:t xml:space="preserve"> Africa </w:t>
      </w:r>
      <w:r w:rsidR="00C91710">
        <w:t xml:space="preserve">does not </w:t>
      </w:r>
      <w:r w:rsidR="004C33CC" w:rsidRPr="006D1D2A">
        <w:t xml:space="preserve">seem to </w:t>
      </w:r>
      <w:r w:rsidR="00C91710">
        <w:t xml:space="preserve">be </w:t>
      </w:r>
      <w:r w:rsidR="004C33CC" w:rsidRPr="006D1D2A">
        <w:t>lack</w:t>
      </w:r>
      <w:r w:rsidR="00C91710">
        <w:t>ing</w:t>
      </w:r>
      <w:r w:rsidR="004C33CC" w:rsidRPr="006D1D2A">
        <w:t xml:space="preserve"> in entrepreneurship or enterprise start-up</w:t>
      </w:r>
      <w:r w:rsidR="00C91710">
        <w:t>s</w:t>
      </w:r>
      <w:r w:rsidR="000C5F7D">
        <w:t>,</w:t>
      </w:r>
      <w:r w:rsidR="00C91710">
        <w:t xml:space="preserve"> rather, it lacks </w:t>
      </w:r>
      <w:r w:rsidR="004C33CC" w:rsidRPr="006D1D2A">
        <w:t>dynamic firms</w:t>
      </w:r>
      <w:r w:rsidR="00C45EEE" w:rsidRPr="006D1D2A">
        <w:t xml:space="preserve"> t</w:t>
      </w:r>
      <w:r w:rsidR="00936EE4">
        <w:t>o</w:t>
      </w:r>
      <w:r w:rsidR="00C45EEE" w:rsidRPr="006D1D2A">
        <w:t xml:space="preserve"> drive aggregate productivity and employment</w:t>
      </w:r>
      <w:r w:rsidR="005A71CA" w:rsidRPr="006D1D2A">
        <w:t xml:space="preserve">. </w:t>
      </w:r>
      <w:r w:rsidR="00C91710">
        <w:t>Most countries in Africa have only a small number of large, successful firms</w:t>
      </w:r>
      <w:r w:rsidR="00936EE4">
        <w:t xml:space="preserve">, but these firms often </w:t>
      </w:r>
      <w:r w:rsidR="00C91710">
        <w:t xml:space="preserve">act as monopolies, </w:t>
      </w:r>
      <w:r w:rsidR="00936EE4">
        <w:t>with the</w:t>
      </w:r>
      <w:r w:rsidR="00C91710">
        <w:t xml:space="preserve"> </w:t>
      </w:r>
      <w:r w:rsidR="003152D3">
        <w:t>political economy preserv</w:t>
      </w:r>
      <w:r w:rsidR="00936EE4">
        <w:t>ing</w:t>
      </w:r>
      <w:r w:rsidR="003152D3">
        <w:t xml:space="preserve"> this market structure. These </w:t>
      </w:r>
      <w:r w:rsidR="00C91710">
        <w:t xml:space="preserve">firms </w:t>
      </w:r>
      <w:r w:rsidR="003152D3">
        <w:t xml:space="preserve">often have close relationships </w:t>
      </w:r>
      <w:r w:rsidR="00C91710">
        <w:t>with</w:t>
      </w:r>
      <w:r w:rsidR="003152D3">
        <w:t xml:space="preserve"> government and no interest in changing the rules of the game. </w:t>
      </w:r>
      <w:r w:rsidR="00C91710">
        <w:t>T</w:t>
      </w:r>
      <w:r w:rsidR="003152D3">
        <w:t xml:space="preserve">he </w:t>
      </w:r>
      <w:r w:rsidR="00C945D9">
        <w:t xml:space="preserve">nature of the </w:t>
      </w:r>
      <w:r w:rsidR="003152D3">
        <w:t xml:space="preserve">business environment maintains this </w:t>
      </w:r>
      <w:r w:rsidR="005A71CA" w:rsidRPr="006D1D2A">
        <w:t xml:space="preserve">unequal distribution </w:t>
      </w:r>
      <w:r w:rsidR="003152D3">
        <w:t>of productivity</w:t>
      </w:r>
      <w:r w:rsidR="005A71CA" w:rsidRPr="006D1D2A">
        <w:t xml:space="preserve">. </w:t>
      </w:r>
    </w:p>
    <w:p w14:paraId="3F9BFD6C" w14:textId="093465F8" w:rsidR="00AB05A1" w:rsidRDefault="004E78E7" w:rsidP="00D727BF">
      <w:pPr>
        <w:pStyle w:val="ParagraphNumbering"/>
        <w:numPr>
          <w:ilvl w:val="0"/>
          <w:numId w:val="0"/>
        </w:numPr>
        <w:tabs>
          <w:tab w:val="left" w:pos="720"/>
        </w:tabs>
        <w:spacing w:after="240"/>
      </w:pPr>
      <w:r>
        <w:rPr>
          <w:b/>
        </w:rPr>
        <w:tab/>
      </w:r>
      <w:r w:rsidR="004F361F" w:rsidRPr="0044241B">
        <w:rPr>
          <w:b/>
        </w:rPr>
        <w:t xml:space="preserve">The </w:t>
      </w:r>
      <w:r w:rsidR="003A62BA" w:rsidRPr="0044241B">
        <w:rPr>
          <w:b/>
        </w:rPr>
        <w:t>existence of stron</w:t>
      </w:r>
      <w:r w:rsidR="004F361F" w:rsidRPr="0044241B">
        <w:rPr>
          <w:b/>
        </w:rPr>
        <w:t>g social networks in Nigeria may also lead to fragmented market</w:t>
      </w:r>
      <w:r w:rsidR="00936EE4">
        <w:rPr>
          <w:b/>
        </w:rPr>
        <w:t>s</w:t>
      </w:r>
      <w:r w:rsidR="004F361F" w:rsidRPr="0044241B">
        <w:rPr>
          <w:b/>
        </w:rPr>
        <w:t xml:space="preserve"> and high search and transaction costs</w:t>
      </w:r>
      <w:r w:rsidR="003A62BA" w:rsidRPr="0044241B">
        <w:rPr>
          <w:b/>
        </w:rPr>
        <w:t>.</w:t>
      </w:r>
      <w:r w:rsidR="003A62BA" w:rsidRPr="00997BF4">
        <w:t xml:space="preserve"> </w:t>
      </w:r>
      <w:r w:rsidR="00936EE4">
        <w:t xml:space="preserve">In their study of the </w:t>
      </w:r>
      <w:r w:rsidR="004F361F">
        <w:t xml:space="preserve">impact of ethnicity </w:t>
      </w:r>
      <w:r w:rsidR="00936EE4">
        <w:t xml:space="preserve">on </w:t>
      </w:r>
      <w:r w:rsidR="00703C7F">
        <w:t>socio</w:t>
      </w:r>
      <w:r w:rsidR="00936EE4">
        <w:t xml:space="preserve">economic </w:t>
      </w:r>
      <w:r w:rsidR="00703C7F">
        <w:t>well-being</w:t>
      </w:r>
      <w:r w:rsidR="00936EE4" w:rsidRPr="0072774C">
        <w:t xml:space="preserve">, </w:t>
      </w:r>
      <w:r w:rsidR="004F361F" w:rsidRPr="0072774C">
        <w:t>Fenske and Zurimendi (2015)</w:t>
      </w:r>
      <w:r w:rsidR="00B32A87" w:rsidRPr="0072774C">
        <w:rPr>
          <w:rStyle w:val="FootnoteReference"/>
        </w:rPr>
        <w:footnoteReference w:id="14"/>
      </w:r>
      <w:r w:rsidR="004F361F" w:rsidRPr="0072774C">
        <w:t xml:space="preserve"> show that oil price</w:t>
      </w:r>
      <w:r w:rsidR="004F361F">
        <w:t xml:space="preserve"> fluctuations affect adult </w:t>
      </w:r>
      <w:r w:rsidR="00703C7F">
        <w:t xml:space="preserve">human capital </w:t>
      </w:r>
      <w:r w:rsidR="004F361F">
        <w:t xml:space="preserve">outcomes </w:t>
      </w:r>
      <w:r w:rsidR="00703C7F">
        <w:t xml:space="preserve">(education, employment, wealth, etc.) </w:t>
      </w:r>
      <w:r w:rsidR="00CD4389">
        <w:t xml:space="preserve">differently </w:t>
      </w:r>
      <w:r w:rsidR="004F361F">
        <w:t>depending on their ethnic group. In addition, Aker et al. (2014</w:t>
      </w:r>
      <w:r w:rsidR="0044241B">
        <w:t xml:space="preserve">) show that </w:t>
      </w:r>
      <w:r w:rsidR="00CD4389">
        <w:t xml:space="preserve">cross-border </w:t>
      </w:r>
      <w:r w:rsidR="0044241B">
        <w:t xml:space="preserve">transaction costs are lower when traders share a common ethnicity. They conclude that </w:t>
      </w:r>
      <w:r w:rsidR="00863D16">
        <w:t>“</w:t>
      </w:r>
      <w:r w:rsidR="0044241B">
        <w:t>having a common ethnicity reduces the transaction costs associated with agricultural trade, especially in communications and credit transactions</w:t>
      </w:r>
      <w:r w:rsidR="00936EE4">
        <w:t>.</w:t>
      </w:r>
      <w:r w:rsidR="00863D16">
        <w:t>”</w:t>
      </w:r>
      <w:r w:rsidR="004F361F">
        <w:t xml:space="preserve"> </w:t>
      </w:r>
      <w:r w:rsidR="0044241B">
        <w:t xml:space="preserve">While not directly related to private sector development, these findings suggest that ethnic </w:t>
      </w:r>
      <w:r w:rsidR="00936EE4">
        <w:t xml:space="preserve">networks </w:t>
      </w:r>
      <w:r w:rsidR="0044241B">
        <w:t xml:space="preserve">may create fragmented </w:t>
      </w:r>
      <w:r w:rsidR="00936EE4">
        <w:t xml:space="preserve">labor and </w:t>
      </w:r>
      <w:r w:rsidR="0044241B">
        <w:t>supplier markets.</w:t>
      </w:r>
    </w:p>
    <w:p w14:paraId="5E55F49F" w14:textId="3A3896AA" w:rsidR="00161A69" w:rsidRPr="002A7974" w:rsidRDefault="00161A69" w:rsidP="00D727BF">
      <w:pPr>
        <w:pStyle w:val="Heading2"/>
        <w:tabs>
          <w:tab w:val="left" w:pos="720"/>
        </w:tabs>
      </w:pPr>
      <w:bookmarkStart w:id="77" w:name="_Toc444877500"/>
      <w:bookmarkStart w:id="78" w:name="_Toc445450274"/>
      <w:r w:rsidRPr="002A7974">
        <w:t>Scope, Methodology</w:t>
      </w:r>
      <w:r w:rsidR="00DD2CA4">
        <w:t>,</w:t>
      </w:r>
      <w:r w:rsidRPr="002A7974">
        <w:t xml:space="preserve"> and Data</w:t>
      </w:r>
      <w:bookmarkEnd w:id="77"/>
      <w:bookmarkEnd w:id="78"/>
    </w:p>
    <w:p w14:paraId="2296502E" w14:textId="04712A2D" w:rsidR="00B345EC" w:rsidRPr="00986C4D" w:rsidRDefault="004E78E7" w:rsidP="00D727BF">
      <w:pPr>
        <w:pStyle w:val="ParagraphNumbering"/>
        <w:numPr>
          <w:ilvl w:val="0"/>
          <w:numId w:val="0"/>
        </w:numPr>
        <w:tabs>
          <w:tab w:val="left" w:pos="720"/>
        </w:tabs>
        <w:spacing w:after="240"/>
      </w:pPr>
      <w:r>
        <w:rPr>
          <w:b/>
        </w:rPr>
        <w:tab/>
      </w:r>
      <w:r w:rsidR="00B345EC" w:rsidRPr="000F6A00">
        <w:rPr>
          <w:b/>
        </w:rPr>
        <w:t>This report focuses on firm-level productivity and job creation in Nigeria</w:t>
      </w:r>
      <w:r w:rsidR="006F1EEC" w:rsidRPr="000F6A00">
        <w:rPr>
          <w:b/>
        </w:rPr>
        <w:t>,</w:t>
      </w:r>
      <w:r w:rsidR="00B345EC" w:rsidRPr="000F6A00">
        <w:rPr>
          <w:b/>
        </w:rPr>
        <w:t xml:space="preserve"> </w:t>
      </w:r>
      <w:r w:rsidR="00B345EC" w:rsidRPr="001F543C">
        <w:t xml:space="preserve">and highlights </w:t>
      </w:r>
      <w:r w:rsidR="00B345EC" w:rsidRPr="00986C4D">
        <w:t>regional differences</w:t>
      </w:r>
      <w:r w:rsidR="00936EE4">
        <w:t xml:space="preserve"> where relevant</w:t>
      </w:r>
      <w:r w:rsidR="00B345EC" w:rsidRPr="00986C4D">
        <w:t xml:space="preserve">. </w:t>
      </w:r>
      <w:r w:rsidR="003C219D">
        <w:t xml:space="preserve">Nigeria is composed of </w:t>
      </w:r>
      <w:r w:rsidR="00DD2CA4">
        <w:t xml:space="preserve">thirty-six </w:t>
      </w:r>
      <w:r w:rsidR="003C219D">
        <w:t xml:space="preserve">states grouped in </w:t>
      </w:r>
      <w:r w:rsidR="0023354A">
        <w:t>six</w:t>
      </w:r>
      <w:r w:rsidR="003C219D">
        <w:t xml:space="preserve"> geopolitical zones (</w:t>
      </w:r>
      <w:r w:rsidR="006F6842">
        <w:t>South West</w:t>
      </w:r>
      <w:r w:rsidR="003C219D">
        <w:t xml:space="preserve">, </w:t>
      </w:r>
      <w:r w:rsidR="006F6842">
        <w:t>South South</w:t>
      </w:r>
      <w:r w:rsidR="003C219D">
        <w:t xml:space="preserve">, </w:t>
      </w:r>
      <w:r w:rsidR="006F6842">
        <w:t>South East</w:t>
      </w:r>
      <w:r w:rsidR="003C219D">
        <w:t xml:space="preserve">, </w:t>
      </w:r>
      <w:r w:rsidR="006F6842">
        <w:t>North Central</w:t>
      </w:r>
      <w:r w:rsidR="003C219D">
        <w:t xml:space="preserve">, </w:t>
      </w:r>
      <w:r w:rsidR="006F6842">
        <w:t>North West</w:t>
      </w:r>
      <w:r w:rsidR="00DD2CA4">
        <w:t>,</w:t>
      </w:r>
      <w:r w:rsidR="003C219D">
        <w:t xml:space="preserve"> and </w:t>
      </w:r>
      <w:r w:rsidR="006F6842">
        <w:t>North East</w:t>
      </w:r>
      <w:r w:rsidR="003C219D">
        <w:t xml:space="preserve">), as shown in </w:t>
      </w:r>
      <w:r w:rsidR="003C219D">
        <w:fldChar w:fldCharType="begin"/>
      </w:r>
      <w:r w:rsidR="003C219D">
        <w:instrText xml:space="preserve"> REF _Ref430620663 \h </w:instrText>
      </w:r>
      <w:r w:rsidR="003C219D">
        <w:fldChar w:fldCharType="separate"/>
      </w:r>
      <w:r w:rsidR="00DD2CA4">
        <w:t>f</w:t>
      </w:r>
      <w:r w:rsidR="008A3BBD" w:rsidRPr="003C219D">
        <w:t xml:space="preserve">igure </w:t>
      </w:r>
      <w:r w:rsidR="008A3BBD">
        <w:rPr>
          <w:noProof/>
        </w:rPr>
        <w:t>13</w:t>
      </w:r>
      <w:r w:rsidR="003C219D">
        <w:fldChar w:fldCharType="end"/>
      </w:r>
      <w:r w:rsidR="00C945D9">
        <w:t xml:space="preserve"> below</w:t>
      </w:r>
      <w:r w:rsidR="003C219D">
        <w:t xml:space="preserve">. </w:t>
      </w:r>
      <w:r w:rsidR="00B345EC" w:rsidRPr="00986C4D">
        <w:t>Different measures of firm-level productivity are used throughout this report, namely total factor productivity (TFP), labor productivity</w:t>
      </w:r>
      <w:r w:rsidR="00DD2CA4">
        <w:t>,</w:t>
      </w:r>
      <w:r w:rsidR="00EF49F4">
        <w:t xml:space="preserve"> and</w:t>
      </w:r>
      <w:r w:rsidR="00B345EC" w:rsidRPr="00986C4D">
        <w:t xml:space="preserve"> capital productivity.</w:t>
      </w:r>
      <w:r w:rsidR="00F428F9">
        <w:t xml:space="preserve"> </w:t>
      </w:r>
      <w:r w:rsidR="00B345EC" w:rsidRPr="001F543C">
        <w:t>It then investigates the drivers of productivity and employment growth by linki</w:t>
      </w:r>
      <w:r w:rsidR="00B345EC" w:rsidRPr="00986C4D">
        <w:t xml:space="preserve">ng firm-level variations to firm characteristics or different degrees of </w:t>
      </w:r>
      <w:r w:rsidR="007E45C5">
        <w:t>investment climate</w:t>
      </w:r>
      <w:r w:rsidR="00B345EC" w:rsidRPr="00986C4D">
        <w:t xml:space="preserve"> constraints. </w:t>
      </w:r>
      <w:r w:rsidR="00CD4389">
        <w:t>In particular, u</w:t>
      </w:r>
      <w:r w:rsidR="00B345EC" w:rsidRPr="00986C4D">
        <w:t xml:space="preserve">nderstanding the impact of </w:t>
      </w:r>
      <w:r w:rsidR="007E45C5">
        <w:t>investment climate</w:t>
      </w:r>
      <w:r w:rsidR="00CD4389" w:rsidRPr="00986C4D">
        <w:t xml:space="preserve"> </w:t>
      </w:r>
      <w:r w:rsidR="00B345EC" w:rsidRPr="00986C4D">
        <w:t xml:space="preserve">constraints on firms is crucial to </w:t>
      </w:r>
      <w:r w:rsidR="005213D6" w:rsidRPr="00986C4D">
        <w:t>identify</w:t>
      </w:r>
      <w:r w:rsidR="00CD4389">
        <w:t>ing</w:t>
      </w:r>
      <w:r w:rsidR="005213D6" w:rsidRPr="00986C4D">
        <w:t xml:space="preserve"> </w:t>
      </w:r>
      <w:r w:rsidR="00CD4389">
        <w:t xml:space="preserve">private sector challenges </w:t>
      </w:r>
      <w:r w:rsidR="005213D6" w:rsidRPr="00986C4D">
        <w:t>and formula</w:t>
      </w:r>
      <w:r w:rsidR="00CD4389">
        <w:t xml:space="preserve">ting </w:t>
      </w:r>
      <w:r w:rsidR="005213D6" w:rsidRPr="00986C4D">
        <w:t>tailored recommendations.</w:t>
      </w:r>
      <w:r w:rsidR="00F428F9">
        <w:t xml:space="preserve"> </w:t>
      </w:r>
    </w:p>
    <w:p w14:paraId="2CC574DE" w14:textId="046BC476" w:rsidR="00B345EC" w:rsidRPr="00986C4D" w:rsidRDefault="004E78E7" w:rsidP="00D727BF">
      <w:pPr>
        <w:pStyle w:val="ParagraphNumbering"/>
        <w:numPr>
          <w:ilvl w:val="0"/>
          <w:numId w:val="0"/>
        </w:numPr>
        <w:tabs>
          <w:tab w:val="left" w:pos="720"/>
        </w:tabs>
        <w:spacing w:after="240"/>
      </w:pPr>
      <w:r>
        <w:rPr>
          <w:b/>
        </w:rPr>
        <w:tab/>
      </w:r>
      <w:r w:rsidR="00B345EC" w:rsidRPr="003C219D">
        <w:rPr>
          <w:b/>
        </w:rPr>
        <w:t>Different data sources are used to better understand</w:t>
      </w:r>
      <w:r w:rsidR="00B345EC" w:rsidRPr="000F6A00">
        <w:t xml:space="preserve"> the drivers of employment and </w:t>
      </w:r>
      <w:r w:rsidR="005213D6" w:rsidRPr="000F6A00">
        <w:t>productivity growth in Nigeria.</w:t>
      </w:r>
      <w:r w:rsidR="005213D6" w:rsidRPr="001F543C">
        <w:t xml:space="preserve"> The General Household </w:t>
      </w:r>
      <w:r w:rsidR="005213D6" w:rsidRPr="00986C4D">
        <w:t xml:space="preserve">Survey (GHS) </w:t>
      </w:r>
      <w:r w:rsidR="00224226">
        <w:t xml:space="preserve">provides data on the </w:t>
      </w:r>
      <w:r w:rsidR="005213D6" w:rsidRPr="00986C4D">
        <w:t xml:space="preserve">contribution of wage work </w:t>
      </w:r>
      <w:r w:rsidR="00224226">
        <w:t>to</w:t>
      </w:r>
      <w:r w:rsidR="005213D6" w:rsidRPr="00986C4D">
        <w:t xml:space="preserve"> the Nigerian economy and </w:t>
      </w:r>
      <w:r w:rsidR="00224226">
        <w:t>its share of</w:t>
      </w:r>
      <w:r w:rsidR="005213D6" w:rsidRPr="00986C4D">
        <w:t xml:space="preserve"> total employment. In </w:t>
      </w:r>
      <w:r w:rsidR="005213D6" w:rsidRPr="00986C4D">
        <w:lastRenderedPageBreak/>
        <w:t xml:space="preserve">addition, </w:t>
      </w:r>
      <w:r w:rsidR="00224226">
        <w:t>the GHS</w:t>
      </w:r>
      <w:r w:rsidR="005213D6" w:rsidRPr="00986C4D">
        <w:t xml:space="preserve"> module o</w:t>
      </w:r>
      <w:r w:rsidR="00224226">
        <w:t xml:space="preserve">n NFEs </w:t>
      </w:r>
      <w:r w:rsidR="005213D6" w:rsidRPr="00986C4D">
        <w:t xml:space="preserve">provides information on </w:t>
      </w:r>
      <w:r w:rsidR="00224226">
        <w:t xml:space="preserve">the </w:t>
      </w:r>
      <w:r w:rsidR="005213D6" w:rsidRPr="001F543C">
        <w:t>dy</w:t>
      </w:r>
      <w:r w:rsidR="005213D6" w:rsidRPr="00986C4D">
        <w:t>namics of the</w:t>
      </w:r>
      <w:r w:rsidR="00224226">
        <w:t>se</w:t>
      </w:r>
      <w:r w:rsidR="005213D6" w:rsidRPr="001F543C">
        <w:t xml:space="preserve"> micro and small enterprises</w:t>
      </w:r>
      <w:r w:rsidR="00224226">
        <w:t>,</w:t>
      </w:r>
      <w:r w:rsidR="005213D6" w:rsidRPr="001F543C">
        <w:t xml:space="preserve"> </w:t>
      </w:r>
      <w:r w:rsidR="00CD4389">
        <w:t>as well as</w:t>
      </w:r>
      <w:r w:rsidR="00CD4389" w:rsidRPr="001F543C">
        <w:t xml:space="preserve"> </w:t>
      </w:r>
      <w:r w:rsidR="005213D6" w:rsidRPr="001F543C">
        <w:t>the</w:t>
      </w:r>
      <w:r w:rsidR="005213D6" w:rsidRPr="00986C4D">
        <w:t xml:space="preserve"> constraints</w:t>
      </w:r>
      <w:r w:rsidR="00224226">
        <w:t xml:space="preserve"> they face</w:t>
      </w:r>
      <w:r w:rsidR="005213D6" w:rsidRPr="001F543C">
        <w:t xml:space="preserve">. </w:t>
      </w:r>
      <w:r w:rsidR="00224226">
        <w:t>T</w:t>
      </w:r>
      <w:r w:rsidR="005213D6" w:rsidRPr="001F543C">
        <w:t>he Enterprise Survey covers mainly formal enterprises</w:t>
      </w:r>
      <w:r w:rsidR="00224226">
        <w:t xml:space="preserve"> with more than </w:t>
      </w:r>
      <w:r w:rsidR="0023354A">
        <w:t>ten</w:t>
      </w:r>
      <w:r w:rsidR="005213D6" w:rsidRPr="001F543C">
        <w:t xml:space="preserve"> employees and </w:t>
      </w:r>
      <w:r w:rsidR="005213D6" w:rsidRPr="00986C4D">
        <w:t>was used to analyze the dynamics and constraints of the</w:t>
      </w:r>
      <w:r w:rsidR="005213D6" w:rsidRPr="001F543C">
        <w:t xml:space="preserve"> formal</w:t>
      </w:r>
      <w:r w:rsidR="005213D6" w:rsidRPr="00986C4D">
        <w:t xml:space="preserve"> sector in Nigeria. </w:t>
      </w:r>
    </w:p>
    <w:p w14:paraId="2E212FE8" w14:textId="123FD658" w:rsidR="005213D6" w:rsidRPr="00986C4D" w:rsidRDefault="004E78E7" w:rsidP="00D727BF">
      <w:pPr>
        <w:pStyle w:val="ParagraphNumbering"/>
        <w:numPr>
          <w:ilvl w:val="0"/>
          <w:numId w:val="0"/>
        </w:numPr>
        <w:tabs>
          <w:tab w:val="left" w:pos="720"/>
        </w:tabs>
        <w:spacing w:after="240"/>
      </w:pPr>
      <w:r>
        <w:rPr>
          <w:b/>
        </w:rPr>
        <w:tab/>
      </w:r>
      <w:r w:rsidR="005213D6" w:rsidRPr="00224226">
        <w:rPr>
          <w:b/>
        </w:rPr>
        <w:t>General Household Survey.</w:t>
      </w:r>
      <w:r w:rsidR="005213D6" w:rsidRPr="001F543C">
        <w:t xml:space="preserve"> The </w:t>
      </w:r>
      <w:r w:rsidR="00224226">
        <w:t>survey was carried out by the National Bureau of Statistics (N</w:t>
      </w:r>
      <w:r w:rsidR="005213D6" w:rsidRPr="00986C4D">
        <w:t>BS</w:t>
      </w:r>
      <w:r w:rsidR="00224226">
        <w:t>)</w:t>
      </w:r>
      <w:r w:rsidR="005213D6" w:rsidRPr="001F543C">
        <w:t xml:space="preserve"> in collaboration with the Federal Ministry of Agriculture and Rural Development (FMA&amp;RD), the National Food Reserve Agency (NFRA), the Bil</w:t>
      </w:r>
      <w:r w:rsidR="005213D6" w:rsidRPr="00986C4D">
        <w:t>l and Melinda Gates Foundation (BMGF)</w:t>
      </w:r>
      <w:r w:rsidR="0078259C">
        <w:t>,</w:t>
      </w:r>
      <w:r w:rsidR="005213D6" w:rsidRPr="001F543C">
        <w:t xml:space="preserve"> and the World Bank (WB)</w:t>
      </w:r>
      <w:r w:rsidR="00FC1D55">
        <w:t>.</w:t>
      </w:r>
      <w:r w:rsidR="00F428F9">
        <w:t xml:space="preserve"> </w:t>
      </w:r>
      <w:r w:rsidR="00FC1D55">
        <w:t>It comprises</w:t>
      </w:r>
      <w:r w:rsidR="0078259C">
        <w:t xml:space="preserve"> a </w:t>
      </w:r>
      <w:r w:rsidR="005213D6" w:rsidRPr="00986C4D">
        <w:t xml:space="preserve">cross-sectional survey of </w:t>
      </w:r>
      <w:r w:rsidR="00DD2CA4">
        <w:t>twenty-two thousand</w:t>
      </w:r>
      <w:r w:rsidR="005213D6" w:rsidRPr="00986C4D">
        <w:t xml:space="preserve"> households throughout the country on an annual basis. Under the partnership, a full revision of the questionnaire was undertaken</w:t>
      </w:r>
      <w:r w:rsidR="0078259C">
        <w:t>,</w:t>
      </w:r>
      <w:r w:rsidR="005213D6" w:rsidRPr="001F543C">
        <w:t xml:space="preserve"> and</w:t>
      </w:r>
      <w:r w:rsidR="005213D6" w:rsidRPr="00986C4D">
        <w:t xml:space="preserve"> </w:t>
      </w:r>
      <w:r w:rsidR="00DD2CA4">
        <w:t>five thousand</w:t>
      </w:r>
      <w:r w:rsidR="0078259C">
        <w:t xml:space="preserve"> households became part of a </w:t>
      </w:r>
      <w:r w:rsidR="005213D6" w:rsidRPr="00986C4D">
        <w:t>panel survey</w:t>
      </w:r>
      <w:r w:rsidR="00FC1D55">
        <w:t>, which collected</w:t>
      </w:r>
      <w:r w:rsidR="0078259C">
        <w:t xml:space="preserve"> </w:t>
      </w:r>
      <w:r w:rsidR="005213D6" w:rsidRPr="00986C4D">
        <w:t>additional data on multiple agricultural activities and household consumption.</w:t>
      </w:r>
      <w:r w:rsidR="00F428F9">
        <w:t xml:space="preserve"> </w:t>
      </w:r>
      <w:r w:rsidR="005213D6" w:rsidRPr="00986C4D">
        <w:t xml:space="preserve">The </w:t>
      </w:r>
      <w:r w:rsidR="0078259C">
        <w:t xml:space="preserve">purpose of the </w:t>
      </w:r>
      <w:r w:rsidR="005213D6" w:rsidRPr="00986C4D">
        <w:t xml:space="preserve">panel component </w:t>
      </w:r>
      <w:r w:rsidR="00FC1D55">
        <w:t>was</w:t>
      </w:r>
      <w:r w:rsidR="005213D6" w:rsidRPr="00986C4D">
        <w:t xml:space="preserve"> to improve data from the agriculture sector and link this to other facets of household behavior and characteristics. The first wave of the revised GHS and GHS-Panel was carried out in two visits to the </w:t>
      </w:r>
      <w:r w:rsidR="0078259C">
        <w:t>p</w:t>
      </w:r>
      <w:r w:rsidR="005213D6" w:rsidRPr="00986C4D">
        <w:t>anel households (</w:t>
      </w:r>
      <w:r w:rsidR="00127EAF">
        <w:t>after</w:t>
      </w:r>
      <w:r w:rsidR="005213D6" w:rsidRPr="00986C4D">
        <w:t>-planting visit in August</w:t>
      </w:r>
      <w:r w:rsidR="00DD2CA4">
        <w:rPr>
          <w:rFonts w:ascii="Calibri" w:hAnsi="Calibri"/>
        </w:rPr>
        <w:t>‒</w:t>
      </w:r>
      <w:r w:rsidR="005213D6" w:rsidRPr="00986C4D">
        <w:t xml:space="preserve">October 2010 and </w:t>
      </w:r>
      <w:r w:rsidR="00127EAF">
        <w:t>after</w:t>
      </w:r>
      <w:r w:rsidR="005213D6" w:rsidRPr="00986C4D">
        <w:t>-harvest visit in February</w:t>
      </w:r>
      <w:r w:rsidR="00DD2CA4">
        <w:rPr>
          <w:rFonts w:ascii="Calibri" w:hAnsi="Calibri"/>
        </w:rPr>
        <w:t>‒</w:t>
      </w:r>
      <w:r w:rsidR="005213D6" w:rsidRPr="00986C4D">
        <w:t>April 2011)</w:t>
      </w:r>
      <w:r w:rsidR="0078259C">
        <w:t>,</w:t>
      </w:r>
      <w:r w:rsidR="005213D6" w:rsidRPr="001F543C">
        <w:t xml:space="preserve"> and one visit to the full cross</w:t>
      </w:r>
      <w:r w:rsidR="00127EAF">
        <w:t xml:space="preserve"> </w:t>
      </w:r>
      <w:r w:rsidR="005213D6" w:rsidRPr="001F543C">
        <w:t xml:space="preserve">section (in parallel with the </w:t>
      </w:r>
      <w:r w:rsidR="00127EAF">
        <w:t>after</w:t>
      </w:r>
      <w:r w:rsidR="005213D6" w:rsidRPr="001F543C">
        <w:t>-harvest visit to the panel).</w:t>
      </w:r>
      <w:r w:rsidR="00F428F9">
        <w:t xml:space="preserve"> </w:t>
      </w:r>
      <w:r w:rsidR="005213D6" w:rsidRPr="001F543C">
        <w:t>The</w:t>
      </w:r>
      <w:r w:rsidR="005213D6" w:rsidRPr="00986C4D">
        <w:t xml:space="preserve"> second wave was carried out in 2012 in two visits (</w:t>
      </w:r>
      <w:r w:rsidR="00127EAF">
        <w:t>after</w:t>
      </w:r>
      <w:r w:rsidR="005213D6" w:rsidRPr="00986C4D">
        <w:t>-planting visit in September</w:t>
      </w:r>
      <w:r w:rsidR="00DD2CA4">
        <w:rPr>
          <w:rFonts w:ascii="Calibri" w:hAnsi="Calibri"/>
        </w:rPr>
        <w:t>‒</w:t>
      </w:r>
      <w:r w:rsidR="005213D6" w:rsidRPr="00986C4D">
        <w:t xml:space="preserve">November 2012 and </w:t>
      </w:r>
      <w:r w:rsidR="00127EAF">
        <w:t>after</w:t>
      </w:r>
      <w:r w:rsidR="005213D6" w:rsidRPr="00986C4D">
        <w:t>-harvest visit in February</w:t>
      </w:r>
      <w:r w:rsidR="00DD2CA4">
        <w:rPr>
          <w:rFonts w:ascii="Calibri" w:hAnsi="Calibri"/>
        </w:rPr>
        <w:t>‒</w:t>
      </w:r>
      <w:r w:rsidR="005213D6" w:rsidRPr="00986C4D">
        <w:t>April 2013). We made use of the household questionnaire</w:t>
      </w:r>
      <w:r w:rsidR="00DD2CA4">
        <w:t>—</w:t>
      </w:r>
      <w:r w:rsidR="005213D6" w:rsidRPr="00986C4D">
        <w:t>in particular the module on non-farm enterprises</w:t>
      </w:r>
      <w:r w:rsidR="00DD2CA4">
        <w:t>—</w:t>
      </w:r>
      <w:r w:rsidR="005213D6" w:rsidRPr="00986C4D">
        <w:t>as well as the community questionnaire to characterize the different Nigerian states.</w:t>
      </w:r>
    </w:p>
    <w:p w14:paraId="4A37A728" w14:textId="55D47FD1" w:rsidR="00AB05A1" w:rsidRPr="00986C4D" w:rsidRDefault="004E78E7" w:rsidP="00D727BF">
      <w:pPr>
        <w:pStyle w:val="ParagraphNumbering"/>
        <w:numPr>
          <w:ilvl w:val="0"/>
          <w:numId w:val="0"/>
        </w:numPr>
        <w:tabs>
          <w:tab w:val="left" w:pos="720"/>
        </w:tabs>
        <w:spacing w:after="240"/>
      </w:pPr>
      <w:r>
        <w:rPr>
          <w:b/>
        </w:rPr>
        <w:tab/>
      </w:r>
      <w:r w:rsidR="00AB05A1" w:rsidRPr="00FC1D55">
        <w:rPr>
          <w:b/>
        </w:rPr>
        <w:t>Enterprise Survey</w:t>
      </w:r>
      <w:r w:rsidR="00FC1D55">
        <w:rPr>
          <w:b/>
        </w:rPr>
        <w:t xml:space="preserve">. </w:t>
      </w:r>
      <w:r w:rsidR="00A50F62" w:rsidRPr="00986C4D">
        <w:t xml:space="preserve">The survey was conducted in Nigeria </w:t>
      </w:r>
      <w:r w:rsidR="00F5511E" w:rsidRPr="00986C4D">
        <w:t>from April 2014 to February 2015</w:t>
      </w:r>
      <w:r w:rsidR="00AB05A1" w:rsidRPr="00986C4D">
        <w:t xml:space="preserve">. The sample </w:t>
      </w:r>
      <w:r w:rsidR="00FC1D55">
        <w:t>was</w:t>
      </w:r>
      <w:r w:rsidR="00A50F62" w:rsidRPr="00986C4D">
        <w:t xml:space="preserve"> </w:t>
      </w:r>
      <w:r w:rsidR="00AB05A1" w:rsidRPr="00986C4D">
        <w:t>composed of firms in manufacturing, construction</w:t>
      </w:r>
      <w:r w:rsidR="00FC1D55">
        <w:t>,</w:t>
      </w:r>
      <w:r w:rsidR="00AB05A1" w:rsidRPr="001F543C">
        <w:t xml:space="preserve"> and retail and wholesale trade.</w:t>
      </w:r>
      <w:r w:rsidR="00F428F9">
        <w:t xml:space="preserve"> </w:t>
      </w:r>
      <w:r w:rsidR="00AB05A1" w:rsidRPr="001F543C">
        <w:t xml:space="preserve">Within these broad sectors, firms </w:t>
      </w:r>
      <w:r w:rsidR="00FC1D55">
        <w:t>wer</w:t>
      </w:r>
      <w:r w:rsidR="00A50F62" w:rsidRPr="001F543C">
        <w:t>e</w:t>
      </w:r>
      <w:r w:rsidR="00AB05A1" w:rsidRPr="00986C4D">
        <w:t xml:space="preserve"> randomly selected from lists of registered firms. The sample </w:t>
      </w:r>
      <w:r w:rsidR="00CD4389">
        <w:t>consisted of</w:t>
      </w:r>
      <w:r w:rsidR="00CD4389" w:rsidRPr="00986C4D">
        <w:t xml:space="preserve"> </w:t>
      </w:r>
      <w:r w:rsidR="00F5511E" w:rsidRPr="00986C4D">
        <w:t>2,676</w:t>
      </w:r>
      <w:r w:rsidR="00AB05A1" w:rsidRPr="00986C4D">
        <w:t xml:space="preserve"> </w:t>
      </w:r>
      <w:r w:rsidR="00FC1D55">
        <w:t>small (</w:t>
      </w:r>
      <w:r w:rsidR="009D0317">
        <w:t xml:space="preserve">five to forty-nine </w:t>
      </w:r>
      <w:r w:rsidR="00FC1D55">
        <w:t>employees), medium (</w:t>
      </w:r>
      <w:r w:rsidR="009D0317">
        <w:t>fifty to ninety-nine</w:t>
      </w:r>
      <w:r w:rsidR="00CD4389">
        <w:t xml:space="preserve"> employees</w:t>
      </w:r>
      <w:r w:rsidR="00FC1D55">
        <w:t xml:space="preserve">) and large (more than </w:t>
      </w:r>
      <w:r w:rsidR="009D0317">
        <w:t xml:space="preserve">one hundred </w:t>
      </w:r>
      <w:r w:rsidR="00CD4389">
        <w:t>employees</w:t>
      </w:r>
      <w:r w:rsidR="00FC1D55">
        <w:t xml:space="preserve">) </w:t>
      </w:r>
      <w:r w:rsidR="00AB05A1" w:rsidRPr="001F543C">
        <w:t>firms</w:t>
      </w:r>
      <w:r w:rsidR="00F5511E" w:rsidRPr="00986C4D">
        <w:t xml:space="preserve"> in </w:t>
      </w:r>
      <w:r w:rsidR="009D0317">
        <w:t>nineteen</w:t>
      </w:r>
      <w:r w:rsidR="009D0317" w:rsidRPr="00986C4D">
        <w:t xml:space="preserve"> </w:t>
      </w:r>
      <w:r w:rsidR="00F5511E" w:rsidRPr="00986C4D">
        <w:t>states</w:t>
      </w:r>
      <w:r w:rsidR="00AB05A1" w:rsidRPr="00986C4D">
        <w:t xml:space="preserve">, with </w:t>
      </w:r>
      <w:r w:rsidR="00CD4389">
        <w:t xml:space="preserve">approximately </w:t>
      </w:r>
      <w:r w:rsidR="00FC1D55">
        <w:t>50</w:t>
      </w:r>
      <w:r w:rsidR="00AB05A1" w:rsidRPr="00986C4D">
        <w:t xml:space="preserve"> percent in manufacturing. Only formal</w:t>
      </w:r>
      <w:r w:rsidR="00CD4389">
        <w:t>ly</w:t>
      </w:r>
      <w:r w:rsidR="007333FE">
        <w:t xml:space="preserve"> </w:t>
      </w:r>
      <w:r w:rsidR="00AB05A1" w:rsidRPr="00986C4D">
        <w:t>establish</w:t>
      </w:r>
      <w:r w:rsidR="00CD4389">
        <w:t xml:space="preserve">ed firms </w:t>
      </w:r>
      <w:r w:rsidR="00AB05A1" w:rsidRPr="00986C4D">
        <w:t xml:space="preserve">with five or more employees </w:t>
      </w:r>
      <w:r w:rsidR="00FC1D55">
        <w:t>we</w:t>
      </w:r>
      <w:r w:rsidR="00A50F62" w:rsidRPr="001F543C">
        <w:t>re</w:t>
      </w:r>
      <w:r w:rsidR="00AB05A1" w:rsidRPr="00986C4D">
        <w:t xml:space="preserve"> included in the sample. </w:t>
      </w:r>
      <w:r w:rsidR="00C64E0C" w:rsidRPr="00986C4D">
        <w:t xml:space="preserve">A module on innovation was also administered to a portion of this sample. Details on the Enterprise </w:t>
      </w:r>
      <w:r w:rsidR="00CD4389">
        <w:t>S</w:t>
      </w:r>
      <w:r w:rsidR="00C64E0C" w:rsidRPr="00986C4D">
        <w:t xml:space="preserve">urvey are provided in Annex 2. </w:t>
      </w:r>
    </w:p>
    <w:p w14:paraId="54147522" w14:textId="54385116" w:rsidR="0095350C" w:rsidRPr="00AB05A1" w:rsidRDefault="004E78E7" w:rsidP="00D727BF">
      <w:pPr>
        <w:pStyle w:val="ParagraphNumbering"/>
        <w:numPr>
          <w:ilvl w:val="0"/>
          <w:numId w:val="0"/>
        </w:numPr>
        <w:tabs>
          <w:tab w:val="left" w:pos="720"/>
        </w:tabs>
        <w:spacing w:after="240"/>
      </w:pPr>
      <w:r>
        <w:rPr>
          <w:b/>
        </w:rPr>
        <w:tab/>
      </w:r>
      <w:r w:rsidR="0095350C" w:rsidRPr="000F6A00">
        <w:rPr>
          <w:b/>
        </w:rPr>
        <w:t>Other sources used in this report</w:t>
      </w:r>
      <w:r w:rsidR="00FC1D55">
        <w:rPr>
          <w:b/>
        </w:rPr>
        <w:t xml:space="preserve"> include </w:t>
      </w:r>
      <w:r w:rsidR="00FC1D55">
        <w:t>two I</w:t>
      </w:r>
      <w:r w:rsidR="00FC1D55" w:rsidRPr="00B10022">
        <w:t>nvestment Climate Surveys</w:t>
      </w:r>
      <w:r w:rsidR="00FC1D55">
        <w:t xml:space="preserve"> (2009, 2011); the</w:t>
      </w:r>
      <w:r w:rsidR="00FC1D55" w:rsidRPr="00B10022">
        <w:t xml:space="preserve"> </w:t>
      </w:r>
      <w:r w:rsidR="0095350C" w:rsidRPr="001F543C">
        <w:t xml:space="preserve">Doing Business </w:t>
      </w:r>
      <w:r w:rsidR="00FC1D55">
        <w:t xml:space="preserve">Report </w:t>
      </w:r>
      <w:r w:rsidR="0095350C" w:rsidRPr="001F543C">
        <w:t>(2015)</w:t>
      </w:r>
      <w:r w:rsidR="00FC1D55">
        <w:t>;</w:t>
      </w:r>
      <w:r w:rsidR="0072774C">
        <w:t xml:space="preserve"> and results from the YouWin</w:t>
      </w:r>
      <w:r w:rsidR="0095350C" w:rsidRPr="001F543C">
        <w:t xml:space="preserve"> </w:t>
      </w:r>
      <w:r w:rsidR="0072774C">
        <w:t>(</w:t>
      </w:r>
      <w:r w:rsidR="0095350C">
        <w:t>Youth Enterprise with Innovation</w:t>
      </w:r>
      <w:r w:rsidR="0072774C">
        <w:t>)</w:t>
      </w:r>
      <w:r w:rsidR="00FC1D55">
        <w:t xml:space="preserve"> program</w:t>
      </w:r>
      <w:r w:rsidR="004E2FB4">
        <w:t>. The YouWin program</w:t>
      </w:r>
      <w:r w:rsidR="00CD4389">
        <w:t>, which</w:t>
      </w:r>
      <w:r w:rsidR="004E2FB4">
        <w:t xml:space="preserve"> was launched in 2011 by the Nigerian </w:t>
      </w:r>
      <w:r w:rsidR="00CD4389">
        <w:t>G</w:t>
      </w:r>
      <w:r w:rsidR="004E2FB4">
        <w:t>overnment</w:t>
      </w:r>
      <w:r w:rsidR="00CD4389">
        <w:t xml:space="preserve">, </w:t>
      </w:r>
      <w:r w:rsidR="006E2323">
        <w:t xml:space="preserve">provided grants to </w:t>
      </w:r>
      <w:r w:rsidR="009D0317">
        <w:t>four thousand</w:t>
      </w:r>
      <w:r w:rsidR="00CD4389">
        <w:t xml:space="preserve"> firms </w:t>
      </w:r>
      <w:r w:rsidR="006E2323">
        <w:t xml:space="preserve">that </w:t>
      </w:r>
      <w:r w:rsidR="00CD4389">
        <w:t>were selected through a three-round business plan competition</w:t>
      </w:r>
      <w:r w:rsidR="006E2323">
        <w:t xml:space="preserve">. The third round of the program </w:t>
      </w:r>
      <w:r w:rsidR="0095350C">
        <w:t xml:space="preserve">attracted almost </w:t>
      </w:r>
      <w:r w:rsidR="007A3289">
        <w:t>114</w:t>
      </w:r>
      <w:r w:rsidR="0095350C">
        <w:t>,000 applications</w:t>
      </w:r>
      <w:r w:rsidR="007A3289">
        <w:t xml:space="preserve"> </w:t>
      </w:r>
      <w:r w:rsidR="0072774C">
        <w:t xml:space="preserve">and </w:t>
      </w:r>
      <w:r w:rsidR="00BB3899">
        <w:t>provided</w:t>
      </w:r>
      <w:r w:rsidR="006E2323">
        <w:t xml:space="preserve"> </w:t>
      </w:r>
      <w:r w:rsidR="0072774C">
        <w:t xml:space="preserve">a large source of information </w:t>
      </w:r>
      <w:r w:rsidR="00BB3899">
        <w:t xml:space="preserve">on </w:t>
      </w:r>
      <w:r w:rsidR="0072774C">
        <w:t>Nigerian entrepreneurs.</w:t>
      </w:r>
      <w:r w:rsidR="00FC1D55">
        <w:t xml:space="preserve"> </w:t>
      </w:r>
    </w:p>
    <w:p w14:paraId="49DF7DEE" w14:textId="77777777" w:rsidR="00791319" w:rsidRPr="00A50F62" w:rsidRDefault="00791319" w:rsidP="00D727BF">
      <w:pPr>
        <w:pStyle w:val="ParagraphNumbering"/>
        <w:tabs>
          <w:tab w:val="left" w:pos="720"/>
        </w:tabs>
        <w:sectPr w:rsidR="00791319" w:rsidRPr="00A50F62" w:rsidSect="009130F4">
          <w:pgSz w:w="16983" w:h="15840"/>
          <w:pgMar w:top="1440" w:right="6183" w:bottom="1440" w:left="1440" w:header="720" w:footer="720" w:gutter="0"/>
          <w:cols w:space="720"/>
          <w:docGrid w:linePitch="360"/>
        </w:sectPr>
      </w:pPr>
    </w:p>
    <w:p w14:paraId="6D091EF8" w14:textId="2CB172BC" w:rsidR="00892767" w:rsidRDefault="003C219D" w:rsidP="00D727BF">
      <w:pPr>
        <w:pStyle w:val="Caption"/>
        <w:keepNext/>
        <w:tabs>
          <w:tab w:val="left" w:pos="720"/>
        </w:tabs>
        <w:jc w:val="center"/>
      </w:pPr>
      <w:bookmarkStart w:id="79" w:name="_Ref430620663"/>
      <w:bookmarkStart w:id="80" w:name="_Toc445449631"/>
      <w:bookmarkStart w:id="81" w:name="_Toc414533448"/>
      <w:r w:rsidRPr="003C219D">
        <w:lastRenderedPageBreak/>
        <w:t xml:space="preserve">Figure </w:t>
      </w:r>
      <w:fldSimple w:instr=" SEQ Figure \* ARABIC ">
        <w:r w:rsidR="008A3BBD">
          <w:rPr>
            <w:noProof/>
          </w:rPr>
          <w:t>13</w:t>
        </w:r>
      </w:fldSimple>
      <w:bookmarkEnd w:id="79"/>
      <w:r w:rsidRPr="003C219D">
        <w:t xml:space="preserve">: States and </w:t>
      </w:r>
      <w:r>
        <w:t>G</w:t>
      </w:r>
      <w:r w:rsidRPr="003C219D">
        <w:t xml:space="preserve">eopolitical </w:t>
      </w:r>
      <w:r>
        <w:t>Z</w:t>
      </w:r>
      <w:r w:rsidRPr="003C219D">
        <w:t>ones in Nigeria</w:t>
      </w:r>
      <w:bookmarkEnd w:id="80"/>
    </w:p>
    <w:p w14:paraId="27D92590" w14:textId="77777777" w:rsidR="00892767" w:rsidRDefault="00892767" w:rsidP="00D727BF">
      <w:pPr>
        <w:tabs>
          <w:tab w:val="left" w:pos="720"/>
        </w:tabs>
        <w:spacing w:after="0"/>
      </w:pPr>
    </w:p>
    <w:p w14:paraId="1DEEF026" w14:textId="11F61039" w:rsidR="00C459CE" w:rsidRDefault="003C219D" w:rsidP="00D727BF">
      <w:pPr>
        <w:tabs>
          <w:tab w:val="left" w:pos="720"/>
        </w:tabs>
      </w:pPr>
      <w:r>
        <w:rPr>
          <w:noProof/>
        </w:rPr>
        <w:drawing>
          <wp:inline distT="0" distB="0" distL="0" distR="0" wp14:anchorId="4B132599" wp14:editId="389647B5">
            <wp:extent cx="5943600" cy="4389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4389755"/>
                    </a:xfrm>
                    <a:prstGeom prst="rect">
                      <a:avLst/>
                    </a:prstGeom>
                  </pic:spPr>
                </pic:pic>
              </a:graphicData>
            </a:graphic>
          </wp:inline>
        </w:drawing>
      </w:r>
    </w:p>
    <w:p w14:paraId="2000ACDD" w14:textId="77777777" w:rsidR="00AD50AE" w:rsidRDefault="00AD50AE" w:rsidP="00D727BF">
      <w:pPr>
        <w:tabs>
          <w:tab w:val="left" w:pos="720"/>
        </w:tabs>
        <w:spacing w:after="0"/>
        <w:sectPr w:rsidR="00AD50AE" w:rsidSect="00AF12FD">
          <w:pgSz w:w="16983" w:h="15840"/>
          <w:pgMar w:top="1440" w:right="6183" w:bottom="1440" w:left="1440" w:header="720" w:footer="720" w:gutter="0"/>
          <w:cols w:space="720"/>
          <w:docGrid w:linePitch="360"/>
        </w:sectPr>
      </w:pPr>
      <w:bookmarkStart w:id="82" w:name="_Toc444877501"/>
    </w:p>
    <w:p w14:paraId="27856F2E" w14:textId="54F46A3C" w:rsidR="00A50F62" w:rsidRPr="00BD3722" w:rsidRDefault="0024246A" w:rsidP="00D727BF">
      <w:pPr>
        <w:pStyle w:val="Heading1"/>
        <w:numPr>
          <w:ilvl w:val="0"/>
          <w:numId w:val="0"/>
        </w:numPr>
        <w:tabs>
          <w:tab w:val="left" w:pos="720"/>
        </w:tabs>
        <w:ind w:left="20"/>
      </w:pPr>
      <w:bookmarkStart w:id="83" w:name="_Toc445450275"/>
      <w:r>
        <w:lastRenderedPageBreak/>
        <w:t>Chapter 2</w:t>
      </w:r>
      <w:r w:rsidR="00A50F62" w:rsidRPr="00BD3722">
        <w:t xml:space="preserve">: </w:t>
      </w:r>
      <w:r>
        <w:t>A Brief O</w:t>
      </w:r>
      <w:r w:rsidR="00A50F62">
        <w:t>verview of the Private Sector in Nigeria</w:t>
      </w:r>
      <w:bookmarkEnd w:id="82"/>
      <w:bookmarkEnd w:id="83"/>
    </w:p>
    <w:p w14:paraId="4506EDE2" w14:textId="77777777" w:rsidR="00A50F62" w:rsidRPr="002A7974" w:rsidRDefault="00A50F62" w:rsidP="00D727BF">
      <w:pPr>
        <w:pStyle w:val="Heading2"/>
        <w:numPr>
          <w:ilvl w:val="0"/>
          <w:numId w:val="13"/>
        </w:numPr>
        <w:tabs>
          <w:tab w:val="left" w:pos="720"/>
        </w:tabs>
      </w:pPr>
      <w:bookmarkStart w:id="84" w:name="_Toc414533449"/>
      <w:bookmarkStart w:id="85" w:name="_Toc444877502"/>
      <w:bookmarkStart w:id="86" w:name="_Toc445450276"/>
      <w:r w:rsidRPr="002A7974">
        <w:t>Introduction</w:t>
      </w:r>
      <w:bookmarkEnd w:id="84"/>
      <w:bookmarkEnd w:id="85"/>
      <w:bookmarkEnd w:id="86"/>
    </w:p>
    <w:p w14:paraId="35E0DD74" w14:textId="7158AA10" w:rsidR="00C9328C" w:rsidRPr="00CA5426" w:rsidRDefault="004E78E7" w:rsidP="00D727BF">
      <w:pPr>
        <w:pStyle w:val="ParagraphNumbering"/>
        <w:numPr>
          <w:ilvl w:val="0"/>
          <w:numId w:val="0"/>
        </w:numPr>
        <w:tabs>
          <w:tab w:val="left" w:pos="720"/>
        </w:tabs>
        <w:spacing w:after="240"/>
      </w:pPr>
      <w:r>
        <w:rPr>
          <w:b/>
        </w:rPr>
        <w:tab/>
      </w:r>
      <w:r w:rsidR="00AF716A">
        <w:rPr>
          <w:b/>
        </w:rPr>
        <w:t>Nigeria</w:t>
      </w:r>
      <w:r w:rsidR="00863D16">
        <w:rPr>
          <w:b/>
        </w:rPr>
        <w:t>’</w:t>
      </w:r>
      <w:r w:rsidR="00AF716A">
        <w:rPr>
          <w:b/>
        </w:rPr>
        <w:t xml:space="preserve">s </w:t>
      </w:r>
      <w:r w:rsidR="0049050E">
        <w:rPr>
          <w:b/>
        </w:rPr>
        <w:t>non</w:t>
      </w:r>
      <w:r w:rsidR="00C9328C" w:rsidRPr="00C9328C">
        <w:rPr>
          <w:b/>
        </w:rPr>
        <w:t>oil sector has been growing</w:t>
      </w:r>
      <w:r w:rsidR="00AC5E15">
        <w:rPr>
          <w:b/>
        </w:rPr>
        <w:t xml:space="preserve">, except </w:t>
      </w:r>
      <w:r w:rsidR="00BB3899">
        <w:rPr>
          <w:b/>
        </w:rPr>
        <w:t xml:space="preserve">in </w:t>
      </w:r>
      <w:r w:rsidR="00AC5E15">
        <w:rPr>
          <w:b/>
        </w:rPr>
        <w:t>manufacturing</w:t>
      </w:r>
      <w:r w:rsidR="00C9328C">
        <w:t>. I</w:t>
      </w:r>
      <w:r w:rsidR="00C9328C" w:rsidRPr="008A3F3E">
        <w:t xml:space="preserve">n the </w:t>
      </w:r>
      <w:r w:rsidR="00C9328C">
        <w:t>1990s</w:t>
      </w:r>
      <w:r w:rsidR="00C9328C" w:rsidRPr="008A3F3E">
        <w:t>,</w:t>
      </w:r>
      <w:r w:rsidR="00C9328C">
        <w:t xml:space="preserve"> the growth of oil production led to a low level of investment in </w:t>
      </w:r>
      <w:r w:rsidR="0049050E">
        <w:t>non</w:t>
      </w:r>
      <w:r w:rsidR="00C9328C">
        <w:t xml:space="preserve">oil sectors. </w:t>
      </w:r>
      <w:r w:rsidR="007A3289">
        <w:t xml:space="preserve">Since </w:t>
      </w:r>
      <w:r w:rsidR="00AC5E15">
        <w:t xml:space="preserve">the </w:t>
      </w:r>
      <w:r w:rsidR="007A3289">
        <w:t xml:space="preserve">early 2000s, the </w:t>
      </w:r>
      <w:r w:rsidR="00D970CA">
        <w:t>g</w:t>
      </w:r>
      <w:r w:rsidR="007A3289">
        <w:t xml:space="preserve">overnment of Nigeria has </w:t>
      </w:r>
      <w:r w:rsidR="00AC5E15">
        <w:t xml:space="preserve">been attempting to </w:t>
      </w:r>
      <w:r w:rsidR="007A3289">
        <w:t xml:space="preserve">diversify the Nigerian economy. </w:t>
      </w:r>
      <w:r w:rsidR="00C9328C" w:rsidRPr="00D76EBC">
        <w:t xml:space="preserve">Since 2003, </w:t>
      </w:r>
      <w:r w:rsidR="00AF716A">
        <w:t>70</w:t>
      </w:r>
      <w:r w:rsidR="00C9328C" w:rsidRPr="007B5544">
        <w:rPr>
          <w:rFonts w:ascii="Berling-Roman" w:hAnsi="Berling-Roman" w:cs="Berling-Roman"/>
          <w:color w:val="231F20"/>
        </w:rPr>
        <w:t xml:space="preserve"> </w:t>
      </w:r>
      <w:r w:rsidR="00C9328C" w:rsidRPr="00D727BF">
        <w:t xml:space="preserve">percent of growth observed in the </w:t>
      </w:r>
      <w:r w:rsidR="0049050E">
        <w:t>non</w:t>
      </w:r>
      <w:r w:rsidR="00C9328C" w:rsidRPr="00D727BF">
        <w:t xml:space="preserve">oil sector </w:t>
      </w:r>
      <w:r w:rsidR="008064D9">
        <w:t>has been</w:t>
      </w:r>
      <w:r w:rsidR="008064D9" w:rsidRPr="00D727BF">
        <w:t xml:space="preserve"> </w:t>
      </w:r>
      <w:r w:rsidR="00C9328C" w:rsidRPr="00D727BF">
        <w:t xml:space="preserve">attributable to the agriculture, wholesale, and retail sectors. Relatively new sectors, such as construction, </w:t>
      </w:r>
      <w:r w:rsidR="00AC5E15" w:rsidRPr="00D727BF">
        <w:t>financial</w:t>
      </w:r>
      <w:r w:rsidR="00C9328C" w:rsidRPr="00D727BF">
        <w:t xml:space="preserve">, and </w:t>
      </w:r>
      <w:r w:rsidR="00625626" w:rsidRPr="00D727BF">
        <w:t xml:space="preserve">ICT, </w:t>
      </w:r>
      <w:r w:rsidR="00AC5E15" w:rsidRPr="00D727BF">
        <w:t xml:space="preserve">have </w:t>
      </w:r>
      <w:r w:rsidR="00C9328C" w:rsidRPr="00D727BF">
        <w:t xml:space="preserve">also recorded high growth and initiated a structural transformation of the Nigerian economy </w:t>
      </w:r>
      <w:r w:rsidR="00396891" w:rsidRPr="00D727BF">
        <w:t>toward</w:t>
      </w:r>
      <w:r w:rsidR="00C9328C" w:rsidRPr="00D727BF">
        <w:t xml:space="preserve"> the services sector.</w:t>
      </w:r>
      <w:r w:rsidR="00C9328C" w:rsidRPr="00D727BF">
        <w:footnoteReference w:id="15"/>
      </w:r>
      <w:r w:rsidR="00C9328C" w:rsidRPr="00D727BF">
        <w:t xml:space="preserve"> The emblematic example of this success is the entertainment industry</w:t>
      </w:r>
      <w:r w:rsidR="00625626" w:rsidRPr="00D727BF">
        <w:t>—</w:t>
      </w:r>
      <w:r w:rsidR="00C9328C" w:rsidRPr="00D727BF">
        <w:t>also known as Nollywood</w:t>
      </w:r>
      <w:r w:rsidR="00625626" w:rsidRPr="00D727BF">
        <w:t>—</w:t>
      </w:r>
      <w:r w:rsidR="00D970CA">
        <w:t>that</w:t>
      </w:r>
      <w:r w:rsidR="00D970CA" w:rsidRPr="00D727BF">
        <w:t xml:space="preserve"> </w:t>
      </w:r>
      <w:r w:rsidR="00625626" w:rsidRPr="00D727BF">
        <w:t xml:space="preserve">directly </w:t>
      </w:r>
      <w:r w:rsidR="00C9328C" w:rsidRPr="00D727BF">
        <w:t xml:space="preserve">employs an estimated </w:t>
      </w:r>
      <w:r w:rsidR="00D970CA">
        <w:t>two hundred thousand</w:t>
      </w:r>
      <w:r w:rsidR="00C9328C" w:rsidRPr="00D727BF">
        <w:t xml:space="preserve"> people, mostly young university graduates. On the other hand, little investment has been made in the manufacturing sector</w:t>
      </w:r>
      <w:r w:rsidR="00D970CA">
        <w:t>,</w:t>
      </w:r>
      <w:r w:rsidR="00C9328C" w:rsidRPr="00D727BF">
        <w:t xml:space="preserve"> which</w:t>
      </w:r>
      <w:r w:rsidR="00D970CA">
        <w:t>,</w:t>
      </w:r>
      <w:r w:rsidR="00AC5E15" w:rsidRPr="00D727BF">
        <w:t xml:space="preserve"> </w:t>
      </w:r>
      <w:r w:rsidR="00C9328C" w:rsidRPr="00D727BF">
        <w:t>as a result</w:t>
      </w:r>
      <w:r w:rsidR="00D970CA">
        <w:t>,</w:t>
      </w:r>
      <w:r w:rsidR="00C9328C" w:rsidRPr="00D727BF">
        <w:t xml:space="preserve"> has progressively collapsed over the past decade. </w:t>
      </w:r>
    </w:p>
    <w:p w14:paraId="0E9C89A1" w14:textId="6C7B1455" w:rsidR="00982988" w:rsidRDefault="004E78E7" w:rsidP="00D727BF">
      <w:pPr>
        <w:pStyle w:val="ParagraphNumbering"/>
        <w:numPr>
          <w:ilvl w:val="0"/>
          <w:numId w:val="0"/>
        </w:numPr>
        <w:tabs>
          <w:tab w:val="left" w:pos="720"/>
        </w:tabs>
        <w:spacing w:after="240"/>
      </w:pPr>
      <w:r>
        <w:rPr>
          <w:b/>
        </w:rPr>
        <w:tab/>
      </w:r>
      <w:r w:rsidR="00AC5E15">
        <w:rPr>
          <w:b/>
        </w:rPr>
        <w:t xml:space="preserve">The private sector </w:t>
      </w:r>
      <w:r w:rsidR="00107101">
        <w:rPr>
          <w:b/>
        </w:rPr>
        <w:t xml:space="preserve">in Nigeria </w:t>
      </w:r>
      <w:r w:rsidR="00AC5E15">
        <w:rPr>
          <w:b/>
        </w:rPr>
        <w:t xml:space="preserve">remains </w:t>
      </w:r>
      <w:r w:rsidR="00107101">
        <w:rPr>
          <w:b/>
        </w:rPr>
        <w:t>difficult to define</w:t>
      </w:r>
      <w:r w:rsidR="00AC5E15">
        <w:rPr>
          <w:b/>
        </w:rPr>
        <w:t xml:space="preserve">. </w:t>
      </w:r>
      <w:r w:rsidR="001375AD">
        <w:t>Most Nigerian firms operate in the informal sector</w:t>
      </w:r>
      <w:r w:rsidR="00625626">
        <w:t>;</w:t>
      </w:r>
      <w:r w:rsidR="001375AD">
        <w:t xml:space="preserve"> they are not registered with the Corporate Affairs Commission (CAC) and do not pay taxes. As a result, the official numbers do not capture the informal activities that account for the bulk of the Nigerian economy. </w:t>
      </w:r>
      <w:r w:rsidR="00AD50AE">
        <w:t>T</w:t>
      </w:r>
      <w:r w:rsidR="001375AD">
        <w:t xml:space="preserve">he </w:t>
      </w:r>
      <w:r w:rsidR="00107101">
        <w:t>most recent</w:t>
      </w:r>
      <w:r w:rsidR="001375AD">
        <w:t xml:space="preserve"> National Census of Industries and Businesses (NCIB) was conducted in 1998</w:t>
      </w:r>
      <w:r w:rsidR="00D970CA">
        <w:rPr>
          <w:rFonts w:ascii="Calibri" w:hAnsi="Calibri"/>
        </w:rPr>
        <w:t>‒</w:t>
      </w:r>
      <w:r w:rsidR="001375AD">
        <w:t>99</w:t>
      </w:r>
      <w:r w:rsidR="00107101">
        <w:t xml:space="preserve">, and due to delays in making this data available, the resulting lack of information has posed challenges to policymakers. </w:t>
      </w:r>
      <w:r w:rsidR="001375AD">
        <w:t xml:space="preserve">The World Bank has conducted a series of </w:t>
      </w:r>
      <w:r w:rsidR="00C32950">
        <w:t>enterprise surveys</w:t>
      </w:r>
      <w:r w:rsidR="001375AD">
        <w:t xml:space="preserve"> (2007</w:t>
      </w:r>
      <w:r w:rsidR="00D970CA">
        <w:rPr>
          <w:rFonts w:ascii="Calibri" w:hAnsi="Calibri"/>
        </w:rPr>
        <w:t>‒</w:t>
      </w:r>
      <w:r w:rsidR="001375AD">
        <w:t>08, 2009</w:t>
      </w:r>
      <w:r w:rsidR="00D970CA">
        <w:rPr>
          <w:rFonts w:ascii="Calibri" w:hAnsi="Calibri"/>
        </w:rPr>
        <w:t>‒</w:t>
      </w:r>
      <w:r w:rsidR="001375AD">
        <w:t>10</w:t>
      </w:r>
      <w:r w:rsidR="00D970CA">
        <w:t>,</w:t>
      </w:r>
      <w:r w:rsidR="001375AD">
        <w:t xml:space="preserve"> and 2014</w:t>
      </w:r>
      <w:r w:rsidR="00D970CA">
        <w:rPr>
          <w:rFonts w:ascii="Calibri" w:hAnsi="Calibri"/>
        </w:rPr>
        <w:t>‒</w:t>
      </w:r>
      <w:r w:rsidR="001375AD">
        <w:t>15)</w:t>
      </w:r>
      <w:r w:rsidR="00D970CA">
        <w:t>,</w:t>
      </w:r>
      <w:r w:rsidR="001375AD">
        <w:t xml:space="preserve"> but these surveys cover </w:t>
      </w:r>
      <w:r w:rsidR="00625626">
        <w:t xml:space="preserve">only </w:t>
      </w:r>
      <w:r w:rsidR="001375AD">
        <w:t>registered firms</w:t>
      </w:r>
      <w:r w:rsidR="00AD50AE">
        <w:t xml:space="preserve"> and exclude</w:t>
      </w:r>
      <w:r w:rsidR="007A3289">
        <w:t xml:space="preserve"> the informal sector</w:t>
      </w:r>
      <w:r w:rsidR="001375AD">
        <w:t xml:space="preserve">. </w:t>
      </w:r>
    </w:p>
    <w:p w14:paraId="26589AD7" w14:textId="48C7F1DF" w:rsidR="00A50F62" w:rsidRDefault="004E78E7" w:rsidP="00D727BF">
      <w:pPr>
        <w:pStyle w:val="ParagraphNumbering"/>
        <w:numPr>
          <w:ilvl w:val="0"/>
          <w:numId w:val="0"/>
        </w:numPr>
        <w:tabs>
          <w:tab w:val="left" w:pos="720"/>
        </w:tabs>
        <w:spacing w:after="240"/>
      </w:pPr>
      <w:r>
        <w:rPr>
          <w:b/>
        </w:rPr>
        <w:tab/>
      </w:r>
      <w:r w:rsidR="00C9328C" w:rsidRPr="000F6A00">
        <w:rPr>
          <w:b/>
        </w:rPr>
        <w:t>This</w:t>
      </w:r>
      <w:r w:rsidR="00A50F62" w:rsidRPr="000F6A00">
        <w:rPr>
          <w:b/>
        </w:rPr>
        <w:t xml:space="preserve"> chapter </w:t>
      </w:r>
      <w:r w:rsidR="00C9328C" w:rsidRPr="000F6A00">
        <w:rPr>
          <w:b/>
        </w:rPr>
        <w:t xml:space="preserve">is a first attempt to provide a </w:t>
      </w:r>
      <w:r w:rsidR="00BB3899">
        <w:rPr>
          <w:b/>
        </w:rPr>
        <w:t>snapshot</w:t>
      </w:r>
      <w:r w:rsidR="00BB3899" w:rsidRPr="000F6A00">
        <w:rPr>
          <w:b/>
        </w:rPr>
        <w:t xml:space="preserve"> </w:t>
      </w:r>
      <w:r w:rsidR="00C9328C" w:rsidRPr="000F6A00">
        <w:rPr>
          <w:b/>
        </w:rPr>
        <w:t xml:space="preserve">of the private sector in Nigeria, </w:t>
      </w:r>
      <w:r w:rsidR="00C9328C">
        <w:t xml:space="preserve">covering </w:t>
      </w:r>
      <w:r w:rsidR="00BB3899">
        <w:t xml:space="preserve">the size, geographic boundaries, and composition of </w:t>
      </w:r>
      <w:r w:rsidR="00C9328C">
        <w:t xml:space="preserve">formal and informal activities. </w:t>
      </w:r>
      <w:r w:rsidR="00625626">
        <w:t xml:space="preserve">The analysis uses </w:t>
      </w:r>
      <w:r w:rsidR="00C9328C">
        <w:t xml:space="preserve">different sources of data, </w:t>
      </w:r>
      <w:r w:rsidR="00625626">
        <w:t xml:space="preserve">including </w:t>
      </w:r>
      <w:r w:rsidR="00C9328C">
        <w:t>household surveys, registrations from the YouWin program</w:t>
      </w:r>
      <w:r w:rsidR="004A34DC">
        <w:t>,</w:t>
      </w:r>
      <w:r w:rsidR="00C9328C">
        <w:t xml:space="preserve"> official numbers</w:t>
      </w:r>
      <w:r w:rsidR="004A34DC">
        <w:t>, and</w:t>
      </w:r>
      <w:r w:rsidR="00F07F0B">
        <w:t xml:space="preserve"> </w:t>
      </w:r>
      <w:r w:rsidR="004A34DC">
        <w:t>nighttime lights</w:t>
      </w:r>
      <w:r w:rsidR="00107101">
        <w:t xml:space="preserve"> to </w:t>
      </w:r>
      <w:r w:rsidR="00BB3899">
        <w:t>address the scope of this chapter</w:t>
      </w:r>
      <w:r w:rsidR="004A34DC">
        <w:t xml:space="preserve">. </w:t>
      </w:r>
      <w:r w:rsidR="00F07F0B">
        <w:t>The first section investigates the size of the wage work sector</w:t>
      </w:r>
      <w:r w:rsidR="00625626">
        <w:t xml:space="preserve"> and the share of wage workers in</w:t>
      </w:r>
      <w:r w:rsidR="00F07F0B">
        <w:t xml:space="preserve"> the private sector. The second section </w:t>
      </w:r>
      <w:r w:rsidR="00107101">
        <w:t xml:space="preserve">provides </w:t>
      </w:r>
      <w:r w:rsidR="00F07F0B">
        <w:t xml:space="preserve">an overview of the </w:t>
      </w:r>
      <w:r w:rsidR="00625626">
        <w:t xml:space="preserve">formal and informal private sectors and their </w:t>
      </w:r>
      <w:r w:rsidR="00F07F0B">
        <w:t>sectoral composition.</w:t>
      </w:r>
    </w:p>
    <w:p w14:paraId="3038EA2C" w14:textId="77777777" w:rsidR="00A50F62" w:rsidRPr="002A7974" w:rsidRDefault="00C9328C" w:rsidP="00D727BF">
      <w:pPr>
        <w:pStyle w:val="Heading2"/>
        <w:tabs>
          <w:tab w:val="left" w:pos="720"/>
        </w:tabs>
        <w:spacing w:before="0"/>
      </w:pPr>
      <w:bookmarkStart w:id="87" w:name="_Toc444877503"/>
      <w:bookmarkStart w:id="88" w:name="_Toc445450277"/>
      <w:r w:rsidRPr="002A7974">
        <w:t xml:space="preserve">The Size of the </w:t>
      </w:r>
      <w:r w:rsidR="00982988" w:rsidRPr="002A7974">
        <w:t>Wage Work</w:t>
      </w:r>
      <w:r w:rsidR="00F07F0B" w:rsidRPr="002A7974">
        <w:t xml:space="preserve"> Sector</w:t>
      </w:r>
      <w:r w:rsidR="00982988" w:rsidRPr="002A7974">
        <w:t xml:space="preserve"> in </w:t>
      </w:r>
      <w:r w:rsidRPr="002A7974">
        <w:t>Nigeria</w:t>
      </w:r>
      <w:bookmarkEnd w:id="87"/>
      <w:bookmarkEnd w:id="88"/>
    </w:p>
    <w:p w14:paraId="4772057E" w14:textId="48E0B913" w:rsidR="00097549" w:rsidRDefault="004E78E7" w:rsidP="00D727BF">
      <w:pPr>
        <w:pStyle w:val="ParagraphNumbering"/>
        <w:numPr>
          <w:ilvl w:val="0"/>
          <w:numId w:val="0"/>
        </w:numPr>
        <w:tabs>
          <w:tab w:val="left" w:pos="720"/>
        </w:tabs>
        <w:spacing w:after="240"/>
      </w:pPr>
      <w:r>
        <w:rPr>
          <w:b/>
          <w:bCs w:val="0"/>
        </w:rPr>
        <w:tab/>
      </w:r>
      <w:r w:rsidR="00836948" w:rsidRPr="00097549">
        <w:rPr>
          <w:b/>
          <w:bCs w:val="0"/>
        </w:rPr>
        <w:t xml:space="preserve">A majority of Nigerians work. </w:t>
      </w:r>
      <w:r w:rsidR="00836948" w:rsidRPr="00097549">
        <w:t>Nigeria</w:t>
      </w:r>
      <w:r w:rsidR="00863D16">
        <w:t>’</w:t>
      </w:r>
      <w:r w:rsidR="00836948" w:rsidRPr="00097549">
        <w:t xml:space="preserve">s population, the largest in Africa, was estimated at 158 million in 2011. Some </w:t>
      </w:r>
      <w:r w:rsidR="00D970CA">
        <w:t>eighty-seven</w:t>
      </w:r>
      <w:r w:rsidR="00D970CA" w:rsidRPr="00097549">
        <w:t xml:space="preserve"> </w:t>
      </w:r>
      <w:r w:rsidR="00836948" w:rsidRPr="00097549">
        <w:t xml:space="preserve">million people (over 50 percent) </w:t>
      </w:r>
      <w:r w:rsidR="004A34DC">
        <w:t>are</w:t>
      </w:r>
      <w:r w:rsidR="00836948" w:rsidRPr="00097549">
        <w:t xml:space="preserve"> between </w:t>
      </w:r>
      <w:r w:rsidR="00D970CA">
        <w:t>fifteen</w:t>
      </w:r>
      <w:r w:rsidR="00D970CA" w:rsidRPr="00097549">
        <w:t xml:space="preserve"> </w:t>
      </w:r>
      <w:r w:rsidR="00836948" w:rsidRPr="00097549">
        <w:t xml:space="preserve">and </w:t>
      </w:r>
      <w:r w:rsidR="00D970CA">
        <w:t>sixty-four</w:t>
      </w:r>
      <w:r w:rsidR="00D970CA" w:rsidRPr="00097549">
        <w:t xml:space="preserve"> </w:t>
      </w:r>
      <w:r w:rsidR="00836948" w:rsidRPr="00097549">
        <w:t>years of age (</w:t>
      </w:r>
      <w:r w:rsidR="00D92B55">
        <w:fldChar w:fldCharType="begin"/>
      </w:r>
      <w:r w:rsidR="00D92B55">
        <w:instrText xml:space="preserve"> REF _Ref445131039 \h </w:instrText>
      </w:r>
      <w:r w:rsidR="00D92B55">
        <w:fldChar w:fldCharType="separate"/>
      </w:r>
      <w:r w:rsidR="00D970CA">
        <w:t>f</w:t>
      </w:r>
      <w:r w:rsidR="008A3BBD">
        <w:t xml:space="preserve">igure </w:t>
      </w:r>
      <w:r w:rsidR="008A3BBD">
        <w:rPr>
          <w:noProof/>
        </w:rPr>
        <w:t>14</w:t>
      </w:r>
      <w:r w:rsidR="00D92B55">
        <w:fldChar w:fldCharType="end"/>
      </w:r>
      <w:r w:rsidR="00A23A84">
        <w:t xml:space="preserve"> below</w:t>
      </w:r>
      <w:r w:rsidR="00D92B55">
        <w:t>)</w:t>
      </w:r>
      <w:r w:rsidR="00836948" w:rsidRPr="00097549">
        <w:t xml:space="preserve">. In this group of working-age adults, </w:t>
      </w:r>
      <w:r w:rsidR="004A34DC">
        <w:t xml:space="preserve">fewer than </w:t>
      </w:r>
      <w:r w:rsidR="00D970CA">
        <w:t xml:space="preserve">3 </w:t>
      </w:r>
      <w:r w:rsidR="00097549">
        <w:t>percent</w:t>
      </w:r>
      <w:r w:rsidR="004A34DC">
        <w:t xml:space="preserve"> are</w:t>
      </w:r>
      <w:r w:rsidR="00097549">
        <w:t xml:space="preserve"> </w:t>
      </w:r>
      <w:r w:rsidR="00097549" w:rsidRPr="000343E4">
        <w:rPr>
          <w:i/>
        </w:rPr>
        <w:t>unemployed</w:t>
      </w:r>
      <w:r w:rsidR="00097549">
        <w:t xml:space="preserve"> (</w:t>
      </w:r>
      <w:r w:rsidR="004A34DC">
        <w:t xml:space="preserve">defined as </w:t>
      </w:r>
      <w:r w:rsidR="00097549">
        <w:t>not working but looking for a job).</w:t>
      </w:r>
      <w:r w:rsidR="00836948" w:rsidRPr="00097549">
        <w:t xml:space="preserve"> </w:t>
      </w:r>
      <w:r w:rsidR="00097549">
        <w:t xml:space="preserve">Others are </w:t>
      </w:r>
      <w:r w:rsidR="00097549" w:rsidRPr="000343E4">
        <w:rPr>
          <w:i/>
        </w:rPr>
        <w:t>inactive</w:t>
      </w:r>
      <w:r w:rsidR="00097549">
        <w:t xml:space="preserve"> </w:t>
      </w:r>
      <w:r w:rsidR="00097549">
        <w:lastRenderedPageBreak/>
        <w:t>(people not working but not looking for a job). More than half of this inactive population is not attending school</w:t>
      </w:r>
      <w:r w:rsidR="004A34DC">
        <w:t>,</w:t>
      </w:r>
      <w:r w:rsidR="00097549">
        <w:t xml:space="preserve"> and 70 percent of this group are women. </w:t>
      </w:r>
      <w:r w:rsidR="00982988">
        <w:t>In</w:t>
      </w:r>
      <w:r w:rsidR="00F73CE0">
        <w:t xml:space="preserve"> 2013, about </w:t>
      </w:r>
      <w:r w:rsidR="00D970CA">
        <w:t xml:space="preserve">fifty </w:t>
      </w:r>
      <w:r w:rsidR="00097549">
        <w:t>million people were employed.</w:t>
      </w:r>
      <w:r w:rsidR="001D6113" w:rsidRPr="001D6113">
        <w:rPr>
          <w:b/>
        </w:rPr>
        <w:t xml:space="preserve"> </w:t>
      </w:r>
      <w:r w:rsidR="001D6113" w:rsidRPr="001D6113">
        <w:t>Most people work for themselves.</w:t>
      </w:r>
      <w:r w:rsidR="001D6113">
        <w:t xml:space="preserve"> Agriculture and </w:t>
      </w:r>
      <w:r w:rsidR="00DC0F48">
        <w:t>nonfarm activities</w:t>
      </w:r>
      <w:r w:rsidR="001D6113">
        <w:t xml:space="preserve"> account for 70 percent of employment (as shown in </w:t>
      </w:r>
      <w:r w:rsidR="001D6113">
        <w:fldChar w:fldCharType="begin"/>
      </w:r>
      <w:r w:rsidR="001D6113">
        <w:instrText xml:space="preserve"> REF _Ref445131156 \h </w:instrText>
      </w:r>
      <w:r w:rsidR="001D6113">
        <w:fldChar w:fldCharType="separate"/>
      </w:r>
      <w:r w:rsidR="00D970CA">
        <w:t>f</w:t>
      </w:r>
      <w:r w:rsidR="008A3BBD">
        <w:t xml:space="preserve">igure </w:t>
      </w:r>
      <w:r w:rsidR="008A3BBD">
        <w:rPr>
          <w:noProof/>
        </w:rPr>
        <w:t>15</w:t>
      </w:r>
      <w:r w:rsidR="001D6113">
        <w:fldChar w:fldCharType="end"/>
      </w:r>
      <w:r w:rsidR="001D6113">
        <w:t>).</w:t>
      </w:r>
    </w:p>
    <w:p w14:paraId="381C6C4E" w14:textId="4230488B" w:rsidR="00836948" w:rsidRDefault="00836948" w:rsidP="00D727BF">
      <w:pPr>
        <w:pStyle w:val="Caption"/>
        <w:keepNext/>
        <w:tabs>
          <w:tab w:val="left" w:pos="720"/>
        </w:tabs>
        <w:spacing w:after="120"/>
        <w:jc w:val="center"/>
      </w:pPr>
      <w:bookmarkStart w:id="89" w:name="_Ref429813367"/>
      <w:bookmarkStart w:id="90" w:name="_Ref445131039"/>
      <w:bookmarkStart w:id="91" w:name="_Toc445449632"/>
      <w:r>
        <w:t xml:space="preserve">Figure </w:t>
      </w:r>
      <w:fldSimple w:instr=" SEQ Figure \* ARABIC ">
        <w:r w:rsidR="008A3BBD">
          <w:rPr>
            <w:noProof/>
          </w:rPr>
          <w:t>14</w:t>
        </w:r>
      </w:fldSimple>
      <w:bookmarkEnd w:id="89"/>
      <w:bookmarkEnd w:id="90"/>
      <w:r>
        <w:t>: Distribution of Nigeria</w:t>
      </w:r>
      <w:r w:rsidR="00863D16">
        <w:t>’</w:t>
      </w:r>
      <w:r w:rsidR="004A34DC">
        <w:t>s</w:t>
      </w:r>
      <w:r>
        <w:t xml:space="preserve"> </w:t>
      </w:r>
      <w:r w:rsidR="004A34DC">
        <w:t xml:space="preserve">Working Population </w:t>
      </w:r>
      <w:r w:rsidR="00D61164">
        <w:t>(</w:t>
      </w:r>
      <w:r w:rsidR="00C52FBB">
        <w:t>Fifteen to Sixty-Four</w:t>
      </w:r>
      <w:r w:rsidR="00D61164">
        <w:t xml:space="preserve"> </w:t>
      </w:r>
      <w:r w:rsidR="00C52FBB">
        <w:t>Y</w:t>
      </w:r>
      <w:r w:rsidR="00D61164">
        <w:t xml:space="preserve">ears </w:t>
      </w:r>
      <w:r w:rsidR="00C52FBB">
        <w:t>O</w:t>
      </w:r>
      <w:r w:rsidR="00D61164">
        <w:t>ld) in 201</w:t>
      </w:r>
      <w:r>
        <w:t>3</w:t>
      </w:r>
      <w:bookmarkEnd w:id="91"/>
    </w:p>
    <w:p w14:paraId="3573B59E" w14:textId="34739FB3" w:rsidR="00D669FD" w:rsidRDefault="00F73CE0" w:rsidP="00D727BF">
      <w:pPr>
        <w:pStyle w:val="ParagraphNumbering"/>
        <w:numPr>
          <w:ilvl w:val="0"/>
          <w:numId w:val="0"/>
        </w:numPr>
        <w:tabs>
          <w:tab w:val="left" w:pos="720"/>
        </w:tabs>
        <w:ind w:left="20"/>
        <w:jc w:val="center"/>
        <w:rPr>
          <w:rFonts w:ascii="Trebuchet MS" w:hAnsi="Trebuchet MS"/>
          <w:sz w:val="18"/>
          <w:szCs w:val="18"/>
        </w:rPr>
      </w:pPr>
      <w:r>
        <w:rPr>
          <w:noProof/>
        </w:rPr>
        <w:drawing>
          <wp:inline distT="0" distB="0" distL="0" distR="0" wp14:anchorId="52C2538B" wp14:editId="5D55F375">
            <wp:extent cx="5943600" cy="2740660"/>
            <wp:effectExtent l="0" t="0" r="0" b="2540"/>
            <wp:docPr id="6155" name="Pictur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40660"/>
                    </a:xfrm>
                    <a:prstGeom prst="rect">
                      <a:avLst/>
                    </a:prstGeom>
                  </pic:spPr>
                </pic:pic>
              </a:graphicData>
            </a:graphic>
          </wp:inline>
        </w:drawing>
      </w:r>
    </w:p>
    <w:p w14:paraId="330B3A9A" w14:textId="55C4AFB9" w:rsidR="00836948" w:rsidRPr="001845F3" w:rsidRDefault="00836948" w:rsidP="00D727BF">
      <w:pPr>
        <w:pStyle w:val="FootnoteText"/>
        <w:tabs>
          <w:tab w:val="left" w:pos="720"/>
        </w:tabs>
        <w:spacing w:before="60"/>
        <w:rPr>
          <w:rFonts w:ascii="Times New Roman" w:hAnsi="Times New Roman"/>
        </w:rPr>
      </w:pPr>
      <w:r w:rsidRPr="001845F3">
        <w:rPr>
          <w:rFonts w:ascii="Times New Roman" w:hAnsi="Times New Roman"/>
        </w:rPr>
        <w:t>Source: Estimates based on GHS 2010</w:t>
      </w:r>
      <w:r w:rsidR="00DC0F48">
        <w:rPr>
          <w:rFonts w:ascii="Calibri" w:hAnsi="Calibri"/>
        </w:rPr>
        <w:t>‒</w:t>
      </w:r>
      <w:r w:rsidRPr="001845F3">
        <w:rPr>
          <w:rFonts w:ascii="Times New Roman" w:hAnsi="Times New Roman"/>
        </w:rPr>
        <w:t>11 and GHS 2012</w:t>
      </w:r>
      <w:r w:rsidR="00DC0F48">
        <w:rPr>
          <w:rFonts w:ascii="Calibri" w:hAnsi="Calibri"/>
        </w:rPr>
        <w:t>‒</w:t>
      </w:r>
      <w:r w:rsidRPr="001845F3">
        <w:rPr>
          <w:rFonts w:ascii="Times New Roman" w:hAnsi="Times New Roman"/>
        </w:rPr>
        <w:t>13</w:t>
      </w:r>
    </w:p>
    <w:p w14:paraId="50D3F55E" w14:textId="12586BA7" w:rsidR="00B97138" w:rsidRDefault="00836948" w:rsidP="00D727BF">
      <w:pPr>
        <w:pStyle w:val="FootnoteText"/>
        <w:tabs>
          <w:tab w:val="left" w:pos="720"/>
        </w:tabs>
        <w:rPr>
          <w:rFonts w:ascii="Times New Roman" w:hAnsi="Times New Roman"/>
        </w:rPr>
      </w:pPr>
      <w:r w:rsidRPr="001845F3">
        <w:rPr>
          <w:rFonts w:ascii="Times New Roman" w:hAnsi="Times New Roman"/>
        </w:rPr>
        <w:t>Note</w:t>
      </w:r>
      <w:r w:rsidR="008652E4">
        <w:rPr>
          <w:rFonts w:ascii="Times New Roman" w:hAnsi="Times New Roman"/>
        </w:rPr>
        <w:t xml:space="preserve"> 1</w:t>
      </w:r>
      <w:r w:rsidRPr="001845F3">
        <w:rPr>
          <w:rFonts w:ascii="Times New Roman" w:hAnsi="Times New Roman"/>
        </w:rPr>
        <w:t>:</w:t>
      </w:r>
      <w:r w:rsidR="00F428F9" w:rsidRPr="001845F3">
        <w:rPr>
          <w:rFonts w:ascii="Times New Roman" w:hAnsi="Times New Roman"/>
        </w:rPr>
        <w:t xml:space="preserve"> </w:t>
      </w:r>
      <w:r w:rsidR="00272C22" w:rsidRPr="001845F3">
        <w:rPr>
          <w:rFonts w:ascii="Times New Roman" w:hAnsi="Times New Roman"/>
        </w:rPr>
        <w:t>N</w:t>
      </w:r>
      <w:r w:rsidRPr="001845F3">
        <w:rPr>
          <w:rFonts w:ascii="Times New Roman" w:hAnsi="Times New Roman"/>
        </w:rPr>
        <w:t>umber</w:t>
      </w:r>
      <w:r w:rsidR="00272C22" w:rsidRPr="001845F3">
        <w:rPr>
          <w:rFonts w:ascii="Times New Roman" w:hAnsi="Times New Roman"/>
        </w:rPr>
        <w:t>s</w:t>
      </w:r>
      <w:r w:rsidRPr="001845F3">
        <w:rPr>
          <w:rFonts w:ascii="Times New Roman" w:hAnsi="Times New Roman"/>
        </w:rPr>
        <w:t xml:space="preserve"> in parentheses correspond to the estimates for 2010</w:t>
      </w:r>
      <w:r w:rsidR="00DC0F48">
        <w:rPr>
          <w:rFonts w:ascii="Calibri" w:hAnsi="Calibri"/>
        </w:rPr>
        <w:t>‒</w:t>
      </w:r>
      <w:r w:rsidRPr="001845F3">
        <w:rPr>
          <w:rFonts w:ascii="Times New Roman" w:hAnsi="Times New Roman"/>
        </w:rPr>
        <w:t>11.</w:t>
      </w:r>
      <w:r w:rsidR="00B97138" w:rsidRPr="001845F3">
        <w:rPr>
          <w:rFonts w:ascii="Times New Roman" w:hAnsi="Times New Roman"/>
        </w:rPr>
        <w:t xml:space="preserve"> </w:t>
      </w:r>
      <w:r w:rsidR="00B97138" w:rsidRPr="00DC0F48">
        <w:rPr>
          <w:rFonts w:ascii="Times New Roman" w:hAnsi="Times New Roman"/>
          <w:i/>
        </w:rPr>
        <w:t xml:space="preserve">Wage work </w:t>
      </w:r>
      <w:r w:rsidR="00D970CA" w:rsidRPr="00DC0F48">
        <w:rPr>
          <w:rFonts w:ascii="Times New Roman" w:hAnsi="Times New Roman"/>
          <w:i/>
        </w:rPr>
        <w:t>p</w:t>
      </w:r>
      <w:r w:rsidR="00B97138" w:rsidRPr="00DC0F48">
        <w:rPr>
          <w:rFonts w:ascii="Times New Roman" w:hAnsi="Times New Roman"/>
          <w:i/>
        </w:rPr>
        <w:t>rivate</w:t>
      </w:r>
      <w:r w:rsidR="00B97138" w:rsidRPr="001845F3">
        <w:rPr>
          <w:rFonts w:ascii="Times New Roman" w:hAnsi="Times New Roman"/>
        </w:rPr>
        <w:t xml:space="preserve"> includes private firms, NGOs, cooperatives</w:t>
      </w:r>
      <w:r w:rsidR="00D970CA">
        <w:rPr>
          <w:rFonts w:ascii="Times New Roman" w:hAnsi="Times New Roman"/>
        </w:rPr>
        <w:t>,</w:t>
      </w:r>
      <w:r w:rsidR="00B97138" w:rsidRPr="001845F3">
        <w:rPr>
          <w:rFonts w:ascii="Times New Roman" w:hAnsi="Times New Roman"/>
        </w:rPr>
        <w:t xml:space="preserve"> and international organizations. </w:t>
      </w:r>
      <w:r w:rsidR="00B97138" w:rsidRPr="00DC0F48">
        <w:rPr>
          <w:rFonts w:ascii="Times New Roman" w:hAnsi="Times New Roman"/>
          <w:i/>
        </w:rPr>
        <w:t xml:space="preserve">Wage work </w:t>
      </w:r>
      <w:r w:rsidR="00D970CA" w:rsidRPr="00DC0F48">
        <w:rPr>
          <w:rFonts w:ascii="Times New Roman" w:hAnsi="Times New Roman"/>
          <w:i/>
        </w:rPr>
        <w:t>p</w:t>
      </w:r>
      <w:r w:rsidR="00B97138" w:rsidRPr="00DC0F48">
        <w:rPr>
          <w:rFonts w:ascii="Times New Roman" w:hAnsi="Times New Roman"/>
          <w:i/>
        </w:rPr>
        <w:t>ublic</w:t>
      </w:r>
      <w:r w:rsidR="00B97138" w:rsidRPr="001845F3">
        <w:rPr>
          <w:rFonts w:ascii="Times New Roman" w:hAnsi="Times New Roman"/>
        </w:rPr>
        <w:t xml:space="preserve"> includes </w:t>
      </w:r>
      <w:r w:rsidR="00272C22" w:rsidRPr="001845F3">
        <w:rPr>
          <w:rFonts w:ascii="Times New Roman" w:hAnsi="Times New Roman"/>
        </w:rPr>
        <w:t>f</w:t>
      </w:r>
      <w:r w:rsidR="00B97138" w:rsidRPr="001845F3">
        <w:rPr>
          <w:rFonts w:ascii="Times New Roman" w:hAnsi="Times New Roman"/>
        </w:rPr>
        <w:t xml:space="preserve">ederal, </w:t>
      </w:r>
      <w:r w:rsidR="00272C22" w:rsidRPr="001845F3">
        <w:rPr>
          <w:rFonts w:ascii="Times New Roman" w:hAnsi="Times New Roman"/>
        </w:rPr>
        <w:t>s</w:t>
      </w:r>
      <w:r w:rsidR="00B97138" w:rsidRPr="001845F3">
        <w:rPr>
          <w:rFonts w:ascii="Times New Roman" w:hAnsi="Times New Roman"/>
        </w:rPr>
        <w:t>tate</w:t>
      </w:r>
      <w:r w:rsidR="00D970CA">
        <w:rPr>
          <w:rFonts w:ascii="Times New Roman" w:hAnsi="Times New Roman"/>
        </w:rPr>
        <w:t>,</w:t>
      </w:r>
      <w:r w:rsidR="00B97138" w:rsidRPr="001845F3">
        <w:rPr>
          <w:rFonts w:ascii="Times New Roman" w:hAnsi="Times New Roman"/>
        </w:rPr>
        <w:t xml:space="preserve"> and </w:t>
      </w:r>
      <w:r w:rsidR="00272C22" w:rsidRPr="001845F3">
        <w:rPr>
          <w:rFonts w:ascii="Times New Roman" w:hAnsi="Times New Roman"/>
        </w:rPr>
        <w:t>l</w:t>
      </w:r>
      <w:r w:rsidR="00B97138" w:rsidRPr="001845F3">
        <w:rPr>
          <w:rFonts w:ascii="Times New Roman" w:hAnsi="Times New Roman"/>
        </w:rPr>
        <w:t>ocal governments.</w:t>
      </w:r>
      <w:r w:rsidR="007C11D6">
        <w:rPr>
          <w:rFonts w:ascii="Times New Roman" w:hAnsi="Times New Roman"/>
        </w:rPr>
        <w:t xml:space="preserve"> </w:t>
      </w:r>
    </w:p>
    <w:p w14:paraId="68B77AE2" w14:textId="3E15C0CE" w:rsidR="008652E4" w:rsidRPr="001845F3" w:rsidRDefault="008652E4" w:rsidP="00D727BF">
      <w:pPr>
        <w:pStyle w:val="ParagraphNumbering"/>
        <w:numPr>
          <w:ilvl w:val="0"/>
          <w:numId w:val="0"/>
        </w:numPr>
        <w:tabs>
          <w:tab w:val="left" w:pos="720"/>
        </w:tabs>
        <w:rPr>
          <w:sz w:val="18"/>
          <w:szCs w:val="18"/>
        </w:rPr>
      </w:pPr>
      <w:r w:rsidRPr="001845F3">
        <w:rPr>
          <w:sz w:val="18"/>
          <w:szCs w:val="18"/>
        </w:rPr>
        <w:t>Note</w:t>
      </w:r>
      <w:r>
        <w:rPr>
          <w:sz w:val="18"/>
          <w:szCs w:val="18"/>
        </w:rPr>
        <w:t xml:space="preserve"> 2</w:t>
      </w:r>
      <w:r w:rsidRPr="001845F3">
        <w:rPr>
          <w:sz w:val="18"/>
          <w:szCs w:val="18"/>
        </w:rPr>
        <w:t xml:space="preserve">: Population-weighted proportion. Questions used: </w:t>
      </w:r>
      <w:r w:rsidR="00863D16">
        <w:rPr>
          <w:sz w:val="18"/>
          <w:szCs w:val="18"/>
        </w:rPr>
        <w:t>“</w:t>
      </w:r>
      <w:r w:rsidRPr="001845F3">
        <w:rPr>
          <w:sz w:val="18"/>
          <w:szCs w:val="18"/>
        </w:rPr>
        <w:t>In your main activity</w:t>
      </w:r>
      <w:r>
        <w:rPr>
          <w:sz w:val="18"/>
          <w:szCs w:val="18"/>
        </w:rPr>
        <w:t>/employment</w:t>
      </w:r>
      <w:r w:rsidRPr="001845F3">
        <w:rPr>
          <w:sz w:val="18"/>
          <w:szCs w:val="18"/>
        </w:rPr>
        <w:t>, what is the employer in this job?</w:t>
      </w:r>
      <w:r w:rsidR="00863D16">
        <w:rPr>
          <w:sz w:val="18"/>
          <w:szCs w:val="18"/>
        </w:rPr>
        <w:t>”</w:t>
      </w:r>
      <w:r w:rsidRPr="001845F3">
        <w:rPr>
          <w:sz w:val="18"/>
          <w:szCs w:val="18"/>
        </w:rPr>
        <w:t xml:space="preserve"> combined with </w:t>
      </w:r>
      <w:r w:rsidR="00863D16">
        <w:rPr>
          <w:sz w:val="18"/>
          <w:szCs w:val="18"/>
        </w:rPr>
        <w:t>“</w:t>
      </w:r>
      <w:r w:rsidRPr="001845F3">
        <w:rPr>
          <w:sz w:val="18"/>
          <w:szCs w:val="18"/>
        </w:rPr>
        <w:t>Have you received wages, salary</w:t>
      </w:r>
      <w:r w:rsidR="00D970CA">
        <w:rPr>
          <w:sz w:val="18"/>
          <w:szCs w:val="18"/>
        </w:rPr>
        <w:t>,</w:t>
      </w:r>
      <w:r w:rsidRPr="001845F3">
        <w:rPr>
          <w:sz w:val="18"/>
          <w:szCs w:val="18"/>
        </w:rPr>
        <w:t xml:space="preserve"> or other payments either in cash or in other forms from this employment for this work?</w:t>
      </w:r>
      <w:r w:rsidR="00863D16">
        <w:rPr>
          <w:sz w:val="18"/>
          <w:szCs w:val="18"/>
        </w:rPr>
        <w:t>”</w:t>
      </w:r>
      <w:r>
        <w:rPr>
          <w:sz w:val="18"/>
          <w:szCs w:val="18"/>
        </w:rPr>
        <w:t xml:space="preserve"> and </w:t>
      </w:r>
      <w:r w:rsidR="00863D16">
        <w:rPr>
          <w:sz w:val="18"/>
          <w:szCs w:val="18"/>
        </w:rPr>
        <w:t>“</w:t>
      </w:r>
      <w:r>
        <w:rPr>
          <w:sz w:val="18"/>
          <w:szCs w:val="18"/>
        </w:rPr>
        <w:t>In what sector is this main activity?</w:t>
      </w:r>
      <w:r w:rsidR="00863D16">
        <w:rPr>
          <w:sz w:val="18"/>
          <w:szCs w:val="18"/>
        </w:rPr>
        <w:t>”</w:t>
      </w:r>
    </w:p>
    <w:p w14:paraId="604F6CE1" w14:textId="178E326E" w:rsidR="00A23A84" w:rsidRPr="00097549" w:rsidRDefault="004E78E7" w:rsidP="00D727BF">
      <w:pPr>
        <w:pStyle w:val="ParagraphNumbering"/>
        <w:numPr>
          <w:ilvl w:val="0"/>
          <w:numId w:val="0"/>
        </w:numPr>
        <w:tabs>
          <w:tab w:val="left" w:pos="720"/>
        </w:tabs>
        <w:spacing w:after="240"/>
      </w:pPr>
      <w:r>
        <w:rPr>
          <w:b/>
        </w:rPr>
        <w:tab/>
      </w:r>
      <w:r w:rsidR="00A23A84">
        <w:rPr>
          <w:b/>
        </w:rPr>
        <w:t>W</w:t>
      </w:r>
      <w:r w:rsidR="00A23A84" w:rsidRPr="00097549">
        <w:rPr>
          <w:b/>
        </w:rPr>
        <w:t xml:space="preserve">age </w:t>
      </w:r>
      <w:r w:rsidR="003545C6">
        <w:rPr>
          <w:b/>
        </w:rPr>
        <w:t>work accounts for about 15</w:t>
      </w:r>
      <w:r w:rsidR="00A23A84" w:rsidRPr="00097549">
        <w:rPr>
          <w:b/>
        </w:rPr>
        <w:t xml:space="preserve"> percent of employment</w:t>
      </w:r>
      <w:r w:rsidR="00A23A84">
        <w:rPr>
          <w:b/>
        </w:rPr>
        <w:t xml:space="preserve">, and </w:t>
      </w:r>
      <w:r w:rsidR="00F31716">
        <w:rPr>
          <w:b/>
        </w:rPr>
        <w:t xml:space="preserve">more than </w:t>
      </w:r>
      <w:r w:rsidR="00A23A84">
        <w:rPr>
          <w:b/>
        </w:rPr>
        <w:t>half of wage work is in the public sector</w:t>
      </w:r>
      <w:r w:rsidR="003545C6">
        <w:rPr>
          <w:b/>
        </w:rPr>
        <w:t xml:space="preserve"> </w:t>
      </w:r>
      <w:r w:rsidR="003545C6" w:rsidRPr="00F31716">
        <w:t xml:space="preserve">(see </w:t>
      </w:r>
      <w:r w:rsidR="00F31716">
        <w:rPr>
          <w:b/>
        </w:rPr>
        <w:fldChar w:fldCharType="begin"/>
      </w:r>
      <w:r w:rsidR="00F31716">
        <w:rPr>
          <w:b/>
        </w:rPr>
        <w:instrText xml:space="preserve"> REF _Ref419359091 \h </w:instrText>
      </w:r>
      <w:r w:rsidR="00F31716">
        <w:rPr>
          <w:b/>
        </w:rPr>
      </w:r>
      <w:r w:rsidR="00F31716">
        <w:rPr>
          <w:b/>
        </w:rPr>
        <w:fldChar w:fldCharType="separate"/>
      </w:r>
      <w:r w:rsidR="00D970CA">
        <w:t>f</w:t>
      </w:r>
      <w:r w:rsidR="008A3BBD">
        <w:t xml:space="preserve">igure </w:t>
      </w:r>
      <w:r w:rsidR="008A3BBD">
        <w:rPr>
          <w:noProof/>
        </w:rPr>
        <w:t>15</w:t>
      </w:r>
      <w:r w:rsidR="00F31716">
        <w:rPr>
          <w:b/>
        </w:rPr>
        <w:fldChar w:fldCharType="end"/>
      </w:r>
      <w:r w:rsidR="00F31716" w:rsidRPr="00F31716">
        <w:t>)</w:t>
      </w:r>
      <w:r w:rsidR="00A23A84" w:rsidRPr="00F31716">
        <w:t>.</w:t>
      </w:r>
      <w:r w:rsidR="00A23A84">
        <w:t xml:space="preserve"> C</w:t>
      </w:r>
      <w:r w:rsidR="00A23A84" w:rsidRPr="00097549">
        <w:t>ompared to lower middle</w:t>
      </w:r>
      <w:r w:rsidR="00A23A84">
        <w:t>-</w:t>
      </w:r>
      <w:r w:rsidR="00A23A84" w:rsidRPr="00097549">
        <w:t>income countries</w:t>
      </w:r>
      <w:r w:rsidR="00A23A84">
        <w:t xml:space="preserve"> in East Asia, where</w:t>
      </w:r>
      <w:r w:rsidR="00A23A84" w:rsidRPr="00097549">
        <w:t xml:space="preserve"> </w:t>
      </w:r>
      <w:r w:rsidR="00A23A84">
        <w:t xml:space="preserve">the wage sectors in </w:t>
      </w:r>
      <w:r w:rsidR="00A23A84" w:rsidRPr="00097549">
        <w:t>Indonesia, Philippines</w:t>
      </w:r>
      <w:r w:rsidR="004E5A84">
        <w:t>,</w:t>
      </w:r>
      <w:r w:rsidR="00A23A84" w:rsidRPr="00097549">
        <w:t xml:space="preserve"> </w:t>
      </w:r>
      <w:r w:rsidR="00A23A84">
        <w:t>and</w:t>
      </w:r>
      <w:r w:rsidR="00A23A84" w:rsidRPr="00097549">
        <w:t xml:space="preserve"> Vietnam employ 40, 57</w:t>
      </w:r>
      <w:r w:rsidR="004E5A84">
        <w:t>,</w:t>
      </w:r>
      <w:r w:rsidR="00A23A84" w:rsidRPr="00097549">
        <w:t xml:space="preserve"> and 35 percent of workers</w:t>
      </w:r>
      <w:r w:rsidR="00A23A84">
        <w:t>,</w:t>
      </w:r>
      <w:r w:rsidR="00A23A84" w:rsidRPr="00097549">
        <w:t xml:space="preserve"> respectively</w:t>
      </w:r>
      <w:r w:rsidR="00A23A84">
        <w:t>, Nigeria</w:t>
      </w:r>
      <w:r w:rsidR="00863D16">
        <w:t>’</w:t>
      </w:r>
      <w:r w:rsidR="00A23A84">
        <w:t>s wage work composition is quite small</w:t>
      </w:r>
      <w:r w:rsidR="00A23A84" w:rsidRPr="00097549">
        <w:t>.</w:t>
      </w:r>
      <w:r w:rsidR="00A23A84" w:rsidRPr="00097549">
        <w:rPr>
          <w:rStyle w:val="FootnoteReference"/>
        </w:rPr>
        <w:footnoteReference w:id="16"/>
      </w:r>
      <w:r w:rsidR="00A23A84">
        <w:t xml:space="preserve"> Further, the public sector has traditionally attracted the most educated workers. According to the Nigeria Job Assessment (2015), in 2011</w:t>
      </w:r>
      <w:r w:rsidR="004E5A84">
        <w:t>,</w:t>
      </w:r>
      <w:r w:rsidR="00A23A84">
        <w:t xml:space="preserve"> more than half of those with secondary or tertiary education worked in the public sector.</w:t>
      </w:r>
      <w:r w:rsidR="00A23A84">
        <w:rPr>
          <w:rStyle w:val="FootnoteReference"/>
        </w:rPr>
        <w:footnoteReference w:id="17"/>
      </w:r>
      <w:r w:rsidR="00A23A84">
        <w:t xml:space="preserve"> However, t</w:t>
      </w:r>
      <w:r w:rsidR="00A23A84" w:rsidRPr="00D86EDC">
        <w:t xml:space="preserve">he privatization of the banking, </w:t>
      </w:r>
      <w:r w:rsidR="00A23A84">
        <w:t xml:space="preserve">electricity, and telecom sectors has reduced the share of public sector employment, from </w:t>
      </w:r>
      <w:r w:rsidR="00F31716">
        <w:t>9.3</w:t>
      </w:r>
      <w:r w:rsidR="00A23A84">
        <w:t xml:space="preserve"> percent in 2011 to </w:t>
      </w:r>
      <w:r w:rsidR="00F31716">
        <w:t>8.3</w:t>
      </w:r>
      <w:r w:rsidR="00A23A84">
        <w:t xml:space="preserve"> percent in 2013 of </w:t>
      </w:r>
      <w:r w:rsidR="00F31716">
        <w:t>labor force</w:t>
      </w:r>
      <w:r w:rsidR="00A23A84">
        <w:t xml:space="preserve">. </w:t>
      </w:r>
      <w:r w:rsidR="00F31716">
        <w:t>T</w:t>
      </w:r>
      <w:r w:rsidR="00A23A84">
        <w:t xml:space="preserve">he public sector </w:t>
      </w:r>
      <w:r w:rsidR="00F31716">
        <w:t xml:space="preserve">is still dominant </w:t>
      </w:r>
      <w:r w:rsidR="001D6113">
        <w:t>in 2013</w:t>
      </w:r>
      <w:r w:rsidR="00A23A84">
        <w:t xml:space="preserve">, </w:t>
      </w:r>
      <w:r w:rsidR="00F31716">
        <w:t xml:space="preserve">though there is a slight convergence of the private sector </w:t>
      </w:r>
      <w:r w:rsidR="00A23A84">
        <w:t>(</w:t>
      </w:r>
      <w:r w:rsidR="00A23A84">
        <w:fldChar w:fldCharType="begin"/>
      </w:r>
      <w:r w:rsidR="00A23A84">
        <w:instrText xml:space="preserve"> REF _Ref445131156 \h </w:instrText>
      </w:r>
      <w:r w:rsidR="00A23A84">
        <w:fldChar w:fldCharType="separate"/>
      </w:r>
      <w:r w:rsidR="004E5A84">
        <w:t>f</w:t>
      </w:r>
      <w:r w:rsidR="008A3BBD">
        <w:t xml:space="preserve">igure </w:t>
      </w:r>
      <w:r w:rsidR="008A3BBD">
        <w:rPr>
          <w:noProof/>
        </w:rPr>
        <w:t>15</w:t>
      </w:r>
      <w:r w:rsidR="00A23A84">
        <w:fldChar w:fldCharType="end"/>
      </w:r>
      <w:r w:rsidR="00A23A84">
        <w:t xml:space="preserve">). </w:t>
      </w:r>
    </w:p>
    <w:p w14:paraId="33DB47E4" w14:textId="2BA0776E" w:rsidR="00ED41C6" w:rsidRDefault="004E78E7" w:rsidP="00D727BF">
      <w:pPr>
        <w:pStyle w:val="ParagraphNumbering"/>
        <w:numPr>
          <w:ilvl w:val="0"/>
          <w:numId w:val="0"/>
        </w:numPr>
        <w:tabs>
          <w:tab w:val="left" w:pos="720"/>
        </w:tabs>
        <w:spacing w:after="240"/>
      </w:pPr>
      <w:r>
        <w:rPr>
          <w:b/>
        </w:rPr>
        <w:tab/>
      </w:r>
      <w:r w:rsidR="00272C22">
        <w:rPr>
          <w:b/>
        </w:rPr>
        <w:t>Economic activities in</w:t>
      </w:r>
      <w:r w:rsidR="00ED41C6" w:rsidRPr="00D76EBC">
        <w:rPr>
          <w:b/>
        </w:rPr>
        <w:t xml:space="preserve"> Nigeria </w:t>
      </w:r>
      <w:r w:rsidR="00272C22">
        <w:rPr>
          <w:b/>
        </w:rPr>
        <w:t xml:space="preserve">have historically been </w:t>
      </w:r>
      <w:r w:rsidR="00ED41C6" w:rsidRPr="00D76EBC">
        <w:rPr>
          <w:b/>
        </w:rPr>
        <w:t xml:space="preserve">concentrated in the </w:t>
      </w:r>
      <w:r w:rsidR="00BB3899">
        <w:rPr>
          <w:b/>
        </w:rPr>
        <w:t>s</w:t>
      </w:r>
      <w:r w:rsidR="00ED41C6" w:rsidRPr="00D76EBC">
        <w:rPr>
          <w:b/>
        </w:rPr>
        <w:t>outhern part of the country</w:t>
      </w:r>
      <w:r w:rsidR="00272C22">
        <w:rPr>
          <w:b/>
        </w:rPr>
        <w:t>,</w:t>
      </w:r>
      <w:r w:rsidR="00ED41C6" w:rsidRPr="00D76EBC">
        <w:rPr>
          <w:b/>
        </w:rPr>
        <w:t xml:space="preserve"> with the exception of Kano in the </w:t>
      </w:r>
      <w:r w:rsidR="00BB3899">
        <w:rPr>
          <w:b/>
        </w:rPr>
        <w:t>n</w:t>
      </w:r>
      <w:r w:rsidR="00ED41C6" w:rsidRPr="00D76EBC">
        <w:rPr>
          <w:b/>
        </w:rPr>
        <w:t>orth.</w:t>
      </w:r>
      <w:r w:rsidR="00ED41C6" w:rsidRPr="00C00242">
        <w:t xml:space="preserve"> </w:t>
      </w:r>
      <w:r w:rsidR="00635ECD">
        <w:t>However, i</w:t>
      </w:r>
      <w:r w:rsidR="00ED41C6" w:rsidRPr="00C00242">
        <w:t xml:space="preserve">n the past decade, there has been a progressive convergence of the less economically </w:t>
      </w:r>
      <w:r w:rsidR="00ED41C6">
        <w:t>vibrant</w:t>
      </w:r>
      <w:r w:rsidR="00ED41C6" w:rsidRPr="00C00242">
        <w:t xml:space="preserve"> </w:t>
      </w:r>
      <w:r w:rsidR="00BB3899">
        <w:t>c</w:t>
      </w:r>
      <w:r w:rsidR="00272C22">
        <w:t xml:space="preserve">entral and </w:t>
      </w:r>
      <w:r w:rsidR="00BB3899">
        <w:t>n</w:t>
      </w:r>
      <w:r w:rsidR="00272C22">
        <w:t xml:space="preserve">orthern </w:t>
      </w:r>
      <w:r w:rsidR="00ED41C6" w:rsidRPr="00C00242">
        <w:lastRenderedPageBreak/>
        <w:t>regions</w:t>
      </w:r>
      <w:r w:rsidR="00ED41C6">
        <w:t xml:space="preserve"> </w:t>
      </w:r>
      <w:r w:rsidR="00396891">
        <w:t>toward</w:t>
      </w:r>
      <w:r w:rsidR="00ED41C6" w:rsidRPr="00C00242">
        <w:t xml:space="preserve"> the </w:t>
      </w:r>
      <w:r w:rsidR="00BB3899">
        <w:t>s</w:t>
      </w:r>
      <w:r w:rsidR="00ED41C6" w:rsidRPr="00C00242">
        <w:t>outh</w:t>
      </w:r>
      <w:r w:rsidR="00ED41C6">
        <w:t xml:space="preserve">. </w:t>
      </w:r>
      <w:r w:rsidR="00ED41C6">
        <w:fldChar w:fldCharType="begin"/>
      </w:r>
      <w:r w:rsidR="00ED41C6">
        <w:instrText xml:space="preserve"> REF _Ref419221920 \h </w:instrText>
      </w:r>
      <w:r w:rsidR="00ED41C6">
        <w:fldChar w:fldCharType="separate"/>
      </w:r>
      <w:r w:rsidR="008A3BBD" w:rsidRPr="006810BE">
        <w:rPr>
          <w:szCs w:val="20"/>
        </w:rPr>
        <w:t xml:space="preserve">Map </w:t>
      </w:r>
      <w:r w:rsidR="008A3BBD">
        <w:rPr>
          <w:noProof/>
          <w:szCs w:val="20"/>
        </w:rPr>
        <w:t>5</w:t>
      </w:r>
      <w:r w:rsidR="00ED41C6">
        <w:fldChar w:fldCharType="end"/>
      </w:r>
      <w:r w:rsidR="00ED41C6">
        <w:t xml:space="preserve"> indicates that economic activity has </w:t>
      </w:r>
      <w:r w:rsidR="00272C22">
        <w:t xml:space="preserve">indeed </w:t>
      </w:r>
      <w:r w:rsidR="00ED41C6">
        <w:t xml:space="preserve">grown </w:t>
      </w:r>
      <w:r w:rsidR="00CD0E9F">
        <w:t xml:space="preserve">significantly </w:t>
      </w:r>
      <w:r w:rsidR="00ED41C6">
        <w:t xml:space="preserve">faster in the </w:t>
      </w:r>
      <w:r w:rsidR="00BB3899">
        <w:t>c</w:t>
      </w:r>
      <w:r w:rsidR="00272C22">
        <w:t xml:space="preserve">entral </w:t>
      </w:r>
      <w:r w:rsidR="00ED41C6">
        <w:t xml:space="preserve">and </w:t>
      </w:r>
      <w:r w:rsidR="00BB3899">
        <w:t>n</w:t>
      </w:r>
      <w:r w:rsidR="001D6113">
        <w:t>orthern regions. This has been driven partly by</w:t>
      </w:r>
      <w:r w:rsidR="00272C22">
        <w:t xml:space="preserve"> </w:t>
      </w:r>
      <w:r w:rsidR="00ED41C6" w:rsidRPr="00C00242">
        <w:t xml:space="preserve">large investments in </w:t>
      </w:r>
      <w:r w:rsidR="00ED41C6">
        <w:t xml:space="preserve">roads and electricity grids. </w:t>
      </w:r>
      <w:r w:rsidR="00ED41C6" w:rsidRPr="00C00242">
        <w:t xml:space="preserve">The </w:t>
      </w:r>
      <w:r w:rsidR="00672D89">
        <w:t>g</w:t>
      </w:r>
      <w:r w:rsidR="00ED41C6" w:rsidRPr="00C00242">
        <w:t>o</w:t>
      </w:r>
      <w:r w:rsidR="00272C22">
        <w:t xml:space="preserve">vernment </w:t>
      </w:r>
      <w:r w:rsidR="00ED41C6" w:rsidRPr="00C00242">
        <w:t xml:space="preserve">has </w:t>
      </w:r>
      <w:r w:rsidR="00CD0E9F">
        <w:t xml:space="preserve">been committed to </w:t>
      </w:r>
      <w:r w:rsidR="00ED41C6" w:rsidRPr="00C00242">
        <w:t>develop</w:t>
      </w:r>
      <w:r w:rsidR="00CD0E9F">
        <w:t xml:space="preserve">ing </w:t>
      </w:r>
      <w:r w:rsidR="00ED41C6" w:rsidRPr="00C00242">
        <w:t xml:space="preserve">infrastructure </w:t>
      </w:r>
      <w:r w:rsidR="00CD0E9F">
        <w:t xml:space="preserve">networks </w:t>
      </w:r>
      <w:r w:rsidR="00ED41C6" w:rsidRPr="00C00242">
        <w:t xml:space="preserve">that are national in </w:t>
      </w:r>
      <w:r w:rsidR="00CD0E9F">
        <w:t>scale</w:t>
      </w:r>
      <w:r w:rsidR="00ED41C6" w:rsidRPr="00C00242">
        <w:t xml:space="preserve">. As a result, only a few areas remain unconnected, </w:t>
      </w:r>
      <w:r w:rsidR="00272C22">
        <w:t>al</w:t>
      </w:r>
      <w:r w:rsidR="00ED41C6" w:rsidRPr="00C00242">
        <w:t xml:space="preserve">though the quality and density of the infrastructure </w:t>
      </w:r>
      <w:r w:rsidR="00272C22">
        <w:t xml:space="preserve">is </w:t>
      </w:r>
      <w:r w:rsidR="00ED41C6" w:rsidRPr="00C00242">
        <w:t>usually better</w:t>
      </w:r>
      <w:r w:rsidR="00EE3726">
        <w:t xml:space="preserve"> in </w:t>
      </w:r>
      <w:r w:rsidR="002A2158">
        <w:t xml:space="preserve">the south </w:t>
      </w:r>
      <w:r w:rsidR="00ED41C6" w:rsidRPr="00C00242">
        <w:t xml:space="preserve">than in the </w:t>
      </w:r>
      <w:r w:rsidR="00BB3899">
        <w:t>n</w:t>
      </w:r>
      <w:r w:rsidR="00ED41C6" w:rsidRPr="00C00242">
        <w:t>orth.</w:t>
      </w:r>
      <w:r w:rsidR="00ED41C6" w:rsidRPr="00C00242">
        <w:rPr>
          <w:rStyle w:val="FootnoteReference"/>
        </w:rPr>
        <w:footnoteReference w:id="18"/>
      </w:r>
      <w:r w:rsidR="00F428F9">
        <w:t xml:space="preserve"> </w:t>
      </w:r>
      <w:r w:rsidR="00ED41C6" w:rsidRPr="00C00242">
        <w:t>Nighttime light intensity</w:t>
      </w:r>
      <w:r w:rsidR="00272C22">
        <w:t>, however,</w:t>
      </w:r>
      <w:r w:rsidR="00ED41C6" w:rsidRPr="00C00242">
        <w:t xml:space="preserve"> </w:t>
      </w:r>
      <w:r w:rsidR="006A02B4">
        <w:t xml:space="preserve">also </w:t>
      </w:r>
      <w:r w:rsidR="00ED41C6" w:rsidRPr="00C00242">
        <w:t xml:space="preserve">indicates that these </w:t>
      </w:r>
      <w:r w:rsidR="006A02B4">
        <w:t xml:space="preserve">convergence </w:t>
      </w:r>
      <w:r w:rsidR="00ED41C6" w:rsidRPr="00C00242">
        <w:t>efforts have</w:t>
      </w:r>
      <w:r w:rsidR="00272C22">
        <w:t xml:space="preserve"> slowed i</w:t>
      </w:r>
      <w:r w:rsidR="00ED41C6" w:rsidRPr="00C00242">
        <w:t>n recent years</w:t>
      </w:r>
      <w:r w:rsidR="00ED41C6">
        <w:t xml:space="preserve"> (</w:t>
      </w:r>
      <w:r w:rsidR="00672D89">
        <w:t>m</w:t>
      </w:r>
      <w:r w:rsidR="00790783">
        <w:fldChar w:fldCharType="begin"/>
      </w:r>
      <w:r w:rsidR="00790783">
        <w:instrText xml:space="preserve"> REF _Ref419359026 \h </w:instrText>
      </w:r>
      <w:r w:rsidR="00790783">
        <w:fldChar w:fldCharType="separate"/>
      </w:r>
      <w:r w:rsidR="008A3BBD" w:rsidRPr="006810BE">
        <w:rPr>
          <w:szCs w:val="20"/>
        </w:rPr>
        <w:t xml:space="preserve">ap </w:t>
      </w:r>
      <w:r w:rsidR="008A3BBD">
        <w:rPr>
          <w:noProof/>
          <w:szCs w:val="20"/>
        </w:rPr>
        <w:t>6</w:t>
      </w:r>
      <w:r w:rsidR="00790783">
        <w:fldChar w:fldCharType="end"/>
      </w:r>
      <w:r w:rsidR="00ED41C6">
        <w:t>)</w:t>
      </w:r>
      <w:r w:rsidR="00672D89">
        <w:t xml:space="preserve">, </w:t>
      </w:r>
      <w:r w:rsidR="00272C22">
        <w:t xml:space="preserve">except in </w:t>
      </w:r>
      <w:r w:rsidR="00ED41C6" w:rsidRPr="00C00242">
        <w:t xml:space="preserve">Kano State, </w:t>
      </w:r>
      <w:r w:rsidR="00347EDA">
        <w:t>the Federal Capital Territory (</w:t>
      </w:r>
      <w:r w:rsidR="00ED41C6" w:rsidRPr="00C00242">
        <w:t>FCT</w:t>
      </w:r>
      <w:r w:rsidR="00347EDA">
        <w:t>)</w:t>
      </w:r>
      <w:r w:rsidR="00672D89">
        <w:t xml:space="preserve">, </w:t>
      </w:r>
      <w:r w:rsidR="00790783">
        <w:t xml:space="preserve">due to </w:t>
      </w:r>
      <w:r w:rsidR="00ED41C6" w:rsidRPr="00C00242">
        <w:t xml:space="preserve">economic turmoil </w:t>
      </w:r>
      <w:r w:rsidR="00CD0E9F">
        <w:t>and/or</w:t>
      </w:r>
      <w:r w:rsidR="00ED41C6" w:rsidRPr="00C00242">
        <w:t xml:space="preserve"> internal population migration. </w:t>
      </w:r>
      <w:r w:rsidR="004312CF">
        <w:t xml:space="preserve">As a result, </w:t>
      </w:r>
      <w:r w:rsidR="00790783">
        <w:t>most</w:t>
      </w:r>
      <w:r w:rsidR="004312CF">
        <w:t xml:space="preserve"> economic activities are still located in </w:t>
      </w:r>
      <w:r w:rsidR="00BB3899">
        <w:t>s</w:t>
      </w:r>
      <w:r w:rsidR="004312CF">
        <w:t>outhern Nigeria</w:t>
      </w:r>
      <w:r w:rsidR="00790783">
        <w:t>,</w:t>
      </w:r>
      <w:r w:rsidR="004312CF">
        <w:t xml:space="preserve"> with the excep</w:t>
      </w:r>
      <w:r w:rsidR="00BE6B8A">
        <w:t>tion Abuja, Kano, Kaduna, Jos</w:t>
      </w:r>
      <w:r w:rsidR="00CD0E9F">
        <w:t>,</w:t>
      </w:r>
      <w:r w:rsidR="00BE6B8A">
        <w:t xml:space="preserve"> and Sokoto</w:t>
      </w:r>
      <w:r w:rsidR="004312C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778"/>
      </w:tblGrid>
      <w:tr w:rsidR="00ED41C6" w:rsidRPr="006810BE" w14:paraId="54758B34" w14:textId="77777777" w:rsidTr="00DD3FC5">
        <w:tc>
          <w:tcPr>
            <w:tcW w:w="4377" w:type="dxa"/>
          </w:tcPr>
          <w:p w14:paraId="05A2D040" w14:textId="34637024" w:rsidR="00ED41C6" w:rsidRPr="006810BE" w:rsidRDefault="00ED41C6" w:rsidP="00D727BF">
            <w:pPr>
              <w:pStyle w:val="Caption"/>
              <w:keepNext/>
              <w:tabs>
                <w:tab w:val="left" w:pos="720"/>
              </w:tabs>
              <w:ind w:left="20" w:hanging="20"/>
              <w:jc w:val="center"/>
              <w:rPr>
                <w:szCs w:val="20"/>
              </w:rPr>
            </w:pPr>
            <w:bookmarkStart w:id="92" w:name="_Ref419221920"/>
            <w:bookmarkStart w:id="93" w:name="_Toc445132406"/>
            <w:r w:rsidRPr="006810BE">
              <w:rPr>
                <w:szCs w:val="20"/>
              </w:rPr>
              <w:t xml:space="preserve">Map </w:t>
            </w:r>
            <w:r w:rsidRPr="006810BE">
              <w:rPr>
                <w:szCs w:val="20"/>
              </w:rPr>
              <w:fldChar w:fldCharType="begin"/>
            </w:r>
            <w:r w:rsidRPr="006810BE">
              <w:rPr>
                <w:szCs w:val="20"/>
              </w:rPr>
              <w:instrText xml:space="preserve"> SEQ Map \* ARABIC </w:instrText>
            </w:r>
            <w:r w:rsidRPr="006810BE">
              <w:rPr>
                <w:szCs w:val="20"/>
              </w:rPr>
              <w:fldChar w:fldCharType="separate"/>
            </w:r>
            <w:r w:rsidR="008A3BBD">
              <w:rPr>
                <w:noProof/>
                <w:szCs w:val="20"/>
              </w:rPr>
              <w:t>5</w:t>
            </w:r>
            <w:r w:rsidRPr="006810BE">
              <w:rPr>
                <w:szCs w:val="20"/>
              </w:rPr>
              <w:fldChar w:fldCharType="end"/>
            </w:r>
            <w:bookmarkEnd w:id="92"/>
            <w:r w:rsidRPr="006810BE">
              <w:rPr>
                <w:szCs w:val="20"/>
              </w:rPr>
              <w:t xml:space="preserve">: </w:t>
            </w:r>
            <w:r>
              <w:rPr>
                <w:szCs w:val="20"/>
              </w:rPr>
              <w:t xml:space="preserve">Proxy for </w:t>
            </w:r>
            <w:r w:rsidRPr="006810BE">
              <w:rPr>
                <w:szCs w:val="20"/>
              </w:rPr>
              <w:t xml:space="preserve">Economic </w:t>
            </w:r>
            <w:r w:rsidR="00672D89">
              <w:rPr>
                <w:szCs w:val="20"/>
              </w:rPr>
              <w:t>A</w:t>
            </w:r>
            <w:r w:rsidRPr="006810BE">
              <w:rPr>
                <w:szCs w:val="20"/>
              </w:rPr>
              <w:t xml:space="preserve">ctivity </w:t>
            </w:r>
            <w:r w:rsidR="00672D89">
              <w:rPr>
                <w:szCs w:val="20"/>
              </w:rPr>
              <w:t>G</w:t>
            </w:r>
            <w:r w:rsidRPr="006810BE">
              <w:rPr>
                <w:szCs w:val="20"/>
              </w:rPr>
              <w:t>rowth</w:t>
            </w:r>
            <w:r w:rsidR="00672D89">
              <w:rPr>
                <w:szCs w:val="20"/>
              </w:rPr>
              <w:t>,</w:t>
            </w:r>
            <w:r w:rsidRPr="006810BE">
              <w:rPr>
                <w:szCs w:val="20"/>
              </w:rPr>
              <w:t xml:space="preserve"> </w:t>
            </w:r>
            <w:r w:rsidR="00672D89">
              <w:rPr>
                <w:szCs w:val="20"/>
              </w:rPr>
              <w:t>o</w:t>
            </w:r>
            <w:r w:rsidRPr="006810BE">
              <w:rPr>
                <w:szCs w:val="20"/>
              </w:rPr>
              <w:t xml:space="preserve">ver the </w:t>
            </w:r>
            <w:r w:rsidR="00672D89">
              <w:rPr>
                <w:szCs w:val="20"/>
              </w:rPr>
              <w:t>P</w:t>
            </w:r>
            <w:r w:rsidRPr="006810BE">
              <w:rPr>
                <w:szCs w:val="20"/>
              </w:rPr>
              <w:t>eriod 2003</w:t>
            </w:r>
            <w:r w:rsidR="00672D89">
              <w:rPr>
                <w:rFonts w:ascii="Calibri" w:hAnsi="Calibri"/>
                <w:szCs w:val="20"/>
              </w:rPr>
              <w:t>‒</w:t>
            </w:r>
            <w:r w:rsidRPr="006810BE">
              <w:rPr>
                <w:szCs w:val="20"/>
              </w:rPr>
              <w:t>2012</w:t>
            </w:r>
            <w:bookmarkEnd w:id="93"/>
          </w:p>
          <w:p w14:paraId="521BDE06" w14:textId="65D1D43E" w:rsidR="00ED41C6" w:rsidRDefault="00ED41C6" w:rsidP="00D727BF">
            <w:pPr>
              <w:pStyle w:val="ParagraphNumbering"/>
              <w:numPr>
                <w:ilvl w:val="0"/>
                <w:numId w:val="0"/>
              </w:numPr>
              <w:tabs>
                <w:tab w:val="left" w:pos="720"/>
              </w:tabs>
              <w:spacing w:after="0"/>
              <w:ind w:left="20"/>
              <w:jc w:val="center"/>
              <w:rPr>
                <w:rFonts w:ascii="Trebuchet MS" w:hAnsi="Trebuchet MS"/>
                <w:sz w:val="20"/>
                <w:szCs w:val="20"/>
              </w:rPr>
            </w:pPr>
            <w:r w:rsidRPr="006810BE">
              <w:rPr>
                <w:rFonts w:ascii="Trebuchet MS" w:hAnsi="Trebuchet MS"/>
                <w:sz w:val="20"/>
                <w:szCs w:val="20"/>
              </w:rPr>
              <w:t>Average nighttime light intensity growth</w:t>
            </w:r>
          </w:p>
          <w:p w14:paraId="12215D8E" w14:textId="7E50E7CA" w:rsidR="00ED41C6" w:rsidRPr="006810BE" w:rsidRDefault="00ED41C6" w:rsidP="00D727BF">
            <w:pPr>
              <w:pStyle w:val="ParagraphNumbering"/>
              <w:numPr>
                <w:ilvl w:val="0"/>
                <w:numId w:val="0"/>
              </w:numPr>
              <w:tabs>
                <w:tab w:val="left" w:pos="720"/>
              </w:tabs>
              <w:spacing w:after="0"/>
              <w:ind w:left="20"/>
              <w:rPr>
                <w:rFonts w:ascii="Trebuchet MS" w:hAnsi="Trebuchet MS"/>
              </w:rPr>
            </w:pPr>
            <w:r w:rsidRPr="006810BE">
              <w:rPr>
                <w:rFonts w:ascii="Trebuchet MS" w:hAnsi="Trebuchet MS"/>
                <w:noProof/>
              </w:rPr>
              <w:drawing>
                <wp:inline distT="0" distB="0" distL="0" distR="0" wp14:anchorId="7F049F25" wp14:editId="6F5A5203">
                  <wp:extent cx="2943225" cy="2354580"/>
                  <wp:effectExtent l="0" t="0" r="9525" b="7620"/>
                  <wp:docPr id="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7642" cy="2358114"/>
                          </a:xfrm>
                          <a:prstGeom prst="rect">
                            <a:avLst/>
                          </a:prstGeom>
                          <a:noFill/>
                          <a:ln>
                            <a:noFill/>
                          </a:ln>
                          <a:extLst/>
                        </pic:spPr>
                      </pic:pic>
                    </a:graphicData>
                  </a:graphic>
                </wp:inline>
              </w:drawing>
            </w:r>
          </w:p>
        </w:tc>
        <w:tc>
          <w:tcPr>
            <w:tcW w:w="4983" w:type="dxa"/>
          </w:tcPr>
          <w:p w14:paraId="250ECE1B" w14:textId="6AAE1635" w:rsidR="00ED41C6" w:rsidRPr="006810BE" w:rsidRDefault="00ED41C6" w:rsidP="00D727BF">
            <w:pPr>
              <w:pStyle w:val="Caption"/>
              <w:keepNext/>
              <w:tabs>
                <w:tab w:val="left" w:pos="720"/>
              </w:tabs>
              <w:ind w:left="20" w:hanging="20"/>
              <w:jc w:val="center"/>
              <w:rPr>
                <w:szCs w:val="20"/>
              </w:rPr>
            </w:pPr>
            <w:bookmarkStart w:id="94" w:name="_Ref419359026"/>
            <w:bookmarkStart w:id="95" w:name="_Toc445132407"/>
            <w:r w:rsidRPr="006810BE">
              <w:rPr>
                <w:szCs w:val="20"/>
              </w:rPr>
              <w:t xml:space="preserve">Map </w:t>
            </w:r>
            <w:r w:rsidRPr="006810BE">
              <w:rPr>
                <w:szCs w:val="20"/>
              </w:rPr>
              <w:fldChar w:fldCharType="begin"/>
            </w:r>
            <w:r w:rsidRPr="006810BE">
              <w:rPr>
                <w:szCs w:val="20"/>
              </w:rPr>
              <w:instrText xml:space="preserve"> SEQ Map \* ARABIC </w:instrText>
            </w:r>
            <w:r w:rsidRPr="006810BE">
              <w:rPr>
                <w:szCs w:val="20"/>
              </w:rPr>
              <w:fldChar w:fldCharType="separate"/>
            </w:r>
            <w:r w:rsidR="008A3BBD">
              <w:rPr>
                <w:noProof/>
                <w:szCs w:val="20"/>
              </w:rPr>
              <w:t>6</w:t>
            </w:r>
            <w:r w:rsidRPr="006810BE">
              <w:rPr>
                <w:szCs w:val="20"/>
              </w:rPr>
              <w:fldChar w:fldCharType="end"/>
            </w:r>
            <w:bookmarkEnd w:id="94"/>
            <w:r w:rsidRPr="006810BE">
              <w:rPr>
                <w:szCs w:val="20"/>
              </w:rPr>
              <w:t xml:space="preserve">: </w:t>
            </w:r>
            <w:r>
              <w:rPr>
                <w:szCs w:val="20"/>
              </w:rPr>
              <w:t xml:space="preserve">Proxy for </w:t>
            </w:r>
            <w:r w:rsidRPr="006810BE">
              <w:rPr>
                <w:szCs w:val="20"/>
              </w:rPr>
              <w:t xml:space="preserve">Economic </w:t>
            </w:r>
            <w:r w:rsidR="00672D89">
              <w:rPr>
                <w:szCs w:val="20"/>
              </w:rPr>
              <w:t>A</w:t>
            </w:r>
            <w:r w:rsidRPr="006810BE">
              <w:rPr>
                <w:szCs w:val="20"/>
              </w:rPr>
              <w:t xml:space="preserve">ctivity </w:t>
            </w:r>
            <w:r w:rsidR="00672D89">
              <w:rPr>
                <w:szCs w:val="20"/>
              </w:rPr>
              <w:t>G</w:t>
            </w:r>
            <w:r w:rsidRPr="006810BE">
              <w:rPr>
                <w:szCs w:val="20"/>
              </w:rPr>
              <w:t>rowth</w:t>
            </w:r>
            <w:r w:rsidR="00672D89">
              <w:rPr>
                <w:szCs w:val="20"/>
              </w:rPr>
              <w:t>,</w:t>
            </w:r>
            <w:r w:rsidRPr="006810BE">
              <w:rPr>
                <w:szCs w:val="20"/>
              </w:rPr>
              <w:t xml:space="preserve"> </w:t>
            </w:r>
            <w:r w:rsidR="00672D89">
              <w:rPr>
                <w:szCs w:val="20"/>
              </w:rPr>
              <w:t>o</w:t>
            </w:r>
            <w:r w:rsidRPr="006810BE">
              <w:rPr>
                <w:szCs w:val="20"/>
              </w:rPr>
              <w:t xml:space="preserve">ver the </w:t>
            </w:r>
            <w:r w:rsidR="00672D89">
              <w:rPr>
                <w:szCs w:val="20"/>
              </w:rPr>
              <w:t>P</w:t>
            </w:r>
            <w:r w:rsidRPr="006810BE">
              <w:rPr>
                <w:szCs w:val="20"/>
              </w:rPr>
              <w:t>eriod 2009</w:t>
            </w:r>
            <w:r w:rsidR="00672D89">
              <w:rPr>
                <w:rFonts w:ascii="Calibri" w:hAnsi="Calibri"/>
                <w:szCs w:val="20"/>
              </w:rPr>
              <w:t>‒</w:t>
            </w:r>
            <w:r w:rsidRPr="006810BE">
              <w:rPr>
                <w:szCs w:val="20"/>
              </w:rPr>
              <w:t>2012</w:t>
            </w:r>
            <w:bookmarkEnd w:id="95"/>
          </w:p>
          <w:p w14:paraId="44059A28" w14:textId="3396D30F" w:rsidR="00ED41C6" w:rsidRDefault="00ED41C6" w:rsidP="00D727BF">
            <w:pPr>
              <w:tabs>
                <w:tab w:val="left" w:pos="720"/>
              </w:tabs>
              <w:spacing w:after="0"/>
              <w:ind w:left="20" w:hanging="20"/>
              <w:jc w:val="center"/>
              <w:rPr>
                <w:rFonts w:ascii="Trebuchet MS" w:hAnsi="Trebuchet MS"/>
                <w:sz w:val="20"/>
                <w:szCs w:val="20"/>
              </w:rPr>
            </w:pPr>
            <w:r w:rsidRPr="006810BE">
              <w:rPr>
                <w:rFonts w:ascii="Trebuchet MS" w:hAnsi="Trebuchet MS"/>
                <w:sz w:val="20"/>
                <w:szCs w:val="20"/>
              </w:rPr>
              <w:t>Average nighttime light intensity growth</w:t>
            </w:r>
          </w:p>
          <w:p w14:paraId="25F7BAC9" w14:textId="77777777" w:rsidR="00ED41C6" w:rsidRPr="006810BE" w:rsidRDefault="00ED41C6" w:rsidP="00D727BF">
            <w:pPr>
              <w:tabs>
                <w:tab w:val="left" w:pos="720"/>
              </w:tabs>
              <w:spacing w:after="0"/>
              <w:ind w:left="20" w:hanging="20"/>
              <w:jc w:val="center"/>
              <w:rPr>
                <w:rFonts w:ascii="Trebuchet MS" w:hAnsi="Trebuchet MS"/>
                <w:sz w:val="20"/>
                <w:szCs w:val="20"/>
              </w:rPr>
            </w:pPr>
          </w:p>
          <w:p w14:paraId="2BC58B16" w14:textId="77777777" w:rsidR="00ED41C6" w:rsidRPr="006810BE" w:rsidRDefault="00ED41C6" w:rsidP="00D727BF">
            <w:pPr>
              <w:pStyle w:val="ParagraphNumbering"/>
              <w:keepNext/>
              <w:numPr>
                <w:ilvl w:val="0"/>
                <w:numId w:val="0"/>
              </w:numPr>
              <w:tabs>
                <w:tab w:val="left" w:pos="720"/>
              </w:tabs>
              <w:spacing w:after="0"/>
              <w:ind w:left="20"/>
              <w:rPr>
                <w:rFonts w:ascii="Trebuchet MS" w:hAnsi="Trebuchet MS"/>
              </w:rPr>
            </w:pPr>
            <w:r w:rsidRPr="006810BE">
              <w:rPr>
                <w:rFonts w:ascii="Trebuchet MS" w:hAnsi="Trebuchet MS"/>
                <w:noProof/>
              </w:rPr>
              <w:drawing>
                <wp:inline distT="0" distB="0" distL="0" distR="0" wp14:anchorId="77093BCA" wp14:editId="3847BA95">
                  <wp:extent cx="2939885" cy="2352675"/>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1836" cy="2354236"/>
                          </a:xfrm>
                          <a:prstGeom prst="rect">
                            <a:avLst/>
                          </a:prstGeom>
                          <a:noFill/>
                          <a:ln>
                            <a:noFill/>
                          </a:ln>
                          <a:extLst/>
                        </pic:spPr>
                      </pic:pic>
                    </a:graphicData>
                  </a:graphic>
                </wp:inline>
              </w:drawing>
            </w:r>
          </w:p>
        </w:tc>
      </w:tr>
    </w:tbl>
    <w:p w14:paraId="7221929A" w14:textId="0E6B8E92" w:rsidR="00101EAC" w:rsidRDefault="00101EAC" w:rsidP="00D727BF">
      <w:pPr>
        <w:pStyle w:val="Caption"/>
        <w:tabs>
          <w:tab w:val="left" w:pos="720"/>
        </w:tabs>
      </w:pPr>
    </w:p>
    <w:p w14:paraId="52BDC281" w14:textId="3C2BBE31" w:rsidR="00ED41C6" w:rsidRPr="001845F3" w:rsidRDefault="00ED41C6" w:rsidP="00D727BF">
      <w:pPr>
        <w:pStyle w:val="FootnoteText"/>
        <w:tabs>
          <w:tab w:val="left" w:pos="720"/>
        </w:tabs>
        <w:rPr>
          <w:rFonts w:ascii="Times New Roman" w:hAnsi="Times New Roman"/>
        </w:rPr>
      </w:pPr>
      <w:r w:rsidRPr="001845F3">
        <w:rPr>
          <w:rFonts w:ascii="Times New Roman" w:hAnsi="Times New Roman"/>
        </w:rPr>
        <w:t xml:space="preserve">Source: </w:t>
      </w:r>
      <w:r w:rsidR="007A3289" w:rsidRPr="001845F3">
        <w:rPr>
          <w:rFonts w:ascii="Times New Roman" w:hAnsi="Times New Roman"/>
        </w:rPr>
        <w:t>Authors</w:t>
      </w:r>
      <w:r w:rsidR="00863D16">
        <w:rPr>
          <w:rFonts w:ascii="Times New Roman" w:hAnsi="Times New Roman"/>
        </w:rPr>
        <w:t>’</w:t>
      </w:r>
      <w:r w:rsidR="007A3289" w:rsidRPr="001845F3">
        <w:rPr>
          <w:rFonts w:ascii="Times New Roman" w:hAnsi="Times New Roman"/>
        </w:rPr>
        <w:t xml:space="preserve"> calculations based on Defense Meteorological Satellite Program (DMSP) data</w:t>
      </w:r>
    </w:p>
    <w:p w14:paraId="54DBB66A" w14:textId="32766A06" w:rsidR="00ED41C6" w:rsidRPr="001845F3" w:rsidRDefault="00ED41C6" w:rsidP="00D727BF">
      <w:pPr>
        <w:pStyle w:val="FootnoteText"/>
        <w:tabs>
          <w:tab w:val="left" w:pos="720"/>
        </w:tabs>
        <w:spacing w:after="0"/>
        <w:rPr>
          <w:rFonts w:ascii="Times New Roman" w:hAnsi="Times New Roman"/>
        </w:rPr>
      </w:pPr>
      <w:r w:rsidRPr="001845F3">
        <w:rPr>
          <w:rFonts w:ascii="Times New Roman" w:hAnsi="Times New Roman"/>
        </w:rPr>
        <w:t>Note: Nighttime lights are used as a proxy for economic activity, following the work done by Henderson et al</w:t>
      </w:r>
      <w:r w:rsidR="00724178" w:rsidRPr="001845F3">
        <w:rPr>
          <w:rFonts w:ascii="Times New Roman" w:hAnsi="Times New Roman"/>
        </w:rPr>
        <w:t>.</w:t>
      </w:r>
      <w:r w:rsidRPr="001845F3">
        <w:rPr>
          <w:rFonts w:ascii="Times New Roman" w:hAnsi="Times New Roman"/>
        </w:rPr>
        <w:t xml:space="preserve"> (2012) and Michalopoulos and Papaioannou (2013). </w:t>
      </w:r>
      <w:r w:rsidR="00AF68F9">
        <w:rPr>
          <w:rFonts w:ascii="Times New Roman" w:hAnsi="Times New Roman"/>
        </w:rPr>
        <w:t>These data are</w:t>
      </w:r>
      <w:r w:rsidRPr="001845F3">
        <w:rPr>
          <w:rFonts w:ascii="Times New Roman" w:hAnsi="Times New Roman"/>
        </w:rPr>
        <w:t xml:space="preserve"> collected by satellite images every night and averaged over the course of the year. Each </w:t>
      </w:r>
      <w:r w:rsidR="00BB3899">
        <w:rPr>
          <w:rFonts w:ascii="Times New Roman" w:hAnsi="Times New Roman"/>
        </w:rPr>
        <w:t xml:space="preserve">geographic </w:t>
      </w:r>
      <w:r w:rsidRPr="001845F3">
        <w:rPr>
          <w:rFonts w:ascii="Times New Roman" w:hAnsi="Times New Roman"/>
        </w:rPr>
        <w:t xml:space="preserve">cell constitutes a pixel of roughly one square kilometer. The intensity </w:t>
      </w:r>
      <w:r w:rsidR="00BB3899">
        <w:rPr>
          <w:rFonts w:ascii="Times New Roman" w:hAnsi="Times New Roman"/>
        </w:rPr>
        <w:t xml:space="preserve">of each pixel </w:t>
      </w:r>
      <w:r w:rsidRPr="001845F3">
        <w:rPr>
          <w:rFonts w:ascii="Times New Roman" w:hAnsi="Times New Roman"/>
        </w:rPr>
        <w:t xml:space="preserve">is reported as a number </w:t>
      </w:r>
      <w:r w:rsidR="00CD0E9F" w:rsidRPr="001845F3">
        <w:rPr>
          <w:rFonts w:ascii="Times New Roman" w:hAnsi="Times New Roman"/>
        </w:rPr>
        <w:t xml:space="preserve">ranging </w:t>
      </w:r>
      <w:r w:rsidRPr="001845F3">
        <w:rPr>
          <w:rFonts w:ascii="Times New Roman" w:hAnsi="Times New Roman"/>
        </w:rPr>
        <w:t xml:space="preserve">from </w:t>
      </w:r>
      <w:r w:rsidR="00AF68F9">
        <w:rPr>
          <w:rFonts w:ascii="Times New Roman" w:hAnsi="Times New Roman"/>
        </w:rPr>
        <w:t>zero to sixty-three</w:t>
      </w:r>
      <w:r w:rsidR="00CD0E9F" w:rsidRPr="001845F3">
        <w:rPr>
          <w:rFonts w:ascii="Times New Roman" w:hAnsi="Times New Roman"/>
        </w:rPr>
        <w:t>,</w:t>
      </w:r>
      <w:r w:rsidRPr="001845F3">
        <w:rPr>
          <w:rFonts w:ascii="Times New Roman" w:hAnsi="Times New Roman"/>
        </w:rPr>
        <w:t xml:space="preserve"> </w:t>
      </w:r>
      <w:r w:rsidR="00BB3899">
        <w:rPr>
          <w:rFonts w:ascii="Times New Roman" w:hAnsi="Times New Roman"/>
        </w:rPr>
        <w:t xml:space="preserve">where </w:t>
      </w:r>
      <w:r w:rsidRPr="001845F3">
        <w:rPr>
          <w:rFonts w:ascii="Times New Roman" w:hAnsi="Times New Roman"/>
        </w:rPr>
        <w:t xml:space="preserve">every observation above </w:t>
      </w:r>
      <w:r w:rsidR="00AF68F9">
        <w:rPr>
          <w:rFonts w:ascii="Times New Roman" w:hAnsi="Times New Roman"/>
        </w:rPr>
        <w:t>sixty-three</w:t>
      </w:r>
      <w:r w:rsidR="00AF68F9" w:rsidRPr="001845F3">
        <w:rPr>
          <w:rFonts w:ascii="Times New Roman" w:hAnsi="Times New Roman"/>
        </w:rPr>
        <w:t xml:space="preserve"> </w:t>
      </w:r>
      <w:r w:rsidRPr="001845F3">
        <w:rPr>
          <w:rFonts w:ascii="Times New Roman" w:hAnsi="Times New Roman"/>
        </w:rPr>
        <w:t xml:space="preserve">is capped at </w:t>
      </w:r>
      <w:r w:rsidR="00AF68F9">
        <w:rPr>
          <w:rFonts w:ascii="Times New Roman" w:hAnsi="Times New Roman"/>
        </w:rPr>
        <w:t>sixty-three</w:t>
      </w:r>
      <w:r w:rsidRPr="001845F3">
        <w:rPr>
          <w:rFonts w:ascii="Times New Roman" w:hAnsi="Times New Roman"/>
        </w:rPr>
        <w:t xml:space="preserve">. </w:t>
      </w:r>
      <w:r w:rsidR="00BB3899">
        <w:rPr>
          <w:rFonts w:ascii="Times New Roman" w:hAnsi="Times New Roman"/>
        </w:rPr>
        <w:t>I</w:t>
      </w:r>
      <w:r w:rsidRPr="001845F3">
        <w:rPr>
          <w:rFonts w:ascii="Times New Roman" w:hAnsi="Times New Roman"/>
        </w:rPr>
        <w:t xml:space="preserve">ntensity for each state is the average intensity of all cells that constitute a state. </w:t>
      </w:r>
    </w:p>
    <w:p w14:paraId="0BF1DB66" w14:textId="77777777" w:rsidR="00790783" w:rsidRPr="00423930" w:rsidRDefault="00790783" w:rsidP="00D727BF">
      <w:pPr>
        <w:tabs>
          <w:tab w:val="left" w:pos="720"/>
        </w:tabs>
        <w:spacing w:after="0"/>
      </w:pPr>
    </w:p>
    <w:p w14:paraId="587A9831" w14:textId="1DC44388" w:rsidR="00E009CB" w:rsidRDefault="004E78E7" w:rsidP="00D727BF">
      <w:pPr>
        <w:pStyle w:val="ParagraphNumbering"/>
        <w:numPr>
          <w:ilvl w:val="0"/>
          <w:numId w:val="0"/>
        </w:numPr>
        <w:tabs>
          <w:tab w:val="left" w:pos="720"/>
        </w:tabs>
        <w:spacing w:after="0"/>
      </w:pPr>
      <w:r>
        <w:rPr>
          <w:b/>
        </w:rPr>
        <w:tab/>
      </w:r>
      <w:r w:rsidR="00CD0E9F">
        <w:rPr>
          <w:b/>
        </w:rPr>
        <w:t>T</w:t>
      </w:r>
      <w:r w:rsidR="00635ECD" w:rsidRPr="00635ECD">
        <w:rPr>
          <w:b/>
        </w:rPr>
        <w:t xml:space="preserve">he wage work sector is </w:t>
      </w:r>
      <w:r w:rsidR="000C44E5">
        <w:rPr>
          <w:b/>
        </w:rPr>
        <w:t xml:space="preserve">also </w:t>
      </w:r>
      <w:r w:rsidR="00CD0E9F">
        <w:rPr>
          <w:b/>
        </w:rPr>
        <w:t xml:space="preserve">more heavily concentrated in </w:t>
      </w:r>
      <w:r w:rsidR="00635ECD" w:rsidRPr="00635ECD">
        <w:rPr>
          <w:b/>
        </w:rPr>
        <w:t xml:space="preserve">the </w:t>
      </w:r>
      <w:r w:rsidR="00BB3899">
        <w:rPr>
          <w:b/>
        </w:rPr>
        <w:t>s</w:t>
      </w:r>
      <w:r w:rsidR="00635ECD" w:rsidRPr="00635ECD">
        <w:rPr>
          <w:b/>
        </w:rPr>
        <w:t>outh.</w:t>
      </w:r>
      <w:r w:rsidR="00635ECD">
        <w:t xml:space="preserve"> The occupational choice</w:t>
      </w:r>
      <w:r w:rsidR="00885A18">
        <w:t>s</w:t>
      </w:r>
      <w:r w:rsidR="00635ECD">
        <w:t xml:space="preserve"> of the </w:t>
      </w:r>
      <w:r w:rsidR="001D6113">
        <w:t>labor force</w:t>
      </w:r>
      <w:r w:rsidR="00635ECD">
        <w:t xml:space="preserve"> differ by region</w:t>
      </w:r>
      <w:r w:rsidR="00790783">
        <w:t>,</w:t>
      </w:r>
      <w:r w:rsidR="00E009CB" w:rsidRPr="00C459CE">
        <w:t xml:space="preserve"> as shown in </w:t>
      </w:r>
      <w:r w:rsidR="00507AA5">
        <w:t>figure 15</w:t>
      </w:r>
      <w:r w:rsidR="00E009CB" w:rsidRPr="00C459CE">
        <w:t xml:space="preserve">. </w:t>
      </w:r>
      <w:bookmarkStart w:id="96" w:name="_Ref416358352"/>
      <w:r w:rsidR="003545C6">
        <w:t>In 2013, the wage work sector accounted for 24</w:t>
      </w:r>
      <w:r w:rsidR="00635ECD">
        <w:t xml:space="preserve"> and </w:t>
      </w:r>
      <w:r w:rsidR="003545C6">
        <w:t>18</w:t>
      </w:r>
      <w:r w:rsidR="00635ECD">
        <w:t xml:space="preserve"> percent of </w:t>
      </w:r>
      <w:r w:rsidR="005557B8">
        <w:t xml:space="preserve">total employment in the </w:t>
      </w:r>
      <w:r w:rsidR="006F6842">
        <w:t>South South</w:t>
      </w:r>
      <w:r w:rsidR="00635ECD">
        <w:t xml:space="preserve"> and </w:t>
      </w:r>
      <w:r w:rsidR="006F6842">
        <w:t>South West zone</w:t>
      </w:r>
      <w:r w:rsidR="00635ECD">
        <w:t>s</w:t>
      </w:r>
      <w:r w:rsidR="00790783">
        <w:t>,</w:t>
      </w:r>
      <w:r w:rsidR="00635ECD">
        <w:t xml:space="preserve"> respectively. </w:t>
      </w:r>
      <w:r w:rsidR="00790783">
        <w:t>By comparison, the share of wage work is onl</w:t>
      </w:r>
      <w:r w:rsidR="00635ECD">
        <w:t xml:space="preserve">y </w:t>
      </w:r>
      <w:r w:rsidR="00507AA5">
        <w:t xml:space="preserve">8 </w:t>
      </w:r>
      <w:r w:rsidR="00635ECD">
        <w:t xml:space="preserve">percent in the </w:t>
      </w:r>
      <w:r w:rsidR="006F6842">
        <w:t>North East</w:t>
      </w:r>
      <w:r w:rsidR="00635ECD">
        <w:t xml:space="preserve"> and </w:t>
      </w:r>
      <w:r w:rsidR="006F6842">
        <w:t>North West zone</w:t>
      </w:r>
      <w:r w:rsidR="00635ECD">
        <w:t xml:space="preserve">s. </w:t>
      </w:r>
      <w:r w:rsidR="005557B8">
        <w:t>The size of the public sector has been slow</w:t>
      </w:r>
      <w:r w:rsidR="000C44E5">
        <w:t>ly</w:t>
      </w:r>
      <w:r w:rsidR="005557B8">
        <w:t xml:space="preserve"> decreasing in all zones</w:t>
      </w:r>
      <w:r w:rsidR="00790783">
        <w:t>; a</w:t>
      </w:r>
      <w:r w:rsidR="005557B8">
        <w:t>s a result, the private sector outweigh</w:t>
      </w:r>
      <w:r w:rsidR="00790783">
        <w:t>s</w:t>
      </w:r>
      <w:r w:rsidR="005557B8">
        <w:t xml:space="preserve"> the public </w:t>
      </w:r>
      <w:r w:rsidR="00790783">
        <w:t>sector</w:t>
      </w:r>
      <w:r w:rsidR="005557B8">
        <w:t xml:space="preserve"> in </w:t>
      </w:r>
      <w:r w:rsidR="00724178">
        <w:t xml:space="preserve">the </w:t>
      </w:r>
      <w:r w:rsidR="006F6842">
        <w:t>South West zone</w:t>
      </w:r>
      <w:r w:rsidR="00885A18">
        <w:t>, and i</w:t>
      </w:r>
      <w:r w:rsidR="005557B8">
        <w:t>n 2013</w:t>
      </w:r>
      <w:r w:rsidR="00507AA5">
        <w:t>,</w:t>
      </w:r>
      <w:r w:rsidR="005557B8">
        <w:t xml:space="preserve"> </w:t>
      </w:r>
      <w:r w:rsidR="000C44E5">
        <w:t>it</w:t>
      </w:r>
      <w:r w:rsidR="005557B8">
        <w:t xml:space="preserve"> employed twice as many people as the public sector</w:t>
      </w:r>
      <w:r w:rsidR="001D6113">
        <w:t xml:space="preserve"> in this zone</w:t>
      </w:r>
      <w:r w:rsidR="005557B8">
        <w:t>.</w:t>
      </w:r>
      <w:r w:rsidR="0081651A">
        <w:t xml:space="preserve"> According to the GHS, </w:t>
      </w:r>
      <w:r w:rsidR="00885A18">
        <w:t>private sector wage work</w:t>
      </w:r>
      <w:r w:rsidR="0081651A">
        <w:t xml:space="preserve"> is almost </w:t>
      </w:r>
      <w:r w:rsidR="00790783">
        <w:t>non</w:t>
      </w:r>
      <w:r w:rsidR="0081651A">
        <w:t xml:space="preserve">existent in the </w:t>
      </w:r>
      <w:r w:rsidR="00BB3899">
        <w:t>n</w:t>
      </w:r>
      <w:r w:rsidR="0081651A">
        <w:t>orth.</w:t>
      </w:r>
    </w:p>
    <w:p w14:paraId="50E5A2A7" w14:textId="77777777" w:rsidR="001D6113" w:rsidRDefault="001D6113" w:rsidP="00D727BF">
      <w:pPr>
        <w:pStyle w:val="ParagraphNumbering"/>
        <w:numPr>
          <w:ilvl w:val="0"/>
          <w:numId w:val="0"/>
        </w:numPr>
        <w:tabs>
          <w:tab w:val="left" w:pos="720"/>
        </w:tabs>
        <w:spacing w:after="0"/>
        <w:ind w:left="806" w:hanging="360"/>
      </w:pPr>
    </w:p>
    <w:p w14:paraId="44199889" w14:textId="77777777" w:rsidR="001D6113" w:rsidRDefault="001D6113" w:rsidP="00D727BF">
      <w:pPr>
        <w:pStyle w:val="ParagraphNumbering"/>
        <w:numPr>
          <w:ilvl w:val="0"/>
          <w:numId w:val="0"/>
        </w:numPr>
        <w:tabs>
          <w:tab w:val="left" w:pos="720"/>
        </w:tabs>
        <w:spacing w:after="0"/>
        <w:ind w:left="806" w:hanging="360"/>
      </w:pPr>
    </w:p>
    <w:p w14:paraId="24FD8B26" w14:textId="77777777" w:rsidR="001D6113" w:rsidRDefault="001D6113" w:rsidP="00D727BF">
      <w:pPr>
        <w:pStyle w:val="ParagraphNumbering"/>
        <w:numPr>
          <w:ilvl w:val="0"/>
          <w:numId w:val="0"/>
        </w:numPr>
        <w:tabs>
          <w:tab w:val="left" w:pos="720"/>
        </w:tabs>
        <w:spacing w:after="0"/>
        <w:ind w:left="806" w:hanging="360"/>
      </w:pPr>
    </w:p>
    <w:p w14:paraId="71E542C1" w14:textId="77777777" w:rsidR="00DD3FC5" w:rsidRPr="00C459CE" w:rsidRDefault="00DD3FC5" w:rsidP="00D727BF">
      <w:pPr>
        <w:pStyle w:val="ParagraphNumbering"/>
        <w:numPr>
          <w:ilvl w:val="0"/>
          <w:numId w:val="0"/>
        </w:numPr>
        <w:tabs>
          <w:tab w:val="left" w:pos="720"/>
        </w:tabs>
        <w:spacing w:after="0"/>
      </w:pPr>
    </w:p>
    <w:p w14:paraId="722D7C38" w14:textId="54A37CF6" w:rsidR="00E009CB" w:rsidRDefault="00E009CB" w:rsidP="00D727BF">
      <w:pPr>
        <w:pStyle w:val="Caption"/>
        <w:keepNext/>
        <w:tabs>
          <w:tab w:val="left" w:pos="720"/>
        </w:tabs>
        <w:ind w:left="20" w:hanging="20"/>
        <w:jc w:val="center"/>
      </w:pPr>
      <w:bookmarkStart w:id="97" w:name="_Ref419359091"/>
      <w:bookmarkStart w:id="98" w:name="_Ref445131156"/>
      <w:bookmarkStart w:id="99" w:name="_Toc445449633"/>
      <w:r>
        <w:t xml:space="preserve">Figure </w:t>
      </w:r>
      <w:fldSimple w:instr=" SEQ Figure \* ARABIC ">
        <w:r w:rsidR="008A3BBD">
          <w:rPr>
            <w:noProof/>
          </w:rPr>
          <w:t>15</w:t>
        </w:r>
      </w:fldSimple>
      <w:bookmarkEnd w:id="96"/>
      <w:bookmarkEnd w:id="97"/>
      <w:bookmarkEnd w:id="98"/>
      <w:r>
        <w:t xml:space="preserve">: </w:t>
      </w:r>
      <w:r w:rsidR="00B67632">
        <w:t xml:space="preserve">Distribution of the </w:t>
      </w:r>
      <w:r w:rsidR="00507AA5">
        <w:t>L</w:t>
      </w:r>
      <w:r w:rsidR="00B67632">
        <w:t xml:space="preserve">abor </w:t>
      </w:r>
      <w:r w:rsidR="00507AA5">
        <w:t>F</w:t>
      </w:r>
      <w:r w:rsidR="00B67632">
        <w:t xml:space="preserve">orce, by </w:t>
      </w:r>
      <w:r w:rsidR="00507AA5">
        <w:t>E</w:t>
      </w:r>
      <w:r w:rsidR="00B67632">
        <w:t>mployer</w:t>
      </w:r>
      <w:bookmarkEnd w:id="99"/>
    </w:p>
    <w:p w14:paraId="56036A2D" w14:textId="074804AA" w:rsidR="00E009CB" w:rsidRDefault="00E009CB" w:rsidP="00D727BF">
      <w:pPr>
        <w:tabs>
          <w:tab w:val="left" w:pos="720"/>
        </w:tabs>
        <w:spacing w:after="0"/>
        <w:ind w:left="20" w:hanging="20"/>
        <w:jc w:val="center"/>
        <w:rPr>
          <w:rFonts w:ascii="Trebuchet MS" w:hAnsi="Trebuchet MS"/>
          <w:sz w:val="20"/>
          <w:szCs w:val="20"/>
        </w:rPr>
      </w:pPr>
      <w:r>
        <w:rPr>
          <w:rFonts w:ascii="Trebuchet MS" w:hAnsi="Trebuchet MS"/>
          <w:sz w:val="20"/>
          <w:szCs w:val="20"/>
        </w:rPr>
        <w:t>For wave 1(</w:t>
      </w:r>
      <w:r w:rsidRPr="00D86EDC">
        <w:rPr>
          <w:rFonts w:ascii="Trebuchet MS" w:hAnsi="Trebuchet MS"/>
          <w:sz w:val="20"/>
          <w:szCs w:val="20"/>
        </w:rPr>
        <w:t>2010</w:t>
      </w:r>
      <w:r w:rsidR="00507AA5">
        <w:rPr>
          <w:rFonts w:ascii="Calibri" w:hAnsi="Calibri"/>
          <w:sz w:val="20"/>
          <w:szCs w:val="20"/>
        </w:rPr>
        <w:t>‒</w:t>
      </w:r>
      <w:r w:rsidRPr="00D86EDC">
        <w:rPr>
          <w:rFonts w:ascii="Trebuchet MS" w:hAnsi="Trebuchet MS"/>
          <w:sz w:val="20"/>
          <w:szCs w:val="20"/>
        </w:rPr>
        <w:t>11</w:t>
      </w:r>
      <w:r>
        <w:rPr>
          <w:rFonts w:ascii="Trebuchet MS" w:hAnsi="Trebuchet MS"/>
          <w:sz w:val="20"/>
          <w:szCs w:val="20"/>
        </w:rPr>
        <w:t>)</w:t>
      </w:r>
      <w:r w:rsidRPr="00D86EDC">
        <w:rPr>
          <w:rFonts w:ascii="Trebuchet MS" w:hAnsi="Trebuchet MS"/>
          <w:sz w:val="20"/>
          <w:szCs w:val="20"/>
        </w:rPr>
        <w:t xml:space="preserve"> and </w:t>
      </w:r>
      <w:r>
        <w:rPr>
          <w:rFonts w:ascii="Trebuchet MS" w:hAnsi="Trebuchet MS"/>
          <w:sz w:val="20"/>
          <w:szCs w:val="20"/>
        </w:rPr>
        <w:t>wave 2(</w:t>
      </w:r>
      <w:r w:rsidRPr="00D86EDC">
        <w:rPr>
          <w:rFonts w:ascii="Trebuchet MS" w:hAnsi="Trebuchet MS"/>
          <w:sz w:val="20"/>
          <w:szCs w:val="20"/>
        </w:rPr>
        <w:t>2012</w:t>
      </w:r>
      <w:r w:rsidR="00507AA5">
        <w:rPr>
          <w:rFonts w:ascii="Calibri" w:hAnsi="Calibri"/>
          <w:sz w:val="20"/>
          <w:szCs w:val="20"/>
        </w:rPr>
        <w:t>‒</w:t>
      </w:r>
      <w:r w:rsidRPr="00D86EDC">
        <w:rPr>
          <w:rFonts w:ascii="Trebuchet MS" w:hAnsi="Trebuchet MS"/>
          <w:sz w:val="20"/>
          <w:szCs w:val="20"/>
        </w:rPr>
        <w:t>13</w:t>
      </w:r>
      <w:r>
        <w:rPr>
          <w:rFonts w:ascii="Trebuchet MS" w:hAnsi="Trebuchet MS"/>
          <w:sz w:val="20"/>
          <w:szCs w:val="20"/>
        </w:rPr>
        <w:t>)</w:t>
      </w:r>
    </w:p>
    <w:p w14:paraId="5C0D27AC" w14:textId="265B73EC" w:rsidR="00E009CB" w:rsidRDefault="00AE4403" w:rsidP="00D727BF">
      <w:pPr>
        <w:tabs>
          <w:tab w:val="left" w:pos="720"/>
        </w:tabs>
        <w:spacing w:after="0"/>
        <w:ind w:left="20" w:hanging="20"/>
        <w:jc w:val="center"/>
        <w:rPr>
          <w:rFonts w:ascii="Trebuchet MS" w:hAnsi="Trebuchet MS"/>
          <w:sz w:val="20"/>
          <w:szCs w:val="20"/>
        </w:rPr>
      </w:pPr>
      <w:r>
        <w:rPr>
          <w:noProof/>
        </w:rPr>
        <w:drawing>
          <wp:inline distT="0" distB="0" distL="0" distR="0" wp14:anchorId="1D7AE5A0" wp14:editId="258F1708">
            <wp:extent cx="6019800" cy="2743200"/>
            <wp:effectExtent l="0" t="0" r="0" b="0"/>
            <wp:docPr id="6156" name="Chart 6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C600E1" w14:textId="5A052C6A" w:rsidR="00E009CB" w:rsidRPr="001845F3" w:rsidRDefault="00E009CB" w:rsidP="00D727BF">
      <w:pPr>
        <w:pStyle w:val="ParagraphNumbering"/>
        <w:numPr>
          <w:ilvl w:val="0"/>
          <w:numId w:val="0"/>
        </w:numPr>
        <w:tabs>
          <w:tab w:val="left" w:pos="720"/>
        </w:tabs>
        <w:ind w:left="14"/>
        <w:rPr>
          <w:sz w:val="18"/>
          <w:szCs w:val="18"/>
        </w:rPr>
      </w:pPr>
      <w:r w:rsidRPr="001845F3">
        <w:rPr>
          <w:sz w:val="18"/>
          <w:szCs w:val="18"/>
        </w:rPr>
        <w:t>Source: Estimates based on GHS 2010</w:t>
      </w:r>
      <w:r w:rsidR="00507AA5">
        <w:rPr>
          <w:rFonts w:ascii="Calibri" w:hAnsi="Calibri"/>
          <w:sz w:val="18"/>
          <w:szCs w:val="18"/>
        </w:rPr>
        <w:t>‒</w:t>
      </w:r>
      <w:r w:rsidRPr="001845F3">
        <w:rPr>
          <w:sz w:val="18"/>
          <w:szCs w:val="18"/>
        </w:rPr>
        <w:t>11 and GHS 2012</w:t>
      </w:r>
      <w:r w:rsidR="00507AA5">
        <w:rPr>
          <w:rFonts w:ascii="Calibri" w:hAnsi="Calibri"/>
          <w:sz w:val="18"/>
          <w:szCs w:val="18"/>
        </w:rPr>
        <w:t>‒</w:t>
      </w:r>
      <w:r w:rsidRPr="001845F3">
        <w:rPr>
          <w:sz w:val="18"/>
          <w:szCs w:val="18"/>
        </w:rPr>
        <w:t>13</w:t>
      </w:r>
    </w:p>
    <w:p w14:paraId="433A4327" w14:textId="12B80CBF" w:rsidR="008652E4" w:rsidRPr="001845F3" w:rsidRDefault="00E009CB" w:rsidP="00D727BF">
      <w:pPr>
        <w:pStyle w:val="ParagraphNumbering"/>
        <w:numPr>
          <w:ilvl w:val="0"/>
          <w:numId w:val="0"/>
        </w:numPr>
        <w:tabs>
          <w:tab w:val="left" w:pos="720"/>
        </w:tabs>
        <w:rPr>
          <w:sz w:val="18"/>
          <w:szCs w:val="18"/>
        </w:rPr>
      </w:pPr>
      <w:r w:rsidRPr="001845F3">
        <w:rPr>
          <w:sz w:val="18"/>
          <w:szCs w:val="18"/>
        </w:rPr>
        <w:t xml:space="preserve">Note: Population-weighted proportion. </w:t>
      </w:r>
      <w:r w:rsidR="008652E4" w:rsidRPr="001845F3">
        <w:rPr>
          <w:sz w:val="18"/>
          <w:szCs w:val="18"/>
        </w:rPr>
        <w:t xml:space="preserve">Questions used: </w:t>
      </w:r>
      <w:r w:rsidR="00863D16">
        <w:rPr>
          <w:sz w:val="18"/>
          <w:szCs w:val="18"/>
        </w:rPr>
        <w:t>“</w:t>
      </w:r>
      <w:r w:rsidR="008652E4" w:rsidRPr="001845F3">
        <w:rPr>
          <w:sz w:val="18"/>
          <w:szCs w:val="18"/>
        </w:rPr>
        <w:t>In your main activity</w:t>
      </w:r>
      <w:r w:rsidR="008652E4">
        <w:rPr>
          <w:sz w:val="18"/>
          <w:szCs w:val="18"/>
        </w:rPr>
        <w:t>/employment</w:t>
      </w:r>
      <w:r w:rsidR="008652E4" w:rsidRPr="001845F3">
        <w:rPr>
          <w:sz w:val="18"/>
          <w:szCs w:val="18"/>
        </w:rPr>
        <w:t>, what is the employer in this job?</w:t>
      </w:r>
      <w:r w:rsidR="00863D16">
        <w:rPr>
          <w:sz w:val="18"/>
          <w:szCs w:val="18"/>
        </w:rPr>
        <w:t>”</w:t>
      </w:r>
      <w:r w:rsidR="008652E4" w:rsidRPr="001845F3">
        <w:rPr>
          <w:sz w:val="18"/>
          <w:szCs w:val="18"/>
        </w:rPr>
        <w:t xml:space="preserve"> combined with </w:t>
      </w:r>
      <w:r w:rsidR="00863D16">
        <w:rPr>
          <w:sz w:val="18"/>
          <w:szCs w:val="18"/>
        </w:rPr>
        <w:t>“</w:t>
      </w:r>
      <w:r w:rsidR="008652E4" w:rsidRPr="001845F3">
        <w:rPr>
          <w:sz w:val="18"/>
          <w:szCs w:val="18"/>
        </w:rPr>
        <w:t>Have you received wages, salary</w:t>
      </w:r>
      <w:r w:rsidR="00507AA5">
        <w:rPr>
          <w:sz w:val="18"/>
          <w:szCs w:val="18"/>
        </w:rPr>
        <w:t>,</w:t>
      </w:r>
      <w:r w:rsidR="008652E4" w:rsidRPr="001845F3">
        <w:rPr>
          <w:sz w:val="18"/>
          <w:szCs w:val="18"/>
        </w:rPr>
        <w:t xml:space="preserve"> or other payments either in cash or in other forms from this employment for this work?</w:t>
      </w:r>
      <w:r w:rsidR="00863D16">
        <w:rPr>
          <w:sz w:val="18"/>
          <w:szCs w:val="18"/>
        </w:rPr>
        <w:t>”</w:t>
      </w:r>
      <w:r w:rsidR="008652E4">
        <w:rPr>
          <w:sz w:val="18"/>
          <w:szCs w:val="18"/>
        </w:rPr>
        <w:t xml:space="preserve"> and </w:t>
      </w:r>
      <w:r w:rsidR="00863D16">
        <w:rPr>
          <w:sz w:val="18"/>
          <w:szCs w:val="18"/>
        </w:rPr>
        <w:t>“</w:t>
      </w:r>
      <w:r w:rsidR="008652E4">
        <w:rPr>
          <w:sz w:val="18"/>
          <w:szCs w:val="18"/>
        </w:rPr>
        <w:t>In what sector is this main activity?</w:t>
      </w:r>
      <w:r w:rsidR="00863D16">
        <w:rPr>
          <w:sz w:val="18"/>
          <w:szCs w:val="18"/>
        </w:rPr>
        <w:t>”</w:t>
      </w:r>
    </w:p>
    <w:p w14:paraId="33F9FB67" w14:textId="77777777" w:rsidR="00DD3FC5" w:rsidRDefault="00DD3FC5" w:rsidP="00D727BF">
      <w:pPr>
        <w:tabs>
          <w:tab w:val="left" w:pos="720"/>
        </w:tabs>
        <w:spacing w:after="0"/>
      </w:pPr>
    </w:p>
    <w:p w14:paraId="0785E87F" w14:textId="77777777" w:rsidR="00A50F62" w:rsidRPr="00DD3FC5" w:rsidRDefault="004312CF" w:rsidP="00D727BF">
      <w:pPr>
        <w:pStyle w:val="Heading2"/>
        <w:tabs>
          <w:tab w:val="left" w:pos="720"/>
        </w:tabs>
      </w:pPr>
      <w:bookmarkStart w:id="100" w:name="_Toc444877504"/>
      <w:bookmarkStart w:id="101" w:name="_Toc445450278"/>
      <w:r w:rsidRPr="00DD3FC5">
        <w:t xml:space="preserve">A Brief Description of the </w:t>
      </w:r>
      <w:r w:rsidR="00EF278C" w:rsidRPr="00DD3FC5">
        <w:t xml:space="preserve">Nigerian </w:t>
      </w:r>
      <w:r w:rsidRPr="00DD3FC5">
        <w:t>Private Sector</w:t>
      </w:r>
      <w:bookmarkEnd w:id="100"/>
      <w:bookmarkEnd w:id="101"/>
    </w:p>
    <w:p w14:paraId="373502F0" w14:textId="595BE02D" w:rsidR="004312CF" w:rsidRDefault="004E78E7" w:rsidP="00D727BF">
      <w:pPr>
        <w:pStyle w:val="ParagraphNumbering"/>
        <w:numPr>
          <w:ilvl w:val="0"/>
          <w:numId w:val="0"/>
        </w:numPr>
        <w:tabs>
          <w:tab w:val="left" w:pos="720"/>
        </w:tabs>
      </w:pPr>
      <w:r>
        <w:tab/>
      </w:r>
      <w:r w:rsidR="0047370E">
        <w:t xml:space="preserve">Maps </w:t>
      </w:r>
      <w:r w:rsidR="00BB3899">
        <w:t>5</w:t>
      </w:r>
      <w:r w:rsidR="0047370E">
        <w:t xml:space="preserve"> and </w:t>
      </w:r>
      <w:r w:rsidR="00BB3899">
        <w:t>6</w:t>
      </w:r>
      <w:r w:rsidR="0047370E">
        <w:t xml:space="preserve"> indi</w:t>
      </w:r>
      <w:r w:rsidR="00BE6B8A">
        <w:t xml:space="preserve">cate that economic activities are concentrated in </w:t>
      </w:r>
      <w:r w:rsidR="00885A18">
        <w:t xml:space="preserve">several </w:t>
      </w:r>
      <w:r w:rsidR="00BE6B8A">
        <w:t>enclaves</w:t>
      </w:r>
      <w:r w:rsidR="00CE1529">
        <w:t>, namely</w:t>
      </w:r>
      <w:r w:rsidR="00BE6B8A">
        <w:t xml:space="preserve"> Lagos, Abuja, Kano</w:t>
      </w:r>
      <w:r w:rsidR="00507AA5">
        <w:t>,</w:t>
      </w:r>
      <w:r w:rsidR="00BE6B8A">
        <w:t xml:space="preserve"> and Kaduna.</w:t>
      </w:r>
      <w:r w:rsidR="00F428F9">
        <w:t xml:space="preserve"> </w:t>
      </w:r>
      <w:r w:rsidR="00885A18">
        <w:t xml:space="preserve">The </w:t>
      </w:r>
      <w:r w:rsidR="00106975">
        <w:t>household survey</w:t>
      </w:r>
      <w:r w:rsidR="00BE6B8A">
        <w:t xml:space="preserve"> </w:t>
      </w:r>
      <w:r w:rsidR="00885A18">
        <w:t xml:space="preserve">indicates wage work in the </w:t>
      </w:r>
      <w:r w:rsidR="00E9128B">
        <w:t>N</w:t>
      </w:r>
      <w:r w:rsidR="00BE6B8A">
        <w:t>orth</w:t>
      </w:r>
      <w:r w:rsidR="00235E7C">
        <w:t xml:space="preserve"> accounts for less than </w:t>
      </w:r>
      <w:r w:rsidR="00BB3899">
        <w:t xml:space="preserve">2 </w:t>
      </w:r>
      <w:r w:rsidR="00235E7C">
        <w:t xml:space="preserve">percent of employment. These statistics suggest </w:t>
      </w:r>
      <w:r w:rsidR="00B67632">
        <w:t xml:space="preserve">the existence of </w:t>
      </w:r>
      <w:r w:rsidR="00235E7C">
        <w:t>a polarized private sector</w:t>
      </w:r>
      <w:r w:rsidR="00E509E4">
        <w:t>,</w:t>
      </w:r>
      <w:r w:rsidR="00235E7C">
        <w:t xml:space="preserve"> with </w:t>
      </w:r>
      <w:r w:rsidR="00B67632">
        <w:t xml:space="preserve">micro and </w:t>
      </w:r>
      <w:r w:rsidR="00235E7C">
        <w:t xml:space="preserve">small firms </w:t>
      </w:r>
      <w:r w:rsidR="00885A18">
        <w:t xml:space="preserve">scattered among several northern locations </w:t>
      </w:r>
      <w:r w:rsidR="00235E7C">
        <w:t xml:space="preserve">and </w:t>
      </w:r>
      <w:r w:rsidR="00B67632">
        <w:t xml:space="preserve">medium and </w:t>
      </w:r>
      <w:r w:rsidR="00235E7C">
        <w:t>larg</w:t>
      </w:r>
      <w:r w:rsidR="00B67632">
        <w:t>e</w:t>
      </w:r>
      <w:r w:rsidR="00235E7C">
        <w:t xml:space="preserve"> firms </w:t>
      </w:r>
      <w:r w:rsidR="00885A18">
        <w:t xml:space="preserve">located </w:t>
      </w:r>
      <w:r w:rsidR="00235E7C">
        <w:t xml:space="preserve">in the </w:t>
      </w:r>
      <w:r w:rsidR="00E9128B">
        <w:t>S</w:t>
      </w:r>
      <w:r w:rsidR="00235E7C">
        <w:t>outh</w:t>
      </w:r>
      <w:r w:rsidR="00E509E4">
        <w:t>,</w:t>
      </w:r>
      <w:r w:rsidR="00235E7C">
        <w:t xml:space="preserve"> </w:t>
      </w:r>
      <w:r w:rsidR="00885A18">
        <w:t xml:space="preserve">primarily in </w:t>
      </w:r>
      <w:r w:rsidR="00235E7C">
        <w:t>Lagos.</w:t>
      </w:r>
    </w:p>
    <w:p w14:paraId="07BE90E0" w14:textId="5A84937E" w:rsidR="00442B51" w:rsidRPr="00DD3FC5" w:rsidRDefault="001D65E1" w:rsidP="00D727BF">
      <w:pPr>
        <w:pStyle w:val="Heading3"/>
        <w:numPr>
          <w:ilvl w:val="0"/>
          <w:numId w:val="0"/>
        </w:numPr>
        <w:tabs>
          <w:tab w:val="left" w:pos="720"/>
        </w:tabs>
        <w:jc w:val="center"/>
      </w:pPr>
      <w:r>
        <w:t>The informal sector</w:t>
      </w:r>
    </w:p>
    <w:p w14:paraId="34C89321" w14:textId="45650A0F" w:rsidR="00EF278C" w:rsidRDefault="004E78E7" w:rsidP="00D727BF">
      <w:pPr>
        <w:pStyle w:val="ParagraphNumbering"/>
        <w:numPr>
          <w:ilvl w:val="0"/>
          <w:numId w:val="0"/>
        </w:numPr>
        <w:tabs>
          <w:tab w:val="left" w:pos="720"/>
        </w:tabs>
        <w:spacing w:after="240"/>
      </w:pPr>
      <w:r>
        <w:rPr>
          <w:b/>
        </w:rPr>
        <w:tab/>
      </w:r>
      <w:r w:rsidR="00EF278C" w:rsidRPr="00EF278C">
        <w:rPr>
          <w:b/>
        </w:rPr>
        <w:t xml:space="preserve">Nigeria </w:t>
      </w:r>
      <w:r w:rsidR="00885A18">
        <w:rPr>
          <w:b/>
        </w:rPr>
        <w:t xml:space="preserve">has approximately </w:t>
      </w:r>
      <w:r w:rsidR="00507AA5">
        <w:rPr>
          <w:b/>
        </w:rPr>
        <w:t>thirty-seven</w:t>
      </w:r>
      <w:r w:rsidR="00507AA5" w:rsidRPr="00EF278C">
        <w:rPr>
          <w:b/>
        </w:rPr>
        <w:t xml:space="preserve"> </w:t>
      </w:r>
      <w:r w:rsidR="00EF278C" w:rsidRPr="00EF278C">
        <w:rPr>
          <w:b/>
        </w:rPr>
        <w:t>million enterprises</w:t>
      </w:r>
      <w:r w:rsidR="00EF278C">
        <w:t>.</w:t>
      </w:r>
      <w:r w:rsidR="00EF278C">
        <w:rPr>
          <w:rStyle w:val="FootnoteReference"/>
        </w:rPr>
        <w:footnoteReference w:id="19"/>
      </w:r>
      <w:r w:rsidR="00165FCB">
        <w:t xml:space="preserve"> </w:t>
      </w:r>
      <w:r w:rsidR="00885A18" w:rsidRPr="007B54FC">
        <w:t>Of this total,</w:t>
      </w:r>
      <w:r w:rsidR="00885A18">
        <w:rPr>
          <w:b/>
        </w:rPr>
        <w:t xml:space="preserve"> </w:t>
      </w:r>
      <w:r w:rsidR="00885A18">
        <w:t xml:space="preserve">approximately </w:t>
      </w:r>
      <w:r w:rsidR="00885A18" w:rsidRPr="009E3484">
        <w:t>40 percent are farm</w:t>
      </w:r>
      <w:r w:rsidR="00885A18">
        <w:t xml:space="preserve"> enterprises</w:t>
      </w:r>
      <w:r w:rsidR="00885A18" w:rsidRPr="009E3484">
        <w:t xml:space="preserve">, </w:t>
      </w:r>
      <w:r w:rsidR="00885A18">
        <w:t>while the</w:t>
      </w:r>
      <w:r w:rsidR="00885A18" w:rsidRPr="009E3484">
        <w:t xml:space="preserve"> rest are </w:t>
      </w:r>
      <w:r w:rsidR="00885A18">
        <w:t xml:space="preserve">mainly </w:t>
      </w:r>
      <w:r w:rsidR="00885A18" w:rsidRPr="009E3484">
        <w:t xml:space="preserve">informal non-farm household enterprises (NFEs). According to the </w:t>
      </w:r>
      <w:r w:rsidR="000249C3">
        <w:t>SMEDAN</w:t>
      </w:r>
      <w:r w:rsidR="00885A18" w:rsidRPr="009E3484">
        <w:t xml:space="preserve"> (2014), there are </w:t>
      </w:r>
      <w:r w:rsidR="00885A18">
        <w:t xml:space="preserve">approximately </w:t>
      </w:r>
      <w:r w:rsidR="00507AA5">
        <w:t>sixty-eight thousand</w:t>
      </w:r>
      <w:r w:rsidR="00885A18" w:rsidRPr="009E3484">
        <w:t xml:space="preserve"> small firms (10</w:t>
      </w:r>
      <w:r w:rsidR="00507AA5">
        <w:rPr>
          <w:rFonts w:ascii="Calibri" w:hAnsi="Calibri"/>
        </w:rPr>
        <w:t>‒</w:t>
      </w:r>
      <w:r w:rsidR="00885A18" w:rsidRPr="009E3484">
        <w:t xml:space="preserve">49 employees) and </w:t>
      </w:r>
      <w:r w:rsidR="00507AA5">
        <w:t>forty-seven hundred</w:t>
      </w:r>
      <w:r w:rsidR="00885A18" w:rsidRPr="009E3484">
        <w:t xml:space="preserve"> medium firms (50</w:t>
      </w:r>
      <w:r w:rsidR="00507AA5">
        <w:rPr>
          <w:rFonts w:ascii="Calibri" w:hAnsi="Calibri"/>
        </w:rPr>
        <w:t>‒</w:t>
      </w:r>
      <w:r w:rsidR="00885A18" w:rsidRPr="009E3484">
        <w:t>200 employees).</w:t>
      </w:r>
      <w:r w:rsidR="00F428F9">
        <w:t xml:space="preserve"> </w:t>
      </w:r>
    </w:p>
    <w:p w14:paraId="54B3D780" w14:textId="503FAE8D" w:rsidR="00885A18" w:rsidRDefault="004E78E7" w:rsidP="00D727BF">
      <w:pPr>
        <w:pStyle w:val="ParagraphNumbering"/>
        <w:numPr>
          <w:ilvl w:val="0"/>
          <w:numId w:val="0"/>
        </w:numPr>
        <w:tabs>
          <w:tab w:val="left" w:pos="720"/>
        </w:tabs>
        <w:spacing w:after="240"/>
      </w:pPr>
      <w:bookmarkStart w:id="102" w:name="_Ref429861946"/>
      <w:bookmarkStart w:id="103" w:name="_Ref429835419"/>
      <w:r>
        <w:rPr>
          <w:b/>
        </w:rPr>
        <w:tab/>
      </w:r>
      <w:r w:rsidR="00161A43">
        <w:rPr>
          <w:b/>
        </w:rPr>
        <w:t xml:space="preserve">Most households </w:t>
      </w:r>
      <w:r w:rsidR="00885A18">
        <w:rPr>
          <w:b/>
        </w:rPr>
        <w:t xml:space="preserve">operate as </w:t>
      </w:r>
      <w:r w:rsidR="00161A43">
        <w:rPr>
          <w:b/>
        </w:rPr>
        <w:t>non-farm enterpris</w:t>
      </w:r>
      <w:r w:rsidR="00161A43" w:rsidRPr="001F543C">
        <w:rPr>
          <w:b/>
        </w:rPr>
        <w:t>e</w:t>
      </w:r>
      <w:r w:rsidR="00885A18">
        <w:rPr>
          <w:b/>
        </w:rPr>
        <w:t>s</w:t>
      </w:r>
      <w:r w:rsidR="00161A43" w:rsidRPr="001F543C">
        <w:rPr>
          <w:b/>
        </w:rPr>
        <w:t xml:space="preserve"> </w:t>
      </w:r>
      <w:r w:rsidR="00161A43" w:rsidRPr="000F6A00">
        <w:rPr>
          <w:b/>
        </w:rPr>
        <w:t>(NFE</w:t>
      </w:r>
      <w:r w:rsidR="00885A18">
        <w:rPr>
          <w:b/>
        </w:rPr>
        <w:t>s</w:t>
      </w:r>
      <w:r w:rsidR="00161A43" w:rsidRPr="000F6A00">
        <w:rPr>
          <w:b/>
        </w:rPr>
        <w:t>).</w:t>
      </w:r>
      <w:r w:rsidR="00161A43">
        <w:t xml:space="preserve"> </w:t>
      </w:r>
      <w:r w:rsidR="00885A18" w:rsidRPr="009E3484">
        <w:t xml:space="preserve">This rate is particularly high in the </w:t>
      </w:r>
      <w:r w:rsidR="006F6842">
        <w:t>South West</w:t>
      </w:r>
      <w:r w:rsidR="00885A18" w:rsidRPr="009E3484">
        <w:t xml:space="preserve"> (74 percent) and </w:t>
      </w:r>
      <w:r w:rsidR="006F6842">
        <w:t>North West</w:t>
      </w:r>
      <w:r w:rsidR="00885A18" w:rsidRPr="009E3484">
        <w:t xml:space="preserve"> (67 percent) zones</w:t>
      </w:r>
      <w:r w:rsidR="00885A18">
        <w:t xml:space="preserve">, and with relatively high </w:t>
      </w:r>
      <w:r w:rsidR="00885A18">
        <w:lastRenderedPageBreak/>
        <w:t>population densities</w:t>
      </w:r>
      <w:r w:rsidR="00885A18" w:rsidRPr="009E3484">
        <w:t xml:space="preserve">, </w:t>
      </w:r>
      <w:r w:rsidR="00885A18">
        <w:t xml:space="preserve">these two zones </w:t>
      </w:r>
      <w:r w:rsidR="00885A18" w:rsidRPr="009E3484">
        <w:t xml:space="preserve">account for more than half the NFEs in the country. Almost all </w:t>
      </w:r>
      <w:r w:rsidR="00885A18">
        <w:t xml:space="preserve">NFEs </w:t>
      </w:r>
      <w:r w:rsidR="00885A18" w:rsidRPr="009E3484">
        <w:t>operate with</w:t>
      </w:r>
      <w:r w:rsidR="00885A18">
        <w:t>out a registration</w:t>
      </w:r>
      <w:r w:rsidR="00E9128B">
        <w:t>,</w:t>
      </w:r>
      <w:r w:rsidR="00885A18">
        <w:t xml:space="preserve"> and about 50 percent</w:t>
      </w:r>
      <w:r w:rsidR="00885A18" w:rsidRPr="009E3484">
        <w:t xml:space="preserve"> are operated from inside the household. In 2012</w:t>
      </w:r>
      <w:r w:rsidR="00E9128B">
        <w:rPr>
          <w:rFonts w:ascii="Calibri" w:hAnsi="Calibri"/>
        </w:rPr>
        <w:t>‒</w:t>
      </w:r>
      <w:r w:rsidR="00885A18" w:rsidRPr="009E3484">
        <w:t>13, the average size of an NFE was 1.5 employees (including the owner)</w:t>
      </w:r>
      <w:r w:rsidR="00885A18">
        <w:t>.</w:t>
      </w:r>
    </w:p>
    <w:p w14:paraId="47E1497C" w14:textId="77777777" w:rsidR="001D6113" w:rsidRDefault="001D6113" w:rsidP="00D727BF">
      <w:pPr>
        <w:pStyle w:val="ParagraphNumbering"/>
        <w:numPr>
          <w:ilvl w:val="0"/>
          <w:numId w:val="0"/>
        </w:numPr>
        <w:tabs>
          <w:tab w:val="left" w:pos="720"/>
        </w:tabs>
        <w:spacing w:after="240"/>
      </w:pPr>
    </w:p>
    <w:p w14:paraId="4588DA8D" w14:textId="36182D8A" w:rsidR="008B04F5" w:rsidRDefault="008B04F5" w:rsidP="00D727BF">
      <w:pPr>
        <w:pStyle w:val="Caption"/>
        <w:tabs>
          <w:tab w:val="left" w:pos="720"/>
        </w:tabs>
        <w:ind w:left="20" w:hanging="20"/>
        <w:jc w:val="center"/>
      </w:pPr>
      <w:bookmarkStart w:id="104" w:name="_Ref431576909"/>
      <w:bookmarkStart w:id="105" w:name="_Ref445130233"/>
      <w:bookmarkStart w:id="106" w:name="_Toc445449524"/>
      <w:r>
        <w:t xml:space="preserve">Table </w:t>
      </w:r>
      <w:fldSimple w:instr=" SEQ Table \* ARABIC ">
        <w:r w:rsidR="008A3BBD">
          <w:rPr>
            <w:noProof/>
          </w:rPr>
          <w:t>3</w:t>
        </w:r>
      </w:fldSimple>
      <w:bookmarkEnd w:id="102"/>
      <w:bookmarkEnd w:id="104"/>
      <w:r>
        <w:t xml:space="preserve">: Key </w:t>
      </w:r>
      <w:r w:rsidR="00C43761">
        <w:t xml:space="preserve">Statistics </w:t>
      </w:r>
      <w:r>
        <w:t>on Non</w:t>
      </w:r>
      <w:r w:rsidR="00C43761">
        <w:t>-F</w:t>
      </w:r>
      <w:r>
        <w:t xml:space="preserve">arm </w:t>
      </w:r>
      <w:r w:rsidR="00C43761">
        <w:t xml:space="preserve">Enterprises </w:t>
      </w:r>
      <w:r>
        <w:t>in Nigeria, 2012</w:t>
      </w:r>
      <w:r w:rsidR="00E9128B">
        <w:rPr>
          <w:rFonts w:ascii="Calibri" w:hAnsi="Calibri"/>
        </w:rPr>
        <w:t>‒</w:t>
      </w:r>
      <w:r>
        <w:t>13</w:t>
      </w:r>
      <w:bookmarkEnd w:id="105"/>
      <w:bookmarkEnd w:id="106"/>
      <w:r w:rsidR="00215B4B">
        <w:t xml:space="preserve"> </w:t>
      </w:r>
    </w:p>
    <w:p w14:paraId="02DDD467" w14:textId="77777777" w:rsidR="00144E12" w:rsidRPr="00144E12" w:rsidRDefault="00144E12" w:rsidP="00D727BF">
      <w:pPr>
        <w:tabs>
          <w:tab w:val="left" w:pos="720"/>
        </w:tabs>
        <w:spacing w:after="0"/>
      </w:pPr>
    </w:p>
    <w:tbl>
      <w:tblPr>
        <w:tblStyle w:val="MediumShading1"/>
        <w:tblW w:w="0" w:type="auto"/>
        <w:jc w:val="center"/>
        <w:tblLook w:val="04A0" w:firstRow="1" w:lastRow="0" w:firstColumn="1" w:lastColumn="0" w:noHBand="0" w:noVBand="1"/>
      </w:tblPr>
      <w:tblGrid>
        <w:gridCol w:w="2004"/>
        <w:gridCol w:w="1010"/>
        <w:gridCol w:w="981"/>
        <w:gridCol w:w="930"/>
        <w:gridCol w:w="930"/>
        <w:gridCol w:w="930"/>
        <w:gridCol w:w="954"/>
        <w:gridCol w:w="931"/>
      </w:tblGrid>
      <w:tr w:rsidR="001D4F0D" w:rsidRPr="001845F3" w14:paraId="7DE2D68F" w14:textId="77777777" w:rsidTr="00161A43">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2004" w:type="dxa"/>
            <w:tcBorders>
              <w:right w:val="single" w:sz="12" w:space="0" w:color="920016" w:themeColor="accent4"/>
            </w:tcBorders>
            <w:vAlign w:val="center"/>
          </w:tcPr>
          <w:p w14:paraId="2E353F32" w14:textId="77777777" w:rsidR="001D4F0D" w:rsidRPr="001845F3" w:rsidRDefault="001D4F0D" w:rsidP="00D727BF">
            <w:pPr>
              <w:pStyle w:val="ParagraphNumbering"/>
              <w:numPr>
                <w:ilvl w:val="0"/>
                <w:numId w:val="0"/>
              </w:numPr>
              <w:tabs>
                <w:tab w:val="left" w:pos="720"/>
              </w:tabs>
              <w:jc w:val="center"/>
              <w:rPr>
                <w:sz w:val="20"/>
                <w:szCs w:val="20"/>
              </w:rPr>
            </w:pPr>
          </w:p>
        </w:tc>
        <w:tc>
          <w:tcPr>
            <w:tcW w:w="1010" w:type="dxa"/>
            <w:tcBorders>
              <w:top w:val="single" w:sz="12" w:space="0" w:color="920016" w:themeColor="accent4"/>
              <w:left w:val="single" w:sz="12" w:space="0" w:color="920016" w:themeColor="accent4"/>
              <w:right w:val="single" w:sz="12" w:space="0" w:color="920016" w:themeColor="accent4"/>
            </w:tcBorders>
            <w:vAlign w:val="center"/>
          </w:tcPr>
          <w:p w14:paraId="4BC63130" w14:textId="77777777" w:rsidR="001D4F0D" w:rsidRPr="001845F3" w:rsidRDefault="001D4F0D" w:rsidP="00D727BF">
            <w:pPr>
              <w:pStyle w:val="ParagraphNumbering"/>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845F3">
              <w:rPr>
                <w:sz w:val="20"/>
                <w:szCs w:val="20"/>
              </w:rPr>
              <w:t>National</w:t>
            </w:r>
          </w:p>
        </w:tc>
        <w:tc>
          <w:tcPr>
            <w:tcW w:w="981" w:type="dxa"/>
            <w:tcBorders>
              <w:left w:val="single" w:sz="12" w:space="0" w:color="920016" w:themeColor="accent4"/>
            </w:tcBorders>
            <w:vAlign w:val="center"/>
          </w:tcPr>
          <w:p w14:paraId="0D59D7FB" w14:textId="663D79D6" w:rsidR="001D4F0D" w:rsidRPr="001845F3" w:rsidRDefault="001D4F0D" w:rsidP="00D727BF">
            <w:pPr>
              <w:pStyle w:val="ParagraphNumbering"/>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845F3">
              <w:rPr>
                <w:sz w:val="20"/>
                <w:szCs w:val="20"/>
              </w:rPr>
              <w:t>North Central</w:t>
            </w:r>
          </w:p>
        </w:tc>
        <w:tc>
          <w:tcPr>
            <w:tcW w:w="930" w:type="dxa"/>
            <w:vAlign w:val="center"/>
          </w:tcPr>
          <w:p w14:paraId="4ABF6DFB" w14:textId="4BC93FD3" w:rsidR="001D4F0D" w:rsidRPr="001845F3" w:rsidRDefault="001D4F0D" w:rsidP="00D727BF">
            <w:pPr>
              <w:pStyle w:val="ParagraphNumbering"/>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845F3">
              <w:rPr>
                <w:sz w:val="20"/>
                <w:szCs w:val="20"/>
              </w:rPr>
              <w:t>North East</w:t>
            </w:r>
          </w:p>
        </w:tc>
        <w:tc>
          <w:tcPr>
            <w:tcW w:w="930" w:type="dxa"/>
            <w:vAlign w:val="center"/>
          </w:tcPr>
          <w:p w14:paraId="2CEB200F" w14:textId="02A27233" w:rsidR="001D4F0D" w:rsidRPr="001845F3" w:rsidRDefault="001D4F0D" w:rsidP="00D727BF">
            <w:pPr>
              <w:pStyle w:val="ParagraphNumbering"/>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845F3">
              <w:rPr>
                <w:sz w:val="20"/>
                <w:szCs w:val="20"/>
              </w:rPr>
              <w:t>North West</w:t>
            </w:r>
          </w:p>
        </w:tc>
        <w:tc>
          <w:tcPr>
            <w:tcW w:w="930" w:type="dxa"/>
            <w:vAlign w:val="center"/>
          </w:tcPr>
          <w:p w14:paraId="5339AC2D" w14:textId="2D03BB43" w:rsidR="001D4F0D" w:rsidRPr="001845F3" w:rsidRDefault="001D4F0D" w:rsidP="00D727BF">
            <w:pPr>
              <w:pStyle w:val="ParagraphNumbering"/>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845F3">
              <w:rPr>
                <w:sz w:val="20"/>
                <w:szCs w:val="20"/>
              </w:rPr>
              <w:t>South East</w:t>
            </w:r>
          </w:p>
        </w:tc>
        <w:tc>
          <w:tcPr>
            <w:tcW w:w="954" w:type="dxa"/>
            <w:vAlign w:val="center"/>
          </w:tcPr>
          <w:p w14:paraId="668F142F" w14:textId="340D80EF" w:rsidR="001D4F0D" w:rsidRPr="001845F3" w:rsidRDefault="001D4F0D" w:rsidP="00D727BF">
            <w:pPr>
              <w:pStyle w:val="ParagraphNumbering"/>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845F3">
              <w:rPr>
                <w:sz w:val="20"/>
                <w:szCs w:val="20"/>
              </w:rPr>
              <w:t>South</w:t>
            </w:r>
            <w:r w:rsidR="00E9128B">
              <w:rPr>
                <w:sz w:val="20"/>
                <w:szCs w:val="20"/>
              </w:rPr>
              <w:t xml:space="preserve"> </w:t>
            </w:r>
            <w:r w:rsidRPr="001845F3">
              <w:rPr>
                <w:sz w:val="20"/>
                <w:szCs w:val="20"/>
              </w:rPr>
              <w:t>South</w:t>
            </w:r>
          </w:p>
        </w:tc>
        <w:tc>
          <w:tcPr>
            <w:tcW w:w="931" w:type="dxa"/>
            <w:vAlign w:val="center"/>
          </w:tcPr>
          <w:p w14:paraId="1A06471D" w14:textId="09E776B4" w:rsidR="001D4F0D" w:rsidRPr="001845F3" w:rsidRDefault="001D4F0D" w:rsidP="00D727BF">
            <w:pPr>
              <w:pStyle w:val="ParagraphNumbering"/>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845F3">
              <w:rPr>
                <w:sz w:val="20"/>
                <w:szCs w:val="20"/>
              </w:rPr>
              <w:t>South West</w:t>
            </w:r>
          </w:p>
        </w:tc>
      </w:tr>
      <w:tr w:rsidR="001D4F0D" w:rsidRPr="001845F3" w14:paraId="2FDE7171" w14:textId="77777777" w:rsidTr="00161A43">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2004" w:type="dxa"/>
            <w:tcBorders>
              <w:right w:val="single" w:sz="12" w:space="0" w:color="920016" w:themeColor="accent4"/>
            </w:tcBorders>
            <w:vAlign w:val="center"/>
          </w:tcPr>
          <w:p w14:paraId="024E208B" w14:textId="651A4697" w:rsidR="001D4F0D" w:rsidRPr="001845F3" w:rsidRDefault="000C44E5" w:rsidP="00D727BF">
            <w:pPr>
              <w:pStyle w:val="ParagraphNumbering"/>
              <w:numPr>
                <w:ilvl w:val="0"/>
                <w:numId w:val="0"/>
              </w:numPr>
              <w:tabs>
                <w:tab w:val="left" w:pos="720"/>
              </w:tabs>
              <w:spacing w:after="0"/>
              <w:jc w:val="center"/>
              <w:rPr>
                <w:sz w:val="20"/>
                <w:szCs w:val="20"/>
              </w:rPr>
            </w:pPr>
            <w:r w:rsidRPr="001845F3">
              <w:rPr>
                <w:sz w:val="20"/>
                <w:szCs w:val="20"/>
              </w:rPr>
              <w:t>H</w:t>
            </w:r>
            <w:r w:rsidR="001D4F0D" w:rsidRPr="001845F3">
              <w:rPr>
                <w:sz w:val="20"/>
                <w:szCs w:val="20"/>
              </w:rPr>
              <w:t>ouseholds owning a currently operating NFE</w:t>
            </w:r>
          </w:p>
        </w:tc>
        <w:tc>
          <w:tcPr>
            <w:tcW w:w="1010" w:type="dxa"/>
            <w:tcBorders>
              <w:left w:val="single" w:sz="12" w:space="0" w:color="920016" w:themeColor="accent4"/>
              <w:right w:val="single" w:sz="12" w:space="0" w:color="920016" w:themeColor="accent4"/>
            </w:tcBorders>
            <w:vAlign w:val="center"/>
          </w:tcPr>
          <w:p w14:paraId="0A4319E4" w14:textId="5897EA90" w:rsidR="001D4F0D" w:rsidRPr="001845F3" w:rsidRDefault="001D4F0D"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63</w:t>
            </w:r>
            <w:r w:rsidR="00A02DAA">
              <w:rPr>
                <w:rFonts w:cs="Times New Roman"/>
                <w:color w:val="000000"/>
                <w:sz w:val="20"/>
                <w:szCs w:val="20"/>
              </w:rPr>
              <w:t>%</w:t>
            </w:r>
          </w:p>
        </w:tc>
        <w:tc>
          <w:tcPr>
            <w:tcW w:w="981" w:type="dxa"/>
            <w:tcBorders>
              <w:left w:val="single" w:sz="12" w:space="0" w:color="920016" w:themeColor="accent4"/>
            </w:tcBorders>
            <w:vAlign w:val="center"/>
          </w:tcPr>
          <w:p w14:paraId="4B44E572" w14:textId="570E7193" w:rsidR="001D4F0D" w:rsidRPr="001845F3" w:rsidRDefault="001D4F0D"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57</w:t>
            </w:r>
            <w:r w:rsidR="00A02DAA">
              <w:rPr>
                <w:rFonts w:cs="Times New Roman"/>
                <w:color w:val="000000"/>
                <w:sz w:val="20"/>
                <w:szCs w:val="20"/>
              </w:rPr>
              <w:t>%</w:t>
            </w:r>
          </w:p>
        </w:tc>
        <w:tc>
          <w:tcPr>
            <w:tcW w:w="930" w:type="dxa"/>
            <w:vAlign w:val="center"/>
          </w:tcPr>
          <w:p w14:paraId="2D2317EE" w14:textId="6027F762" w:rsidR="001D4F0D" w:rsidRPr="001845F3" w:rsidRDefault="001D4F0D"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60</w:t>
            </w:r>
            <w:r w:rsidR="00A02DAA">
              <w:rPr>
                <w:rFonts w:cs="Times New Roman"/>
                <w:color w:val="000000"/>
                <w:sz w:val="20"/>
                <w:szCs w:val="20"/>
              </w:rPr>
              <w:t>%</w:t>
            </w:r>
          </w:p>
        </w:tc>
        <w:tc>
          <w:tcPr>
            <w:tcW w:w="930" w:type="dxa"/>
            <w:vAlign w:val="center"/>
          </w:tcPr>
          <w:p w14:paraId="3659C1A1" w14:textId="784A426A" w:rsidR="001D4F0D" w:rsidRPr="001845F3" w:rsidRDefault="001D4F0D"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67</w:t>
            </w:r>
            <w:r w:rsidR="00A02DAA">
              <w:rPr>
                <w:rFonts w:cs="Times New Roman"/>
                <w:color w:val="000000"/>
                <w:sz w:val="20"/>
                <w:szCs w:val="20"/>
              </w:rPr>
              <w:t>%</w:t>
            </w:r>
          </w:p>
        </w:tc>
        <w:tc>
          <w:tcPr>
            <w:tcW w:w="930" w:type="dxa"/>
            <w:vAlign w:val="center"/>
          </w:tcPr>
          <w:p w14:paraId="2C6611DC" w14:textId="53E2D837" w:rsidR="001D4F0D" w:rsidRPr="001845F3" w:rsidRDefault="001D4F0D"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49</w:t>
            </w:r>
            <w:r w:rsidR="00A02DAA">
              <w:rPr>
                <w:rFonts w:cs="Times New Roman"/>
                <w:color w:val="000000"/>
                <w:sz w:val="20"/>
                <w:szCs w:val="20"/>
              </w:rPr>
              <w:t>%</w:t>
            </w:r>
          </w:p>
        </w:tc>
        <w:tc>
          <w:tcPr>
            <w:tcW w:w="954" w:type="dxa"/>
            <w:vAlign w:val="center"/>
          </w:tcPr>
          <w:p w14:paraId="62C7ECA0" w14:textId="408D8BA0" w:rsidR="001D4F0D" w:rsidRPr="001845F3" w:rsidRDefault="001D4F0D"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63</w:t>
            </w:r>
            <w:r w:rsidR="00A02DAA">
              <w:rPr>
                <w:rFonts w:cs="Times New Roman"/>
                <w:color w:val="000000"/>
                <w:sz w:val="20"/>
                <w:szCs w:val="20"/>
              </w:rPr>
              <w:t>%</w:t>
            </w:r>
          </w:p>
        </w:tc>
        <w:tc>
          <w:tcPr>
            <w:tcW w:w="931" w:type="dxa"/>
            <w:vAlign w:val="center"/>
          </w:tcPr>
          <w:p w14:paraId="2ACDAFCF" w14:textId="11324435" w:rsidR="001D4F0D" w:rsidRPr="001845F3" w:rsidRDefault="001D4F0D"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74</w:t>
            </w:r>
            <w:r w:rsidR="00A02DAA">
              <w:rPr>
                <w:rFonts w:cs="Times New Roman"/>
                <w:color w:val="000000"/>
                <w:sz w:val="20"/>
                <w:szCs w:val="20"/>
              </w:rPr>
              <w:t>%</w:t>
            </w:r>
          </w:p>
        </w:tc>
      </w:tr>
      <w:tr w:rsidR="00851592" w:rsidRPr="001845F3" w14:paraId="2A818FC2" w14:textId="77777777" w:rsidTr="00C1250B">
        <w:trPr>
          <w:cnfStyle w:val="000000010000" w:firstRow="0" w:lastRow="0" w:firstColumn="0" w:lastColumn="0" w:oddVBand="0" w:evenVBand="0" w:oddHBand="0" w:evenHBand="1"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2004" w:type="dxa"/>
            <w:tcBorders>
              <w:right w:val="single" w:sz="12" w:space="0" w:color="920016" w:themeColor="accent4"/>
            </w:tcBorders>
            <w:vAlign w:val="center"/>
          </w:tcPr>
          <w:p w14:paraId="03B2BC58" w14:textId="3C13040B" w:rsidR="00851592" w:rsidRPr="001845F3" w:rsidRDefault="00851592" w:rsidP="00D727BF">
            <w:pPr>
              <w:pStyle w:val="ParagraphNumbering"/>
              <w:numPr>
                <w:ilvl w:val="0"/>
                <w:numId w:val="0"/>
              </w:numPr>
              <w:tabs>
                <w:tab w:val="left" w:pos="720"/>
              </w:tabs>
              <w:spacing w:after="0"/>
              <w:jc w:val="center"/>
              <w:rPr>
                <w:sz w:val="20"/>
                <w:szCs w:val="20"/>
              </w:rPr>
            </w:pPr>
            <w:r w:rsidRPr="001845F3">
              <w:rPr>
                <w:sz w:val="20"/>
                <w:szCs w:val="20"/>
              </w:rPr>
              <w:t xml:space="preserve">Distribution of NFEs by </w:t>
            </w:r>
            <w:r w:rsidR="003C57FB" w:rsidRPr="001845F3">
              <w:rPr>
                <w:sz w:val="20"/>
                <w:szCs w:val="20"/>
              </w:rPr>
              <w:t>zone</w:t>
            </w:r>
          </w:p>
        </w:tc>
        <w:tc>
          <w:tcPr>
            <w:tcW w:w="1010" w:type="dxa"/>
            <w:tcBorders>
              <w:left w:val="single" w:sz="12" w:space="0" w:color="920016" w:themeColor="accent4"/>
              <w:right w:val="single" w:sz="12" w:space="0" w:color="920016" w:themeColor="accent4"/>
            </w:tcBorders>
            <w:vAlign w:val="center"/>
          </w:tcPr>
          <w:p w14:paraId="7AF02999" w14:textId="506F58E1" w:rsidR="00851592" w:rsidRPr="001845F3" w:rsidRDefault="00851592"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100</w:t>
            </w:r>
            <w:r w:rsidR="00A02DAA">
              <w:rPr>
                <w:rFonts w:cs="Times New Roman"/>
                <w:color w:val="000000"/>
                <w:sz w:val="20"/>
                <w:szCs w:val="20"/>
              </w:rPr>
              <w:t>%</w:t>
            </w:r>
          </w:p>
        </w:tc>
        <w:tc>
          <w:tcPr>
            <w:tcW w:w="981" w:type="dxa"/>
            <w:tcBorders>
              <w:left w:val="single" w:sz="12" w:space="0" w:color="920016" w:themeColor="accent4"/>
            </w:tcBorders>
            <w:vAlign w:val="center"/>
          </w:tcPr>
          <w:p w14:paraId="6A78C42C" w14:textId="5AB18F58" w:rsidR="00851592" w:rsidRPr="001845F3" w:rsidRDefault="00851592"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12</w:t>
            </w:r>
            <w:r w:rsidR="00A02DAA">
              <w:rPr>
                <w:rFonts w:cs="Times New Roman"/>
                <w:color w:val="000000"/>
                <w:sz w:val="20"/>
                <w:szCs w:val="20"/>
              </w:rPr>
              <w:t>%</w:t>
            </w:r>
          </w:p>
        </w:tc>
        <w:tc>
          <w:tcPr>
            <w:tcW w:w="930" w:type="dxa"/>
            <w:vAlign w:val="center"/>
          </w:tcPr>
          <w:p w14:paraId="360AB3E9" w14:textId="68D51A7A" w:rsidR="00851592" w:rsidRPr="001845F3" w:rsidRDefault="00851592"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12</w:t>
            </w:r>
            <w:r w:rsidR="00A02DAA">
              <w:rPr>
                <w:rFonts w:cs="Times New Roman"/>
                <w:color w:val="000000"/>
                <w:sz w:val="20"/>
                <w:szCs w:val="20"/>
              </w:rPr>
              <w:t>%</w:t>
            </w:r>
          </w:p>
        </w:tc>
        <w:tc>
          <w:tcPr>
            <w:tcW w:w="930" w:type="dxa"/>
            <w:vAlign w:val="center"/>
          </w:tcPr>
          <w:p w14:paraId="53A4C903" w14:textId="5265AFA8" w:rsidR="00851592" w:rsidRPr="001845F3" w:rsidRDefault="00851592"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22</w:t>
            </w:r>
            <w:r w:rsidR="00A02DAA">
              <w:rPr>
                <w:rFonts w:cs="Times New Roman"/>
                <w:color w:val="000000"/>
                <w:sz w:val="20"/>
                <w:szCs w:val="20"/>
              </w:rPr>
              <w:t>%</w:t>
            </w:r>
          </w:p>
        </w:tc>
        <w:tc>
          <w:tcPr>
            <w:tcW w:w="930" w:type="dxa"/>
            <w:vAlign w:val="center"/>
          </w:tcPr>
          <w:p w14:paraId="73C049FC" w14:textId="2210AB1B" w:rsidR="00851592" w:rsidRPr="001845F3" w:rsidRDefault="00851592"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11</w:t>
            </w:r>
            <w:r w:rsidR="00A02DAA">
              <w:rPr>
                <w:rFonts w:cs="Times New Roman"/>
                <w:color w:val="000000"/>
                <w:sz w:val="20"/>
                <w:szCs w:val="20"/>
              </w:rPr>
              <w:t>%</w:t>
            </w:r>
          </w:p>
        </w:tc>
        <w:tc>
          <w:tcPr>
            <w:tcW w:w="954" w:type="dxa"/>
            <w:vAlign w:val="center"/>
          </w:tcPr>
          <w:p w14:paraId="32E336D8" w14:textId="7480F3F0" w:rsidR="00851592" w:rsidRPr="001845F3" w:rsidRDefault="00851592"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14</w:t>
            </w:r>
            <w:r w:rsidR="00A02DAA">
              <w:rPr>
                <w:rFonts w:cs="Times New Roman"/>
                <w:color w:val="000000"/>
                <w:sz w:val="20"/>
                <w:szCs w:val="20"/>
              </w:rPr>
              <w:t>%</w:t>
            </w:r>
          </w:p>
        </w:tc>
        <w:tc>
          <w:tcPr>
            <w:tcW w:w="931" w:type="dxa"/>
            <w:vAlign w:val="center"/>
          </w:tcPr>
          <w:p w14:paraId="51BBBE54" w14:textId="121B22D2" w:rsidR="00851592" w:rsidRPr="001845F3" w:rsidRDefault="00851592"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29</w:t>
            </w:r>
            <w:r w:rsidR="00A02DAA">
              <w:rPr>
                <w:rFonts w:cs="Times New Roman"/>
                <w:color w:val="000000"/>
                <w:sz w:val="20"/>
                <w:szCs w:val="20"/>
              </w:rPr>
              <w:t>%</w:t>
            </w:r>
          </w:p>
        </w:tc>
      </w:tr>
      <w:tr w:rsidR="001D4F0D" w:rsidRPr="001845F3" w14:paraId="7415A965" w14:textId="77777777" w:rsidTr="00C1250B">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2004" w:type="dxa"/>
            <w:tcBorders>
              <w:right w:val="single" w:sz="12" w:space="0" w:color="920016" w:themeColor="accent4"/>
            </w:tcBorders>
            <w:vAlign w:val="center"/>
          </w:tcPr>
          <w:p w14:paraId="4774C6E4" w14:textId="408EF722" w:rsidR="001D4F0D" w:rsidRPr="001845F3" w:rsidRDefault="00851592" w:rsidP="00D727BF">
            <w:pPr>
              <w:pStyle w:val="ParagraphNumbering"/>
              <w:numPr>
                <w:ilvl w:val="0"/>
                <w:numId w:val="0"/>
              </w:numPr>
              <w:tabs>
                <w:tab w:val="left" w:pos="720"/>
              </w:tabs>
              <w:spacing w:after="0"/>
              <w:jc w:val="center"/>
              <w:rPr>
                <w:sz w:val="20"/>
                <w:szCs w:val="20"/>
              </w:rPr>
            </w:pPr>
            <w:r w:rsidRPr="001845F3">
              <w:rPr>
                <w:sz w:val="20"/>
                <w:szCs w:val="20"/>
              </w:rPr>
              <w:t>NFE</w:t>
            </w:r>
            <w:r w:rsidR="000C44E5" w:rsidRPr="001845F3">
              <w:rPr>
                <w:sz w:val="20"/>
                <w:szCs w:val="20"/>
              </w:rPr>
              <w:t>s</w:t>
            </w:r>
            <w:r w:rsidRPr="001845F3">
              <w:rPr>
                <w:sz w:val="20"/>
                <w:szCs w:val="20"/>
              </w:rPr>
              <w:t xml:space="preserve"> registered</w:t>
            </w:r>
          </w:p>
        </w:tc>
        <w:tc>
          <w:tcPr>
            <w:tcW w:w="1010" w:type="dxa"/>
            <w:tcBorders>
              <w:left w:val="single" w:sz="12" w:space="0" w:color="920016" w:themeColor="accent4"/>
              <w:right w:val="single" w:sz="12" w:space="0" w:color="920016" w:themeColor="accent4"/>
            </w:tcBorders>
            <w:vAlign w:val="center"/>
          </w:tcPr>
          <w:p w14:paraId="65FEE242" w14:textId="361383AB"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5</w:t>
            </w:r>
            <w:r w:rsidR="00A02DAA">
              <w:rPr>
                <w:rFonts w:cs="Times New Roman"/>
                <w:color w:val="000000"/>
                <w:sz w:val="20"/>
                <w:szCs w:val="20"/>
              </w:rPr>
              <w:t>%</w:t>
            </w:r>
          </w:p>
        </w:tc>
        <w:tc>
          <w:tcPr>
            <w:tcW w:w="981" w:type="dxa"/>
            <w:tcBorders>
              <w:left w:val="single" w:sz="12" w:space="0" w:color="920016" w:themeColor="accent4"/>
            </w:tcBorders>
            <w:vAlign w:val="center"/>
          </w:tcPr>
          <w:p w14:paraId="7E3AD81D" w14:textId="25AF057F"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4</w:t>
            </w:r>
            <w:r w:rsidR="00A02DAA">
              <w:rPr>
                <w:rFonts w:cs="Times New Roman"/>
                <w:color w:val="000000"/>
                <w:sz w:val="20"/>
                <w:szCs w:val="20"/>
              </w:rPr>
              <w:t>%</w:t>
            </w:r>
          </w:p>
        </w:tc>
        <w:tc>
          <w:tcPr>
            <w:tcW w:w="930" w:type="dxa"/>
            <w:vAlign w:val="center"/>
          </w:tcPr>
          <w:p w14:paraId="3281BE15" w14:textId="4672B2D3"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5</w:t>
            </w:r>
            <w:r w:rsidR="00A02DAA">
              <w:rPr>
                <w:rFonts w:cs="Times New Roman"/>
                <w:color w:val="000000"/>
                <w:sz w:val="20"/>
                <w:szCs w:val="20"/>
              </w:rPr>
              <w:t>%</w:t>
            </w:r>
          </w:p>
        </w:tc>
        <w:tc>
          <w:tcPr>
            <w:tcW w:w="930" w:type="dxa"/>
            <w:vAlign w:val="center"/>
          </w:tcPr>
          <w:p w14:paraId="3665F4AF" w14:textId="394332C0"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4</w:t>
            </w:r>
            <w:r w:rsidR="00A02DAA">
              <w:rPr>
                <w:rFonts w:cs="Times New Roman"/>
                <w:color w:val="000000"/>
                <w:sz w:val="20"/>
                <w:szCs w:val="20"/>
              </w:rPr>
              <w:t>%</w:t>
            </w:r>
          </w:p>
        </w:tc>
        <w:tc>
          <w:tcPr>
            <w:tcW w:w="930" w:type="dxa"/>
            <w:vAlign w:val="center"/>
          </w:tcPr>
          <w:p w14:paraId="0068BB3D" w14:textId="61FED161" w:rsidR="001D4F0D" w:rsidRPr="001845F3" w:rsidRDefault="00851592"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5</w:t>
            </w:r>
            <w:r w:rsidR="00A02DAA">
              <w:rPr>
                <w:rFonts w:cs="Times New Roman"/>
                <w:color w:val="000000"/>
                <w:sz w:val="20"/>
                <w:szCs w:val="20"/>
              </w:rPr>
              <w:t>%</w:t>
            </w:r>
          </w:p>
        </w:tc>
        <w:tc>
          <w:tcPr>
            <w:tcW w:w="954" w:type="dxa"/>
            <w:vAlign w:val="center"/>
          </w:tcPr>
          <w:p w14:paraId="4CE3C895" w14:textId="07B36A15"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6</w:t>
            </w:r>
            <w:r w:rsidR="00A02DAA">
              <w:rPr>
                <w:rFonts w:cs="Times New Roman"/>
                <w:color w:val="000000"/>
                <w:sz w:val="20"/>
                <w:szCs w:val="20"/>
              </w:rPr>
              <w:t>%</w:t>
            </w:r>
          </w:p>
        </w:tc>
        <w:tc>
          <w:tcPr>
            <w:tcW w:w="931" w:type="dxa"/>
            <w:vAlign w:val="center"/>
          </w:tcPr>
          <w:p w14:paraId="5992E986" w14:textId="08F95411"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5</w:t>
            </w:r>
            <w:r w:rsidR="00A02DAA">
              <w:rPr>
                <w:rFonts w:cs="Times New Roman"/>
                <w:color w:val="000000"/>
                <w:sz w:val="20"/>
                <w:szCs w:val="20"/>
              </w:rPr>
              <w:t>%</w:t>
            </w:r>
          </w:p>
        </w:tc>
      </w:tr>
      <w:tr w:rsidR="001D4F0D" w:rsidRPr="001845F3" w14:paraId="3B9EA970" w14:textId="77777777" w:rsidTr="00C1250B">
        <w:trPr>
          <w:cnfStyle w:val="000000010000" w:firstRow="0" w:lastRow="0" w:firstColumn="0" w:lastColumn="0" w:oddVBand="0" w:evenVBand="0" w:oddHBand="0" w:evenHBand="1" w:firstRowFirstColumn="0" w:firstRowLastColumn="0" w:lastRowFirstColumn="0" w:lastRowLastColumn="0"/>
          <w:trHeight w:val="925"/>
          <w:jc w:val="center"/>
        </w:trPr>
        <w:tc>
          <w:tcPr>
            <w:cnfStyle w:val="001000000000" w:firstRow="0" w:lastRow="0" w:firstColumn="1" w:lastColumn="0" w:oddVBand="0" w:evenVBand="0" w:oddHBand="0" w:evenHBand="0" w:firstRowFirstColumn="0" w:firstRowLastColumn="0" w:lastRowFirstColumn="0" w:lastRowLastColumn="0"/>
            <w:tcW w:w="2004" w:type="dxa"/>
            <w:tcBorders>
              <w:right w:val="single" w:sz="12" w:space="0" w:color="920016" w:themeColor="accent4"/>
            </w:tcBorders>
            <w:vAlign w:val="center"/>
          </w:tcPr>
          <w:p w14:paraId="7E108139" w14:textId="1EDB3117" w:rsidR="001D4F0D" w:rsidRPr="001845F3" w:rsidRDefault="001D4F0D" w:rsidP="00D727BF">
            <w:pPr>
              <w:pStyle w:val="ParagraphNumbering"/>
              <w:numPr>
                <w:ilvl w:val="0"/>
                <w:numId w:val="0"/>
              </w:numPr>
              <w:tabs>
                <w:tab w:val="left" w:pos="720"/>
              </w:tabs>
              <w:spacing w:after="0"/>
              <w:jc w:val="center"/>
              <w:rPr>
                <w:sz w:val="20"/>
                <w:szCs w:val="20"/>
              </w:rPr>
            </w:pPr>
            <w:r w:rsidRPr="001845F3">
              <w:rPr>
                <w:sz w:val="20"/>
                <w:szCs w:val="20"/>
              </w:rPr>
              <w:t>NFEs operating outside household premise</w:t>
            </w:r>
            <w:r w:rsidR="000C44E5" w:rsidRPr="001845F3">
              <w:rPr>
                <w:sz w:val="20"/>
                <w:szCs w:val="20"/>
              </w:rPr>
              <w:t>s</w:t>
            </w:r>
          </w:p>
        </w:tc>
        <w:tc>
          <w:tcPr>
            <w:tcW w:w="1010" w:type="dxa"/>
            <w:tcBorders>
              <w:left w:val="single" w:sz="12" w:space="0" w:color="920016" w:themeColor="accent4"/>
              <w:right w:val="single" w:sz="12" w:space="0" w:color="920016" w:themeColor="accent4"/>
            </w:tcBorders>
            <w:vAlign w:val="center"/>
          </w:tcPr>
          <w:p w14:paraId="5A3A5986" w14:textId="601AB8A3" w:rsidR="001D4F0D"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53</w:t>
            </w:r>
            <w:r w:rsidR="00A02DAA">
              <w:rPr>
                <w:rFonts w:cs="Times New Roman"/>
                <w:color w:val="000000"/>
                <w:sz w:val="20"/>
                <w:szCs w:val="20"/>
              </w:rPr>
              <w:t>%</w:t>
            </w:r>
          </w:p>
        </w:tc>
        <w:tc>
          <w:tcPr>
            <w:tcW w:w="981" w:type="dxa"/>
            <w:tcBorders>
              <w:left w:val="single" w:sz="12" w:space="0" w:color="920016" w:themeColor="accent4"/>
            </w:tcBorders>
            <w:vAlign w:val="center"/>
          </w:tcPr>
          <w:p w14:paraId="0B89403A" w14:textId="7C2A2259" w:rsidR="001D4F0D"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57</w:t>
            </w:r>
            <w:r w:rsidR="00A02DAA">
              <w:rPr>
                <w:rFonts w:cs="Times New Roman"/>
                <w:color w:val="000000"/>
                <w:sz w:val="20"/>
                <w:szCs w:val="20"/>
              </w:rPr>
              <w:t>%</w:t>
            </w:r>
          </w:p>
        </w:tc>
        <w:tc>
          <w:tcPr>
            <w:tcW w:w="930" w:type="dxa"/>
            <w:vAlign w:val="center"/>
          </w:tcPr>
          <w:p w14:paraId="2B719CAE" w14:textId="7774A810" w:rsidR="001D4F0D"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36</w:t>
            </w:r>
            <w:r w:rsidR="00A02DAA">
              <w:rPr>
                <w:rFonts w:cs="Times New Roman"/>
                <w:color w:val="000000"/>
                <w:sz w:val="20"/>
                <w:szCs w:val="20"/>
              </w:rPr>
              <w:t>%</w:t>
            </w:r>
          </w:p>
        </w:tc>
        <w:tc>
          <w:tcPr>
            <w:tcW w:w="930" w:type="dxa"/>
            <w:vAlign w:val="center"/>
          </w:tcPr>
          <w:p w14:paraId="40948E1C" w14:textId="5160780E" w:rsidR="001D4F0D"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34</w:t>
            </w:r>
            <w:r w:rsidR="00A02DAA">
              <w:rPr>
                <w:rFonts w:cs="Times New Roman"/>
                <w:color w:val="000000"/>
                <w:sz w:val="20"/>
                <w:szCs w:val="20"/>
              </w:rPr>
              <w:t>%</w:t>
            </w:r>
          </w:p>
        </w:tc>
        <w:tc>
          <w:tcPr>
            <w:tcW w:w="930" w:type="dxa"/>
            <w:vAlign w:val="center"/>
          </w:tcPr>
          <w:p w14:paraId="1E1CAC47" w14:textId="7CEA8FDE" w:rsidR="001D4F0D"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81</w:t>
            </w:r>
            <w:r w:rsidR="00A02DAA">
              <w:rPr>
                <w:rFonts w:cs="Times New Roman"/>
                <w:color w:val="000000"/>
                <w:sz w:val="20"/>
                <w:szCs w:val="20"/>
              </w:rPr>
              <w:t>%</w:t>
            </w:r>
          </w:p>
        </w:tc>
        <w:tc>
          <w:tcPr>
            <w:tcW w:w="954" w:type="dxa"/>
            <w:vAlign w:val="center"/>
          </w:tcPr>
          <w:p w14:paraId="4D09ED0B" w14:textId="4D9E2F3C" w:rsidR="001D4F0D"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60</w:t>
            </w:r>
            <w:r w:rsidR="00A02DAA">
              <w:rPr>
                <w:rFonts w:cs="Times New Roman"/>
                <w:color w:val="000000"/>
                <w:sz w:val="20"/>
                <w:szCs w:val="20"/>
              </w:rPr>
              <w:t>%</w:t>
            </w:r>
          </w:p>
        </w:tc>
        <w:tc>
          <w:tcPr>
            <w:tcW w:w="931" w:type="dxa"/>
            <w:vAlign w:val="center"/>
          </w:tcPr>
          <w:p w14:paraId="10D7A341" w14:textId="4886E6BD" w:rsidR="001D4F0D"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61</w:t>
            </w:r>
            <w:r w:rsidR="00A02DAA">
              <w:rPr>
                <w:rFonts w:cs="Times New Roman"/>
                <w:color w:val="000000"/>
                <w:sz w:val="20"/>
                <w:szCs w:val="20"/>
              </w:rPr>
              <w:t>%</w:t>
            </w:r>
          </w:p>
        </w:tc>
      </w:tr>
      <w:tr w:rsidR="001D4F0D" w:rsidRPr="001845F3" w14:paraId="6D157076" w14:textId="77777777" w:rsidTr="00161A43">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2004" w:type="dxa"/>
            <w:tcBorders>
              <w:right w:val="single" w:sz="12" w:space="0" w:color="920016" w:themeColor="accent4"/>
            </w:tcBorders>
            <w:vAlign w:val="center"/>
          </w:tcPr>
          <w:p w14:paraId="50D709B3" w14:textId="72897EA4" w:rsidR="001D4F0D" w:rsidRPr="001845F3" w:rsidRDefault="003C57FB" w:rsidP="00D727BF">
            <w:pPr>
              <w:pStyle w:val="ParagraphNumbering"/>
              <w:numPr>
                <w:ilvl w:val="0"/>
                <w:numId w:val="0"/>
              </w:numPr>
              <w:tabs>
                <w:tab w:val="left" w:pos="720"/>
              </w:tabs>
              <w:spacing w:after="0"/>
              <w:jc w:val="center"/>
              <w:rPr>
                <w:sz w:val="20"/>
                <w:szCs w:val="20"/>
              </w:rPr>
            </w:pPr>
            <w:r w:rsidRPr="001845F3">
              <w:rPr>
                <w:sz w:val="20"/>
                <w:szCs w:val="20"/>
              </w:rPr>
              <w:t>NFEs owned by female</w:t>
            </w:r>
            <w:r w:rsidR="000C44E5" w:rsidRPr="001845F3">
              <w:rPr>
                <w:sz w:val="20"/>
                <w:szCs w:val="20"/>
              </w:rPr>
              <w:t>s</w:t>
            </w:r>
          </w:p>
        </w:tc>
        <w:tc>
          <w:tcPr>
            <w:tcW w:w="1010" w:type="dxa"/>
            <w:tcBorders>
              <w:left w:val="single" w:sz="12" w:space="0" w:color="920016" w:themeColor="accent4"/>
              <w:right w:val="single" w:sz="12" w:space="0" w:color="920016" w:themeColor="accent4"/>
            </w:tcBorders>
            <w:vAlign w:val="center"/>
          </w:tcPr>
          <w:p w14:paraId="649BF3F6" w14:textId="7A4EC79C" w:rsidR="001D4F0D" w:rsidRPr="001845F3" w:rsidRDefault="001D4F0D"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57</w:t>
            </w:r>
            <w:r w:rsidR="00A02DAA">
              <w:rPr>
                <w:rFonts w:cs="Times New Roman"/>
                <w:color w:val="000000"/>
                <w:sz w:val="20"/>
                <w:szCs w:val="20"/>
              </w:rPr>
              <w:t>%</w:t>
            </w:r>
          </w:p>
        </w:tc>
        <w:tc>
          <w:tcPr>
            <w:tcW w:w="981" w:type="dxa"/>
            <w:tcBorders>
              <w:left w:val="single" w:sz="12" w:space="0" w:color="920016" w:themeColor="accent4"/>
            </w:tcBorders>
            <w:vAlign w:val="center"/>
          </w:tcPr>
          <w:p w14:paraId="4DEB1FB3" w14:textId="3B4C9B8A"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66</w:t>
            </w:r>
            <w:r w:rsidR="00A02DAA">
              <w:rPr>
                <w:rFonts w:cs="Times New Roman"/>
                <w:color w:val="000000"/>
                <w:sz w:val="20"/>
                <w:szCs w:val="20"/>
              </w:rPr>
              <w:t>%</w:t>
            </w:r>
          </w:p>
        </w:tc>
        <w:tc>
          <w:tcPr>
            <w:tcW w:w="930" w:type="dxa"/>
            <w:vAlign w:val="center"/>
          </w:tcPr>
          <w:p w14:paraId="502BEF1E" w14:textId="04F7DE52"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51</w:t>
            </w:r>
            <w:r w:rsidR="00A02DAA">
              <w:rPr>
                <w:rFonts w:cs="Times New Roman"/>
                <w:color w:val="000000"/>
                <w:sz w:val="20"/>
                <w:szCs w:val="20"/>
              </w:rPr>
              <w:t>%</w:t>
            </w:r>
          </w:p>
        </w:tc>
        <w:tc>
          <w:tcPr>
            <w:tcW w:w="930" w:type="dxa"/>
            <w:vAlign w:val="center"/>
          </w:tcPr>
          <w:p w14:paraId="40812A9D" w14:textId="34189375"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50</w:t>
            </w:r>
            <w:r w:rsidR="00A02DAA">
              <w:rPr>
                <w:rFonts w:cs="Times New Roman"/>
                <w:color w:val="000000"/>
                <w:sz w:val="20"/>
                <w:szCs w:val="20"/>
              </w:rPr>
              <w:t>%</w:t>
            </w:r>
          </w:p>
        </w:tc>
        <w:tc>
          <w:tcPr>
            <w:tcW w:w="930" w:type="dxa"/>
            <w:vAlign w:val="center"/>
          </w:tcPr>
          <w:p w14:paraId="364CA546" w14:textId="2DDDB4AA"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56</w:t>
            </w:r>
            <w:r w:rsidR="00A02DAA">
              <w:rPr>
                <w:rFonts w:cs="Times New Roman"/>
                <w:color w:val="000000"/>
                <w:sz w:val="20"/>
                <w:szCs w:val="20"/>
              </w:rPr>
              <w:t>%</w:t>
            </w:r>
          </w:p>
        </w:tc>
        <w:tc>
          <w:tcPr>
            <w:tcW w:w="954" w:type="dxa"/>
            <w:vAlign w:val="center"/>
          </w:tcPr>
          <w:p w14:paraId="356D38E9" w14:textId="2D68AA56"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55</w:t>
            </w:r>
            <w:r w:rsidR="00A02DAA">
              <w:rPr>
                <w:rFonts w:cs="Times New Roman"/>
                <w:color w:val="000000"/>
                <w:sz w:val="20"/>
                <w:szCs w:val="20"/>
              </w:rPr>
              <w:t>%</w:t>
            </w:r>
          </w:p>
        </w:tc>
        <w:tc>
          <w:tcPr>
            <w:tcW w:w="931" w:type="dxa"/>
            <w:vAlign w:val="center"/>
          </w:tcPr>
          <w:p w14:paraId="3A2D0B40" w14:textId="235B7126" w:rsidR="001D4F0D" w:rsidRPr="001845F3" w:rsidRDefault="00744FCC"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63</w:t>
            </w:r>
            <w:r w:rsidR="00A02DAA">
              <w:rPr>
                <w:rFonts w:cs="Times New Roman"/>
                <w:color w:val="000000"/>
                <w:sz w:val="20"/>
                <w:szCs w:val="20"/>
              </w:rPr>
              <w:t>%</w:t>
            </w:r>
          </w:p>
        </w:tc>
      </w:tr>
      <w:tr w:rsidR="003C57FB" w:rsidRPr="001845F3" w14:paraId="2BBB6335" w14:textId="77777777" w:rsidTr="00C1250B">
        <w:trPr>
          <w:cnfStyle w:val="000000010000" w:firstRow="0" w:lastRow="0" w:firstColumn="0" w:lastColumn="0" w:oddVBand="0" w:evenVBand="0" w:oddHBand="0" w:evenHBand="1" w:firstRowFirstColumn="0" w:firstRowLastColumn="0" w:lastRowFirstColumn="0" w:lastRowLastColumn="0"/>
          <w:trHeight w:val="772"/>
          <w:jc w:val="center"/>
        </w:trPr>
        <w:tc>
          <w:tcPr>
            <w:cnfStyle w:val="001000000000" w:firstRow="0" w:lastRow="0" w:firstColumn="1" w:lastColumn="0" w:oddVBand="0" w:evenVBand="0" w:oddHBand="0" w:evenHBand="0" w:firstRowFirstColumn="0" w:firstRowLastColumn="0" w:lastRowFirstColumn="0" w:lastRowLastColumn="0"/>
            <w:tcW w:w="2004" w:type="dxa"/>
            <w:tcBorders>
              <w:right w:val="single" w:sz="12" w:space="0" w:color="920016" w:themeColor="accent4"/>
            </w:tcBorders>
            <w:vAlign w:val="center"/>
          </w:tcPr>
          <w:p w14:paraId="6A885361" w14:textId="7A6711E3" w:rsidR="003C57FB" w:rsidRPr="001845F3" w:rsidRDefault="003C57FB" w:rsidP="00D727BF">
            <w:pPr>
              <w:pStyle w:val="ParagraphNumbering"/>
              <w:numPr>
                <w:ilvl w:val="0"/>
                <w:numId w:val="0"/>
              </w:numPr>
              <w:tabs>
                <w:tab w:val="left" w:pos="720"/>
              </w:tabs>
              <w:spacing w:after="0"/>
              <w:jc w:val="center"/>
              <w:rPr>
                <w:sz w:val="20"/>
                <w:szCs w:val="20"/>
              </w:rPr>
            </w:pPr>
            <w:r w:rsidRPr="001845F3">
              <w:rPr>
                <w:sz w:val="20"/>
                <w:szCs w:val="20"/>
              </w:rPr>
              <w:t xml:space="preserve">NFEs employing </w:t>
            </w:r>
            <w:r w:rsidR="0049050E">
              <w:rPr>
                <w:sz w:val="20"/>
                <w:szCs w:val="20"/>
              </w:rPr>
              <w:t>non</w:t>
            </w:r>
            <w:r w:rsidR="00127EAF">
              <w:rPr>
                <w:sz w:val="20"/>
                <w:szCs w:val="20"/>
              </w:rPr>
              <w:t>-</w:t>
            </w:r>
            <w:r w:rsidR="00AE042F" w:rsidRPr="001845F3">
              <w:rPr>
                <w:sz w:val="20"/>
                <w:szCs w:val="20"/>
              </w:rPr>
              <w:t>HH members</w:t>
            </w:r>
          </w:p>
        </w:tc>
        <w:tc>
          <w:tcPr>
            <w:tcW w:w="1010" w:type="dxa"/>
            <w:tcBorders>
              <w:left w:val="single" w:sz="12" w:space="0" w:color="920016" w:themeColor="accent4"/>
              <w:right w:val="single" w:sz="12" w:space="0" w:color="920016" w:themeColor="accent4"/>
            </w:tcBorders>
            <w:vAlign w:val="center"/>
          </w:tcPr>
          <w:p w14:paraId="0AF39B77" w14:textId="0610725C" w:rsidR="003C57FB"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9</w:t>
            </w:r>
            <w:r w:rsidR="00A02DAA">
              <w:rPr>
                <w:rFonts w:cs="Times New Roman"/>
                <w:color w:val="000000"/>
                <w:sz w:val="20"/>
                <w:szCs w:val="20"/>
              </w:rPr>
              <w:t>%</w:t>
            </w:r>
          </w:p>
        </w:tc>
        <w:tc>
          <w:tcPr>
            <w:tcW w:w="981" w:type="dxa"/>
            <w:tcBorders>
              <w:left w:val="single" w:sz="12" w:space="0" w:color="920016" w:themeColor="accent4"/>
            </w:tcBorders>
            <w:vAlign w:val="center"/>
          </w:tcPr>
          <w:p w14:paraId="3E9FD4EF" w14:textId="3FFFE5B3" w:rsidR="003C57FB"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4</w:t>
            </w:r>
            <w:r w:rsidR="00A02DAA">
              <w:rPr>
                <w:rFonts w:cs="Times New Roman"/>
                <w:color w:val="000000"/>
                <w:sz w:val="20"/>
                <w:szCs w:val="20"/>
              </w:rPr>
              <w:t>%</w:t>
            </w:r>
          </w:p>
        </w:tc>
        <w:tc>
          <w:tcPr>
            <w:tcW w:w="930" w:type="dxa"/>
            <w:vAlign w:val="center"/>
          </w:tcPr>
          <w:p w14:paraId="14B8B137" w14:textId="571BD94B" w:rsidR="003C57FB" w:rsidRPr="001845F3" w:rsidRDefault="003C57FB"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w:t>
            </w:r>
            <w:r w:rsidR="00744FCC" w:rsidRPr="001845F3">
              <w:rPr>
                <w:rFonts w:cs="Times New Roman"/>
                <w:color w:val="000000"/>
                <w:sz w:val="20"/>
                <w:szCs w:val="20"/>
              </w:rPr>
              <w:t>0</w:t>
            </w:r>
            <w:r w:rsidR="00A02DAA">
              <w:rPr>
                <w:rFonts w:cs="Times New Roman"/>
                <w:color w:val="000000"/>
                <w:sz w:val="20"/>
                <w:szCs w:val="20"/>
              </w:rPr>
              <w:t>%</w:t>
            </w:r>
          </w:p>
        </w:tc>
        <w:tc>
          <w:tcPr>
            <w:tcW w:w="930" w:type="dxa"/>
            <w:vAlign w:val="center"/>
          </w:tcPr>
          <w:p w14:paraId="0C733D09" w14:textId="626C0735" w:rsidR="003C57FB"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9</w:t>
            </w:r>
            <w:r w:rsidR="00A02DAA">
              <w:rPr>
                <w:rFonts w:cs="Times New Roman"/>
                <w:color w:val="000000"/>
                <w:sz w:val="20"/>
                <w:szCs w:val="20"/>
              </w:rPr>
              <w:t>%</w:t>
            </w:r>
          </w:p>
        </w:tc>
        <w:tc>
          <w:tcPr>
            <w:tcW w:w="930" w:type="dxa"/>
            <w:vAlign w:val="center"/>
          </w:tcPr>
          <w:p w14:paraId="3BF942A2" w14:textId="655D6AD9" w:rsidR="003C57FB"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4</w:t>
            </w:r>
            <w:r w:rsidR="00A02DAA">
              <w:rPr>
                <w:rFonts w:cs="Times New Roman"/>
                <w:color w:val="000000"/>
                <w:sz w:val="20"/>
                <w:szCs w:val="20"/>
              </w:rPr>
              <w:t>%</w:t>
            </w:r>
          </w:p>
        </w:tc>
        <w:tc>
          <w:tcPr>
            <w:tcW w:w="954" w:type="dxa"/>
            <w:vAlign w:val="center"/>
          </w:tcPr>
          <w:p w14:paraId="647E1BD0" w14:textId="5AC5716E" w:rsidR="003C57FB"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12</w:t>
            </w:r>
            <w:r w:rsidR="00A02DAA">
              <w:rPr>
                <w:rFonts w:cs="Times New Roman"/>
                <w:color w:val="000000"/>
                <w:sz w:val="20"/>
                <w:szCs w:val="20"/>
              </w:rPr>
              <w:t>%</w:t>
            </w:r>
          </w:p>
        </w:tc>
        <w:tc>
          <w:tcPr>
            <w:tcW w:w="931" w:type="dxa"/>
            <w:vAlign w:val="center"/>
          </w:tcPr>
          <w:p w14:paraId="54FDE808" w14:textId="639D723C" w:rsidR="003C57FB" w:rsidRPr="001845F3" w:rsidRDefault="00744FCC"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12</w:t>
            </w:r>
            <w:r w:rsidR="00A02DAA">
              <w:rPr>
                <w:rFonts w:cs="Times New Roman"/>
                <w:color w:val="000000"/>
                <w:sz w:val="20"/>
                <w:szCs w:val="20"/>
              </w:rPr>
              <w:t>%</w:t>
            </w:r>
          </w:p>
        </w:tc>
      </w:tr>
      <w:tr w:rsidR="003C57FB" w:rsidRPr="001845F3" w14:paraId="061245B2" w14:textId="77777777" w:rsidTr="00C1250B">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2004" w:type="dxa"/>
            <w:tcBorders>
              <w:right w:val="single" w:sz="12" w:space="0" w:color="920016" w:themeColor="accent4"/>
            </w:tcBorders>
            <w:vAlign w:val="center"/>
          </w:tcPr>
          <w:p w14:paraId="4ED9BC19" w14:textId="77777777" w:rsidR="003C57FB" w:rsidRPr="001845F3" w:rsidRDefault="003C57FB" w:rsidP="00D727BF">
            <w:pPr>
              <w:pStyle w:val="ParagraphNumbering"/>
              <w:numPr>
                <w:ilvl w:val="0"/>
                <w:numId w:val="0"/>
              </w:numPr>
              <w:tabs>
                <w:tab w:val="left" w:pos="720"/>
              </w:tabs>
              <w:spacing w:after="0"/>
              <w:jc w:val="center"/>
              <w:rPr>
                <w:sz w:val="20"/>
                <w:szCs w:val="20"/>
              </w:rPr>
            </w:pPr>
            <w:r w:rsidRPr="001845F3">
              <w:rPr>
                <w:sz w:val="20"/>
                <w:szCs w:val="20"/>
              </w:rPr>
              <w:t>Average number of employees</w:t>
            </w:r>
          </w:p>
        </w:tc>
        <w:tc>
          <w:tcPr>
            <w:tcW w:w="1010" w:type="dxa"/>
            <w:tcBorders>
              <w:left w:val="single" w:sz="12" w:space="0" w:color="920016" w:themeColor="accent4"/>
              <w:bottom w:val="single" w:sz="8" w:space="0" w:color="0550AE" w:themeColor="text1" w:themeTint="BF"/>
              <w:right w:val="single" w:sz="12" w:space="0" w:color="920016" w:themeColor="accent4"/>
            </w:tcBorders>
            <w:vAlign w:val="center"/>
          </w:tcPr>
          <w:p w14:paraId="1211EEBD" w14:textId="77777777" w:rsidR="003C57FB" w:rsidRPr="001845F3" w:rsidRDefault="003C57FB"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1.</w:t>
            </w:r>
            <w:r w:rsidR="00E6295E" w:rsidRPr="001845F3">
              <w:rPr>
                <w:rFonts w:cs="Times New Roman"/>
                <w:color w:val="000000"/>
                <w:sz w:val="20"/>
                <w:szCs w:val="20"/>
              </w:rPr>
              <w:t>5</w:t>
            </w:r>
          </w:p>
        </w:tc>
        <w:tc>
          <w:tcPr>
            <w:tcW w:w="981" w:type="dxa"/>
            <w:tcBorders>
              <w:left w:val="single" w:sz="12" w:space="0" w:color="920016" w:themeColor="accent4"/>
            </w:tcBorders>
            <w:vAlign w:val="center"/>
          </w:tcPr>
          <w:p w14:paraId="55009277" w14:textId="77777777" w:rsidR="003C57FB" w:rsidRPr="001845F3" w:rsidRDefault="003C57FB"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1.</w:t>
            </w:r>
            <w:r w:rsidR="00E6295E" w:rsidRPr="001845F3">
              <w:rPr>
                <w:rFonts w:cs="Times New Roman"/>
                <w:color w:val="000000"/>
                <w:sz w:val="20"/>
                <w:szCs w:val="20"/>
              </w:rPr>
              <w:t>3</w:t>
            </w:r>
          </w:p>
        </w:tc>
        <w:tc>
          <w:tcPr>
            <w:tcW w:w="930" w:type="dxa"/>
            <w:vAlign w:val="center"/>
          </w:tcPr>
          <w:p w14:paraId="11FFB5DA" w14:textId="77777777" w:rsidR="003C57FB" w:rsidRPr="001845F3" w:rsidRDefault="003C57FB"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1.</w:t>
            </w:r>
            <w:r w:rsidR="00E6295E" w:rsidRPr="001845F3">
              <w:rPr>
                <w:rFonts w:cs="Times New Roman"/>
                <w:color w:val="000000"/>
                <w:sz w:val="20"/>
                <w:szCs w:val="20"/>
              </w:rPr>
              <w:t>6</w:t>
            </w:r>
          </w:p>
        </w:tc>
        <w:tc>
          <w:tcPr>
            <w:tcW w:w="930" w:type="dxa"/>
            <w:vAlign w:val="center"/>
          </w:tcPr>
          <w:p w14:paraId="19F01EC6" w14:textId="77777777" w:rsidR="003C57FB" w:rsidRPr="001845F3" w:rsidRDefault="003C57FB"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1.</w:t>
            </w:r>
            <w:r w:rsidR="008D1C07" w:rsidRPr="001845F3">
              <w:rPr>
                <w:rFonts w:cs="Times New Roman"/>
                <w:color w:val="000000"/>
                <w:sz w:val="20"/>
                <w:szCs w:val="20"/>
              </w:rPr>
              <w:t>5</w:t>
            </w:r>
          </w:p>
        </w:tc>
        <w:tc>
          <w:tcPr>
            <w:tcW w:w="930" w:type="dxa"/>
            <w:vAlign w:val="center"/>
          </w:tcPr>
          <w:p w14:paraId="2BD95CB6" w14:textId="77777777" w:rsidR="003C57FB" w:rsidRPr="001845F3" w:rsidRDefault="003C57FB"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1.</w:t>
            </w:r>
            <w:r w:rsidR="008D1C07" w:rsidRPr="001845F3">
              <w:rPr>
                <w:rFonts w:cs="Times New Roman"/>
                <w:color w:val="000000"/>
                <w:sz w:val="20"/>
                <w:szCs w:val="20"/>
              </w:rPr>
              <w:t>3</w:t>
            </w:r>
          </w:p>
        </w:tc>
        <w:tc>
          <w:tcPr>
            <w:tcW w:w="954" w:type="dxa"/>
            <w:vAlign w:val="center"/>
          </w:tcPr>
          <w:p w14:paraId="4CC6703B" w14:textId="77777777" w:rsidR="003C57FB" w:rsidRPr="001845F3" w:rsidRDefault="003C57FB"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1.7</w:t>
            </w:r>
          </w:p>
        </w:tc>
        <w:tc>
          <w:tcPr>
            <w:tcW w:w="931" w:type="dxa"/>
            <w:vAlign w:val="center"/>
          </w:tcPr>
          <w:p w14:paraId="73CC7786" w14:textId="77777777" w:rsidR="003C57FB" w:rsidRPr="001845F3" w:rsidRDefault="003C57FB"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1.7</w:t>
            </w:r>
          </w:p>
        </w:tc>
      </w:tr>
      <w:tr w:rsidR="00AE042F" w:rsidRPr="001845F3" w14:paraId="3A4BCB2C" w14:textId="77777777" w:rsidTr="00C1250B">
        <w:trPr>
          <w:cnfStyle w:val="000000010000" w:firstRow="0" w:lastRow="0" w:firstColumn="0" w:lastColumn="0" w:oddVBand="0" w:evenVBand="0" w:oddHBand="0" w:evenHBand="1"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2004" w:type="dxa"/>
            <w:tcBorders>
              <w:right w:val="single" w:sz="12" w:space="0" w:color="920016" w:themeColor="accent4"/>
            </w:tcBorders>
            <w:vAlign w:val="center"/>
          </w:tcPr>
          <w:p w14:paraId="06087471" w14:textId="706B3E66" w:rsidR="00AE042F" w:rsidRPr="001845F3" w:rsidRDefault="00520A9E" w:rsidP="00D727BF">
            <w:pPr>
              <w:pStyle w:val="ParagraphNumbering"/>
              <w:numPr>
                <w:ilvl w:val="0"/>
                <w:numId w:val="0"/>
              </w:numPr>
              <w:tabs>
                <w:tab w:val="left" w:pos="720"/>
              </w:tabs>
              <w:spacing w:after="0"/>
              <w:jc w:val="center"/>
              <w:rPr>
                <w:sz w:val="20"/>
                <w:szCs w:val="20"/>
              </w:rPr>
            </w:pPr>
            <w:r w:rsidRPr="001845F3">
              <w:rPr>
                <w:sz w:val="20"/>
                <w:szCs w:val="20"/>
              </w:rPr>
              <w:t>Microenterprises</w:t>
            </w:r>
          </w:p>
        </w:tc>
        <w:tc>
          <w:tcPr>
            <w:tcW w:w="1010" w:type="dxa"/>
            <w:tcBorders>
              <w:left w:val="single" w:sz="12" w:space="0" w:color="920016" w:themeColor="accent4"/>
              <w:bottom w:val="single" w:sz="2" w:space="0" w:color="auto"/>
              <w:right w:val="single" w:sz="12" w:space="0" w:color="920016" w:themeColor="accent4"/>
            </w:tcBorders>
            <w:vAlign w:val="center"/>
          </w:tcPr>
          <w:p w14:paraId="0D67BE10" w14:textId="2A344981" w:rsidR="00AE042F" w:rsidRPr="001845F3" w:rsidRDefault="008D1C07"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12</w:t>
            </w:r>
            <w:r w:rsidR="00A02DAA">
              <w:rPr>
                <w:rFonts w:cs="Times New Roman"/>
                <w:color w:val="000000"/>
                <w:sz w:val="20"/>
                <w:szCs w:val="20"/>
              </w:rPr>
              <w:t>%</w:t>
            </w:r>
          </w:p>
        </w:tc>
        <w:tc>
          <w:tcPr>
            <w:tcW w:w="981" w:type="dxa"/>
            <w:tcBorders>
              <w:left w:val="single" w:sz="12" w:space="0" w:color="920016" w:themeColor="accent4"/>
            </w:tcBorders>
            <w:vAlign w:val="center"/>
          </w:tcPr>
          <w:p w14:paraId="5FF32954" w14:textId="32F4AE4F" w:rsidR="00AE042F" w:rsidRPr="001845F3" w:rsidRDefault="008D1C07"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7</w:t>
            </w:r>
            <w:r w:rsidR="00A02DAA">
              <w:rPr>
                <w:rFonts w:cs="Times New Roman"/>
                <w:color w:val="000000"/>
                <w:sz w:val="20"/>
                <w:szCs w:val="20"/>
              </w:rPr>
              <w:t>%</w:t>
            </w:r>
          </w:p>
        </w:tc>
        <w:tc>
          <w:tcPr>
            <w:tcW w:w="930" w:type="dxa"/>
            <w:vAlign w:val="center"/>
          </w:tcPr>
          <w:p w14:paraId="0E855A3A" w14:textId="6FCFDB5F" w:rsidR="00AE042F" w:rsidRPr="001845F3" w:rsidRDefault="008D1C07"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14</w:t>
            </w:r>
            <w:r w:rsidR="00A02DAA">
              <w:rPr>
                <w:rFonts w:cs="Times New Roman"/>
                <w:color w:val="000000"/>
                <w:sz w:val="20"/>
                <w:szCs w:val="20"/>
              </w:rPr>
              <w:t>%</w:t>
            </w:r>
          </w:p>
        </w:tc>
        <w:tc>
          <w:tcPr>
            <w:tcW w:w="930" w:type="dxa"/>
            <w:vAlign w:val="center"/>
          </w:tcPr>
          <w:p w14:paraId="2CE32D53" w14:textId="141FC114" w:rsidR="00AE042F" w:rsidRPr="001845F3" w:rsidRDefault="008D1C07"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11</w:t>
            </w:r>
            <w:r w:rsidR="00A02DAA">
              <w:rPr>
                <w:rFonts w:cs="Times New Roman"/>
                <w:color w:val="000000"/>
                <w:sz w:val="20"/>
                <w:szCs w:val="20"/>
              </w:rPr>
              <w:t>%</w:t>
            </w:r>
          </w:p>
        </w:tc>
        <w:tc>
          <w:tcPr>
            <w:tcW w:w="930" w:type="dxa"/>
            <w:vAlign w:val="center"/>
          </w:tcPr>
          <w:p w14:paraId="224EA338" w14:textId="213ECF98" w:rsidR="00AE042F" w:rsidRPr="001845F3" w:rsidRDefault="008D1C07"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8</w:t>
            </w:r>
            <w:r w:rsidR="00A02DAA">
              <w:rPr>
                <w:rFonts w:cs="Times New Roman"/>
                <w:color w:val="000000"/>
                <w:sz w:val="20"/>
                <w:szCs w:val="20"/>
              </w:rPr>
              <w:t>%</w:t>
            </w:r>
          </w:p>
        </w:tc>
        <w:tc>
          <w:tcPr>
            <w:tcW w:w="954" w:type="dxa"/>
            <w:vAlign w:val="center"/>
          </w:tcPr>
          <w:p w14:paraId="3DD85B8F" w14:textId="01AEBDF5" w:rsidR="00AE042F" w:rsidRPr="001845F3" w:rsidRDefault="008D1C07"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15</w:t>
            </w:r>
            <w:r w:rsidR="00A02DAA">
              <w:rPr>
                <w:rFonts w:cs="Times New Roman"/>
                <w:color w:val="000000"/>
                <w:sz w:val="20"/>
                <w:szCs w:val="20"/>
              </w:rPr>
              <w:t>%</w:t>
            </w:r>
          </w:p>
        </w:tc>
        <w:tc>
          <w:tcPr>
            <w:tcW w:w="931" w:type="dxa"/>
            <w:vAlign w:val="center"/>
          </w:tcPr>
          <w:p w14:paraId="303D49FA" w14:textId="27BA1B46" w:rsidR="00AE042F" w:rsidRPr="001845F3" w:rsidRDefault="008D1C07" w:rsidP="00D727BF">
            <w:pPr>
              <w:tabs>
                <w:tab w:val="left" w:pos="720"/>
              </w:tabs>
              <w:spacing w:after="0"/>
              <w:ind w:left="20" w:hanging="2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845F3">
              <w:rPr>
                <w:rFonts w:cs="Times New Roman"/>
                <w:color w:val="000000"/>
                <w:sz w:val="20"/>
                <w:szCs w:val="20"/>
              </w:rPr>
              <w:t>15</w:t>
            </w:r>
            <w:r w:rsidR="00A02DAA">
              <w:rPr>
                <w:rFonts w:cs="Times New Roman"/>
                <w:color w:val="000000"/>
                <w:sz w:val="20"/>
                <w:szCs w:val="20"/>
              </w:rPr>
              <w:t>%</w:t>
            </w:r>
          </w:p>
        </w:tc>
      </w:tr>
      <w:tr w:rsidR="00AE042F" w:rsidRPr="001845F3" w14:paraId="27BE5536" w14:textId="77777777" w:rsidTr="00C1250B">
        <w:trPr>
          <w:cnfStyle w:val="000000100000" w:firstRow="0" w:lastRow="0" w:firstColumn="0" w:lastColumn="0" w:oddVBand="0" w:evenVBand="0" w:oddHBand="1" w:evenHBand="0" w:firstRowFirstColumn="0" w:firstRowLastColumn="0" w:lastRowFirstColumn="0" w:lastRowLastColumn="0"/>
          <w:trHeight w:val="898"/>
          <w:jc w:val="center"/>
        </w:trPr>
        <w:tc>
          <w:tcPr>
            <w:cnfStyle w:val="001000000000" w:firstRow="0" w:lastRow="0" w:firstColumn="1" w:lastColumn="0" w:oddVBand="0" w:evenVBand="0" w:oddHBand="0" w:evenHBand="0" w:firstRowFirstColumn="0" w:firstRowLastColumn="0" w:lastRowFirstColumn="0" w:lastRowLastColumn="0"/>
            <w:tcW w:w="2004" w:type="dxa"/>
            <w:tcBorders>
              <w:right w:val="single" w:sz="12" w:space="0" w:color="920016" w:themeColor="accent4"/>
            </w:tcBorders>
            <w:vAlign w:val="center"/>
          </w:tcPr>
          <w:p w14:paraId="08BE182D" w14:textId="5D45B375" w:rsidR="00AE042F" w:rsidRPr="001845F3" w:rsidRDefault="00AE042F" w:rsidP="00D727BF">
            <w:pPr>
              <w:pStyle w:val="ParagraphNumbering"/>
              <w:numPr>
                <w:ilvl w:val="0"/>
                <w:numId w:val="0"/>
              </w:numPr>
              <w:tabs>
                <w:tab w:val="left" w:pos="720"/>
              </w:tabs>
              <w:spacing w:after="0"/>
              <w:jc w:val="center"/>
              <w:rPr>
                <w:sz w:val="20"/>
                <w:szCs w:val="20"/>
              </w:rPr>
            </w:pPr>
            <w:r w:rsidRPr="001845F3">
              <w:rPr>
                <w:sz w:val="20"/>
                <w:szCs w:val="20"/>
              </w:rPr>
              <w:t xml:space="preserve">Distribution of the </w:t>
            </w:r>
            <w:r w:rsidR="00520A9E" w:rsidRPr="001845F3">
              <w:rPr>
                <w:sz w:val="20"/>
                <w:szCs w:val="20"/>
              </w:rPr>
              <w:t>MEs</w:t>
            </w:r>
            <w:r w:rsidRPr="001845F3">
              <w:rPr>
                <w:sz w:val="20"/>
                <w:szCs w:val="20"/>
              </w:rPr>
              <w:t xml:space="preserve"> by zone</w:t>
            </w:r>
          </w:p>
        </w:tc>
        <w:tc>
          <w:tcPr>
            <w:tcW w:w="1010" w:type="dxa"/>
            <w:tcBorders>
              <w:top w:val="single" w:sz="2" w:space="0" w:color="auto"/>
              <w:left w:val="single" w:sz="12" w:space="0" w:color="920016" w:themeColor="accent4"/>
              <w:bottom w:val="single" w:sz="2" w:space="0" w:color="auto"/>
              <w:right w:val="single" w:sz="12" w:space="0" w:color="920016" w:themeColor="accent4"/>
            </w:tcBorders>
            <w:vAlign w:val="center"/>
          </w:tcPr>
          <w:p w14:paraId="7FB22ADE" w14:textId="29B519E9" w:rsidR="00AE042F" w:rsidRPr="001845F3" w:rsidRDefault="00AE042F"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100</w:t>
            </w:r>
            <w:r w:rsidR="00A02DAA">
              <w:rPr>
                <w:rFonts w:cs="Times New Roman"/>
                <w:color w:val="000000"/>
                <w:sz w:val="20"/>
                <w:szCs w:val="20"/>
              </w:rPr>
              <w:t>%</w:t>
            </w:r>
          </w:p>
        </w:tc>
        <w:tc>
          <w:tcPr>
            <w:tcW w:w="981" w:type="dxa"/>
            <w:tcBorders>
              <w:left w:val="single" w:sz="12" w:space="0" w:color="920016" w:themeColor="accent4"/>
            </w:tcBorders>
            <w:vAlign w:val="center"/>
          </w:tcPr>
          <w:p w14:paraId="71239383" w14:textId="23AFC315" w:rsidR="00AE042F" w:rsidRPr="001845F3" w:rsidRDefault="00AE042F"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6</w:t>
            </w:r>
            <w:r w:rsidR="00A02DAA">
              <w:rPr>
                <w:rFonts w:cs="Times New Roman"/>
                <w:color w:val="000000"/>
                <w:sz w:val="20"/>
                <w:szCs w:val="20"/>
              </w:rPr>
              <w:t>%</w:t>
            </w:r>
          </w:p>
        </w:tc>
        <w:tc>
          <w:tcPr>
            <w:tcW w:w="930" w:type="dxa"/>
            <w:vAlign w:val="center"/>
          </w:tcPr>
          <w:p w14:paraId="7CDEF502" w14:textId="28DBC264" w:rsidR="00AE042F" w:rsidRPr="001845F3" w:rsidRDefault="008D1C07"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14</w:t>
            </w:r>
            <w:r w:rsidR="00A02DAA">
              <w:rPr>
                <w:rFonts w:cs="Times New Roman"/>
                <w:color w:val="000000"/>
                <w:sz w:val="20"/>
                <w:szCs w:val="20"/>
              </w:rPr>
              <w:t>%</w:t>
            </w:r>
          </w:p>
        </w:tc>
        <w:tc>
          <w:tcPr>
            <w:tcW w:w="930" w:type="dxa"/>
            <w:vAlign w:val="center"/>
          </w:tcPr>
          <w:p w14:paraId="106A47A3" w14:textId="11BD2DEE" w:rsidR="00AE042F" w:rsidRPr="001845F3" w:rsidRDefault="00AE042F"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2</w:t>
            </w:r>
            <w:r w:rsidR="008D1C07" w:rsidRPr="001845F3">
              <w:rPr>
                <w:rFonts w:cs="Times New Roman"/>
                <w:color w:val="000000"/>
                <w:sz w:val="20"/>
                <w:szCs w:val="20"/>
              </w:rPr>
              <w:t>1</w:t>
            </w:r>
            <w:r w:rsidR="00A02DAA">
              <w:rPr>
                <w:rFonts w:cs="Times New Roman"/>
                <w:color w:val="000000"/>
                <w:sz w:val="20"/>
                <w:szCs w:val="20"/>
              </w:rPr>
              <w:t>%</w:t>
            </w:r>
          </w:p>
        </w:tc>
        <w:tc>
          <w:tcPr>
            <w:tcW w:w="930" w:type="dxa"/>
            <w:vAlign w:val="center"/>
          </w:tcPr>
          <w:p w14:paraId="584B0012" w14:textId="2197AE66" w:rsidR="00AE042F" w:rsidRPr="001845F3" w:rsidRDefault="008D1C07"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7</w:t>
            </w:r>
            <w:r w:rsidR="00A02DAA">
              <w:rPr>
                <w:rFonts w:cs="Times New Roman"/>
                <w:color w:val="000000"/>
                <w:sz w:val="20"/>
                <w:szCs w:val="20"/>
              </w:rPr>
              <w:t>%</w:t>
            </w:r>
          </w:p>
        </w:tc>
        <w:tc>
          <w:tcPr>
            <w:tcW w:w="954" w:type="dxa"/>
            <w:vAlign w:val="center"/>
          </w:tcPr>
          <w:p w14:paraId="504E93CC" w14:textId="530A359A" w:rsidR="00AE042F" w:rsidRPr="001845F3" w:rsidRDefault="008D1C07"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17</w:t>
            </w:r>
            <w:r w:rsidR="00A02DAA">
              <w:rPr>
                <w:rFonts w:cs="Times New Roman"/>
                <w:color w:val="000000"/>
                <w:sz w:val="20"/>
                <w:szCs w:val="20"/>
              </w:rPr>
              <w:t>%</w:t>
            </w:r>
          </w:p>
        </w:tc>
        <w:tc>
          <w:tcPr>
            <w:tcW w:w="931" w:type="dxa"/>
            <w:vAlign w:val="center"/>
          </w:tcPr>
          <w:p w14:paraId="7188CA1B" w14:textId="49B737C7" w:rsidR="00AE042F" w:rsidRPr="001845F3" w:rsidRDefault="008D1C07" w:rsidP="00D727BF">
            <w:pPr>
              <w:tabs>
                <w:tab w:val="left" w:pos="720"/>
              </w:tabs>
              <w:spacing w:after="0"/>
              <w:ind w:left="20" w:hanging="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845F3">
              <w:rPr>
                <w:rFonts w:cs="Times New Roman"/>
                <w:color w:val="000000"/>
                <w:sz w:val="20"/>
                <w:szCs w:val="20"/>
              </w:rPr>
              <w:t>35</w:t>
            </w:r>
            <w:r w:rsidR="00A02DAA">
              <w:rPr>
                <w:rFonts w:cs="Times New Roman"/>
                <w:color w:val="000000"/>
                <w:sz w:val="20"/>
                <w:szCs w:val="20"/>
              </w:rPr>
              <w:t>%</w:t>
            </w:r>
          </w:p>
        </w:tc>
      </w:tr>
    </w:tbl>
    <w:p w14:paraId="4BD7C591" w14:textId="14E3972D" w:rsidR="008B04F5" w:rsidRPr="001845F3" w:rsidRDefault="008B04F5" w:rsidP="00D727BF">
      <w:pPr>
        <w:pStyle w:val="FootnoteText"/>
        <w:tabs>
          <w:tab w:val="left" w:pos="720"/>
        </w:tabs>
        <w:spacing w:before="60"/>
        <w:ind w:firstLine="450"/>
        <w:rPr>
          <w:rFonts w:ascii="Times New Roman" w:hAnsi="Times New Roman"/>
        </w:rPr>
      </w:pPr>
      <w:r w:rsidRPr="001845F3">
        <w:rPr>
          <w:rFonts w:ascii="Times New Roman" w:hAnsi="Times New Roman"/>
        </w:rPr>
        <w:t>Source: Estimates based on GHS 2012</w:t>
      </w:r>
      <w:r w:rsidR="00E9128B">
        <w:rPr>
          <w:rFonts w:ascii="Calibri" w:hAnsi="Calibri"/>
        </w:rPr>
        <w:t>‒</w:t>
      </w:r>
      <w:r w:rsidRPr="001845F3">
        <w:rPr>
          <w:rFonts w:ascii="Times New Roman" w:hAnsi="Times New Roman"/>
        </w:rPr>
        <w:t>13</w:t>
      </w:r>
    </w:p>
    <w:p w14:paraId="2657C717" w14:textId="7A2B5091" w:rsidR="001D65E1" w:rsidRPr="00FB0CCD" w:rsidRDefault="004E78E7" w:rsidP="00D727BF">
      <w:pPr>
        <w:pStyle w:val="ParagraphNumbering"/>
        <w:numPr>
          <w:ilvl w:val="0"/>
          <w:numId w:val="0"/>
        </w:numPr>
        <w:tabs>
          <w:tab w:val="left" w:pos="720"/>
        </w:tabs>
        <w:spacing w:after="240"/>
      </w:pPr>
      <w:r>
        <w:rPr>
          <w:b/>
        </w:rPr>
        <w:tab/>
      </w:r>
      <w:r w:rsidR="001D65E1" w:rsidRPr="00C459CE">
        <w:rPr>
          <w:b/>
        </w:rPr>
        <w:t xml:space="preserve">The </w:t>
      </w:r>
      <w:r w:rsidR="000249C3">
        <w:rPr>
          <w:b/>
        </w:rPr>
        <w:t>composition</w:t>
      </w:r>
      <w:r w:rsidR="001D65E1" w:rsidRPr="00C459CE">
        <w:rPr>
          <w:b/>
        </w:rPr>
        <w:t xml:space="preserve"> of </w:t>
      </w:r>
      <w:r w:rsidR="000249C3">
        <w:rPr>
          <w:b/>
        </w:rPr>
        <w:t>NFEs</w:t>
      </w:r>
      <w:r w:rsidR="001D65E1" w:rsidRPr="00C459CE">
        <w:rPr>
          <w:b/>
        </w:rPr>
        <w:t xml:space="preserve"> i</w:t>
      </w:r>
      <w:r w:rsidR="001D65E1">
        <w:rPr>
          <w:b/>
        </w:rPr>
        <w:t>n</w:t>
      </w:r>
      <w:r w:rsidR="001D65E1" w:rsidRPr="00C459CE">
        <w:rPr>
          <w:b/>
        </w:rPr>
        <w:t xml:space="preserve"> Nigeria varies across geopolitical zo</w:t>
      </w:r>
      <w:r w:rsidR="00BB3899" w:rsidRPr="00086B78">
        <w:rPr>
          <w:b/>
        </w:rPr>
        <w:t>nes</w:t>
      </w:r>
      <w:r w:rsidR="00BB3899">
        <w:rPr>
          <w:b/>
        </w:rPr>
        <w:t xml:space="preserve"> </w:t>
      </w:r>
      <w:r w:rsidR="00BB3899" w:rsidRPr="00D92148">
        <w:t>(</w:t>
      </w:r>
      <w:r w:rsidR="00E9128B">
        <w:fldChar w:fldCharType="begin"/>
      </w:r>
      <w:r w:rsidR="00E9128B">
        <w:instrText xml:space="preserve"> REF _Ref431576909 \h </w:instrText>
      </w:r>
      <w:r w:rsidR="00E9128B">
        <w:fldChar w:fldCharType="separate"/>
      </w:r>
      <w:r w:rsidR="00E9128B">
        <w:t xml:space="preserve">table </w:t>
      </w:r>
      <w:r w:rsidR="00E9128B">
        <w:rPr>
          <w:noProof/>
        </w:rPr>
        <w:t>3</w:t>
      </w:r>
      <w:r w:rsidR="00E9128B">
        <w:fldChar w:fldCharType="end"/>
      </w:r>
      <w:r w:rsidR="001D65E1">
        <w:t>)</w:t>
      </w:r>
      <w:r w:rsidR="001D65E1" w:rsidRPr="00FB0CCD">
        <w:t xml:space="preserve">. </w:t>
      </w:r>
      <w:r w:rsidR="001D65E1">
        <w:t xml:space="preserve">Services NFEs, both wholesale and retail, </w:t>
      </w:r>
      <w:r w:rsidR="000249C3">
        <w:t xml:space="preserve">comprise a substantial share of total NFEs </w:t>
      </w:r>
      <w:r w:rsidR="001D65E1">
        <w:t xml:space="preserve">across </w:t>
      </w:r>
      <w:r w:rsidR="001D65E1" w:rsidRPr="00FB0CCD">
        <w:t>all zones</w:t>
      </w:r>
      <w:r w:rsidR="001D65E1">
        <w:t>.</w:t>
      </w:r>
      <w:r w:rsidR="001D65E1" w:rsidRPr="00FB0CCD">
        <w:t xml:space="preserve"> The </w:t>
      </w:r>
      <w:r w:rsidR="001D65E1">
        <w:t xml:space="preserve">manufacturing </w:t>
      </w:r>
      <w:r w:rsidR="001D65E1" w:rsidRPr="00FB0CCD">
        <w:t xml:space="preserve">sector accounts for </w:t>
      </w:r>
      <w:r w:rsidR="000249C3">
        <w:t xml:space="preserve">approximately </w:t>
      </w:r>
      <w:r w:rsidR="001D65E1" w:rsidRPr="00FB0CCD">
        <w:t xml:space="preserve">18 percent of </w:t>
      </w:r>
      <w:r w:rsidR="000249C3">
        <w:t>total</w:t>
      </w:r>
      <w:r w:rsidR="000249C3" w:rsidRPr="00FB0CCD">
        <w:t xml:space="preserve"> </w:t>
      </w:r>
      <w:r w:rsidR="000249C3">
        <w:t xml:space="preserve">NFE </w:t>
      </w:r>
      <w:r w:rsidR="001D65E1" w:rsidRPr="00FB0CCD">
        <w:t>activity</w:t>
      </w:r>
      <w:r w:rsidR="000249C3">
        <w:t xml:space="preserve">; however, manufacturing plays a significantly larger role in the </w:t>
      </w:r>
      <w:r w:rsidR="006F6842">
        <w:t>North West</w:t>
      </w:r>
      <w:r w:rsidR="000249C3">
        <w:t xml:space="preserve"> and </w:t>
      </w:r>
      <w:r w:rsidR="006F6842">
        <w:t>North East</w:t>
      </w:r>
      <w:r w:rsidR="000249C3">
        <w:t xml:space="preserve">, where it comprises </w:t>
      </w:r>
      <w:r w:rsidR="001D65E1">
        <w:t>32 and 37 percent</w:t>
      </w:r>
      <w:r w:rsidR="000249C3">
        <w:t>, respectively, of NFEs in these regions.</w:t>
      </w:r>
      <w:r w:rsidR="001D65E1">
        <w:t xml:space="preserve"> A </w:t>
      </w:r>
      <w:r w:rsidR="001D65E1" w:rsidRPr="00FB0CCD">
        <w:t>high proportion of these businesses produc</w:t>
      </w:r>
      <w:r w:rsidR="001D65E1">
        <w:t>e</w:t>
      </w:r>
      <w:r w:rsidR="00E9128B">
        <w:t>s</w:t>
      </w:r>
      <w:r w:rsidR="001D65E1" w:rsidRPr="00FB0CCD">
        <w:t xml:space="preserve"> food products. </w:t>
      </w:r>
      <w:r w:rsidR="001D65E1">
        <w:t>T</w:t>
      </w:r>
      <w:r w:rsidR="001D65E1" w:rsidRPr="00FB0CCD">
        <w:t>he South</w:t>
      </w:r>
      <w:r w:rsidR="001D65E1">
        <w:t xml:space="preserve"> </w:t>
      </w:r>
      <w:r w:rsidR="001D65E1" w:rsidRPr="00FB0CCD">
        <w:t>is mostly engaged in services</w:t>
      </w:r>
      <w:r w:rsidR="001D65E1">
        <w:t>,</w:t>
      </w:r>
      <w:r w:rsidR="001D65E1" w:rsidRPr="00FB0CCD">
        <w:t xml:space="preserve"> with a small proportion of firms operating in industry.</w:t>
      </w:r>
      <w:r w:rsidR="001D65E1">
        <w:t xml:space="preserve"> </w:t>
      </w:r>
    </w:p>
    <w:p w14:paraId="107D7D59" w14:textId="6ABEC5DB" w:rsidR="001D65E1" w:rsidRDefault="001D65E1" w:rsidP="00D727BF">
      <w:pPr>
        <w:pStyle w:val="Caption"/>
        <w:keepNext/>
        <w:tabs>
          <w:tab w:val="left" w:pos="720"/>
        </w:tabs>
        <w:ind w:left="20" w:hanging="20"/>
        <w:jc w:val="center"/>
      </w:pPr>
      <w:bookmarkStart w:id="107" w:name="_Ref445131159"/>
      <w:bookmarkStart w:id="108" w:name="_Toc445449634"/>
      <w:r>
        <w:lastRenderedPageBreak/>
        <w:t xml:space="preserve">Figure </w:t>
      </w:r>
      <w:fldSimple w:instr=" SEQ Figure \* ARABIC ">
        <w:r w:rsidR="008A3BBD">
          <w:rPr>
            <w:noProof/>
          </w:rPr>
          <w:t>16</w:t>
        </w:r>
      </w:fldSimple>
      <w:bookmarkEnd w:id="107"/>
      <w:r>
        <w:t>: Proportion of NFEs by Sector, 2012</w:t>
      </w:r>
      <w:r w:rsidR="00E9128B">
        <w:rPr>
          <w:rFonts w:ascii="Calibri" w:hAnsi="Calibri"/>
        </w:rPr>
        <w:t>‒</w:t>
      </w:r>
      <w:r>
        <w:t>13</w:t>
      </w:r>
      <w:bookmarkEnd w:id="108"/>
    </w:p>
    <w:p w14:paraId="393E7774" w14:textId="77777777" w:rsidR="001D65E1" w:rsidRDefault="001D65E1" w:rsidP="00D727BF">
      <w:pPr>
        <w:tabs>
          <w:tab w:val="left" w:pos="720"/>
        </w:tabs>
        <w:spacing w:after="0"/>
        <w:ind w:left="20" w:hanging="20"/>
        <w:jc w:val="center"/>
        <w:rPr>
          <w:rFonts w:ascii="Trebuchet MS" w:hAnsi="Trebuchet MS"/>
          <w:sz w:val="18"/>
          <w:szCs w:val="18"/>
        </w:rPr>
      </w:pPr>
      <w:r w:rsidRPr="008E30FE">
        <w:rPr>
          <w:noProof/>
          <w:color w:val="FFFFFF" w:themeColor="background1"/>
        </w:rPr>
        <w:drawing>
          <wp:inline distT="0" distB="0" distL="0" distR="0" wp14:anchorId="40D57B92" wp14:editId="58F276D7">
            <wp:extent cx="5924550" cy="2457450"/>
            <wp:effectExtent l="0" t="0" r="0" b="0"/>
            <wp:docPr id="6153" name="Chart 6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7978DB" w14:textId="33B95413" w:rsidR="001D65E1" w:rsidRPr="001845F3" w:rsidRDefault="001D65E1" w:rsidP="00D727BF">
      <w:pPr>
        <w:pStyle w:val="ParagraphNumbering"/>
        <w:numPr>
          <w:ilvl w:val="0"/>
          <w:numId w:val="0"/>
        </w:numPr>
        <w:tabs>
          <w:tab w:val="left" w:pos="720"/>
        </w:tabs>
        <w:ind w:left="14"/>
        <w:rPr>
          <w:sz w:val="18"/>
          <w:szCs w:val="18"/>
        </w:rPr>
      </w:pPr>
      <w:r w:rsidRPr="001845F3">
        <w:rPr>
          <w:sz w:val="18"/>
          <w:szCs w:val="18"/>
        </w:rPr>
        <w:t>Source: Estimates based on GHS 2012</w:t>
      </w:r>
      <w:r w:rsidR="00E9128B">
        <w:rPr>
          <w:rFonts w:ascii="Calibri" w:hAnsi="Calibri"/>
          <w:sz w:val="18"/>
          <w:szCs w:val="18"/>
        </w:rPr>
        <w:t>‒</w:t>
      </w:r>
      <w:r w:rsidRPr="001845F3">
        <w:rPr>
          <w:sz w:val="18"/>
          <w:szCs w:val="18"/>
        </w:rPr>
        <w:t>13</w:t>
      </w:r>
    </w:p>
    <w:p w14:paraId="4B1E299F" w14:textId="19C25DDF" w:rsidR="001D65E1" w:rsidRPr="001845F3" w:rsidRDefault="001D65E1" w:rsidP="00D727BF">
      <w:pPr>
        <w:pStyle w:val="ParagraphNumbering"/>
        <w:numPr>
          <w:ilvl w:val="0"/>
          <w:numId w:val="0"/>
        </w:numPr>
        <w:tabs>
          <w:tab w:val="left" w:pos="720"/>
        </w:tabs>
        <w:spacing w:after="0"/>
        <w:rPr>
          <w:sz w:val="18"/>
          <w:szCs w:val="18"/>
        </w:rPr>
      </w:pPr>
      <w:r w:rsidRPr="001845F3">
        <w:rPr>
          <w:sz w:val="18"/>
          <w:szCs w:val="18"/>
        </w:rPr>
        <w:t xml:space="preserve">Note: Population-weighted proportion. </w:t>
      </w:r>
      <w:r w:rsidRPr="001845F3">
        <w:rPr>
          <w:i/>
          <w:sz w:val="18"/>
          <w:szCs w:val="18"/>
        </w:rPr>
        <w:t>Food</w:t>
      </w:r>
      <w:r w:rsidRPr="001845F3">
        <w:rPr>
          <w:sz w:val="18"/>
          <w:szCs w:val="18"/>
        </w:rPr>
        <w:t xml:space="preserve"> is composed of Food and Beverage</w:t>
      </w:r>
      <w:r w:rsidR="009F3400">
        <w:rPr>
          <w:sz w:val="18"/>
          <w:szCs w:val="18"/>
        </w:rPr>
        <w:t>;</w:t>
      </w:r>
      <w:r w:rsidRPr="001845F3">
        <w:rPr>
          <w:sz w:val="18"/>
          <w:szCs w:val="18"/>
        </w:rPr>
        <w:t xml:space="preserve"> </w:t>
      </w:r>
      <w:r w:rsidRPr="001845F3">
        <w:rPr>
          <w:i/>
          <w:sz w:val="18"/>
          <w:szCs w:val="18"/>
        </w:rPr>
        <w:t>Textile</w:t>
      </w:r>
      <w:r w:rsidRPr="001845F3">
        <w:rPr>
          <w:sz w:val="18"/>
          <w:szCs w:val="18"/>
        </w:rPr>
        <w:t xml:space="preserve"> of Textile, Wearing apparel</w:t>
      </w:r>
      <w:r w:rsidR="009F3400">
        <w:rPr>
          <w:sz w:val="18"/>
          <w:szCs w:val="18"/>
        </w:rPr>
        <w:t>,</w:t>
      </w:r>
      <w:r w:rsidRPr="001845F3">
        <w:rPr>
          <w:sz w:val="18"/>
          <w:szCs w:val="18"/>
        </w:rPr>
        <w:t xml:space="preserve"> and Leather</w:t>
      </w:r>
      <w:r w:rsidR="009F3400">
        <w:rPr>
          <w:sz w:val="18"/>
          <w:szCs w:val="18"/>
        </w:rPr>
        <w:t>;</w:t>
      </w:r>
      <w:r w:rsidRPr="001845F3">
        <w:rPr>
          <w:sz w:val="18"/>
          <w:szCs w:val="18"/>
        </w:rPr>
        <w:t xml:space="preserve"> </w:t>
      </w:r>
      <w:r w:rsidRPr="001845F3">
        <w:rPr>
          <w:i/>
          <w:sz w:val="18"/>
          <w:szCs w:val="18"/>
        </w:rPr>
        <w:t>Mining</w:t>
      </w:r>
      <w:r w:rsidRPr="001845F3">
        <w:rPr>
          <w:sz w:val="18"/>
          <w:szCs w:val="18"/>
        </w:rPr>
        <w:t xml:space="preserve"> of Mining of coal, Extraction of oil and gas, Mining of metal ores, Other Mining and quarrying</w:t>
      </w:r>
      <w:r w:rsidR="009F3400">
        <w:rPr>
          <w:sz w:val="18"/>
          <w:szCs w:val="18"/>
        </w:rPr>
        <w:t>,</w:t>
      </w:r>
      <w:r w:rsidRPr="001845F3">
        <w:rPr>
          <w:sz w:val="18"/>
          <w:szCs w:val="18"/>
        </w:rPr>
        <w:t xml:space="preserve"> and Mining support service activities</w:t>
      </w:r>
      <w:r w:rsidR="009F3400">
        <w:rPr>
          <w:sz w:val="18"/>
          <w:szCs w:val="18"/>
        </w:rPr>
        <w:t>;</w:t>
      </w:r>
      <w:r w:rsidRPr="001845F3">
        <w:rPr>
          <w:sz w:val="18"/>
          <w:szCs w:val="18"/>
        </w:rPr>
        <w:t xml:space="preserve"> </w:t>
      </w:r>
      <w:r w:rsidRPr="001845F3">
        <w:rPr>
          <w:i/>
          <w:sz w:val="18"/>
          <w:szCs w:val="18"/>
        </w:rPr>
        <w:t>Retail/Wholesale</w:t>
      </w:r>
      <w:r w:rsidRPr="001845F3">
        <w:rPr>
          <w:sz w:val="18"/>
          <w:szCs w:val="18"/>
        </w:rPr>
        <w:t xml:space="preserve"> of Whole and retail trade of motor vehicles, </w:t>
      </w:r>
      <w:r w:rsidR="00D92148">
        <w:rPr>
          <w:sz w:val="18"/>
          <w:szCs w:val="18"/>
        </w:rPr>
        <w:t>W</w:t>
      </w:r>
      <w:r w:rsidRPr="001845F3">
        <w:rPr>
          <w:sz w:val="18"/>
          <w:szCs w:val="18"/>
        </w:rPr>
        <w:t>holesale trade and retail trade</w:t>
      </w:r>
      <w:r w:rsidR="009F3400">
        <w:rPr>
          <w:sz w:val="18"/>
          <w:szCs w:val="18"/>
        </w:rPr>
        <w:t>;</w:t>
      </w:r>
      <w:r w:rsidRPr="001845F3">
        <w:rPr>
          <w:sz w:val="18"/>
          <w:szCs w:val="18"/>
        </w:rPr>
        <w:t xml:space="preserve"> </w:t>
      </w:r>
      <w:r w:rsidRPr="001845F3">
        <w:rPr>
          <w:i/>
          <w:sz w:val="18"/>
          <w:szCs w:val="18"/>
        </w:rPr>
        <w:t>Construction</w:t>
      </w:r>
      <w:r w:rsidRPr="001845F3">
        <w:rPr>
          <w:sz w:val="18"/>
          <w:szCs w:val="18"/>
        </w:rPr>
        <w:t xml:space="preserve"> of Construction of buildings, Civil engineering, Specialized construction activities, Architectural activities, Services to buildings and landscape</w:t>
      </w:r>
      <w:r w:rsidR="009F3400">
        <w:rPr>
          <w:sz w:val="18"/>
          <w:szCs w:val="18"/>
        </w:rPr>
        <w:t>;</w:t>
      </w:r>
      <w:r w:rsidRPr="001845F3">
        <w:rPr>
          <w:sz w:val="18"/>
          <w:szCs w:val="18"/>
        </w:rPr>
        <w:t xml:space="preserve"> </w:t>
      </w:r>
      <w:r w:rsidRPr="001845F3">
        <w:rPr>
          <w:i/>
          <w:sz w:val="18"/>
          <w:szCs w:val="18"/>
        </w:rPr>
        <w:t>Restaurants</w:t>
      </w:r>
      <w:r w:rsidRPr="001845F3">
        <w:rPr>
          <w:sz w:val="18"/>
          <w:szCs w:val="18"/>
        </w:rPr>
        <w:t xml:space="preserve"> of Hotels and </w:t>
      </w:r>
      <w:r w:rsidR="00D92148">
        <w:rPr>
          <w:sz w:val="18"/>
          <w:szCs w:val="18"/>
        </w:rPr>
        <w:t>r</w:t>
      </w:r>
      <w:r w:rsidRPr="001845F3">
        <w:rPr>
          <w:sz w:val="18"/>
          <w:szCs w:val="18"/>
        </w:rPr>
        <w:t xml:space="preserve">estaurants. </w:t>
      </w:r>
    </w:p>
    <w:p w14:paraId="5F2F9E37" w14:textId="77777777" w:rsidR="001D65E1" w:rsidRPr="000D7AFD" w:rsidRDefault="001D65E1" w:rsidP="00D727BF">
      <w:pPr>
        <w:tabs>
          <w:tab w:val="left" w:pos="720"/>
        </w:tabs>
        <w:spacing w:after="0"/>
        <w:rPr>
          <w:rStyle w:val="CaptionChar"/>
          <w:rFonts w:ascii="Times New Roman" w:hAnsi="Times New Roman"/>
          <w:b w:val="0"/>
          <w:bCs w:val="0"/>
          <w:sz w:val="24"/>
          <w:szCs w:val="24"/>
        </w:rPr>
      </w:pPr>
    </w:p>
    <w:p w14:paraId="6FA5068A" w14:textId="516F3427" w:rsidR="00C1250B" w:rsidRPr="001F543C" w:rsidRDefault="004E78E7" w:rsidP="00D727BF">
      <w:pPr>
        <w:pStyle w:val="ParagraphNumbering"/>
        <w:numPr>
          <w:ilvl w:val="0"/>
          <w:numId w:val="0"/>
        </w:numPr>
        <w:tabs>
          <w:tab w:val="left" w:pos="720"/>
        </w:tabs>
        <w:spacing w:after="240"/>
        <w:rPr>
          <w:sz w:val="20"/>
          <w:szCs w:val="20"/>
        </w:rPr>
      </w:pPr>
      <w:r>
        <w:rPr>
          <w:b/>
        </w:rPr>
        <w:tab/>
      </w:r>
      <w:r w:rsidR="00520A9E" w:rsidRPr="001D65E1">
        <w:rPr>
          <w:b/>
        </w:rPr>
        <w:t>Most of the NFEs do employ workers that are household member</w:t>
      </w:r>
      <w:r w:rsidR="001D65E1" w:rsidRPr="001D65E1">
        <w:rPr>
          <w:b/>
        </w:rPr>
        <w:t>s</w:t>
      </w:r>
      <w:r w:rsidR="00520A9E" w:rsidRPr="001D65E1">
        <w:rPr>
          <w:b/>
        </w:rPr>
        <w:t xml:space="preserve"> and are not registered.</w:t>
      </w:r>
      <w:r w:rsidR="00520A9E">
        <w:rPr>
          <w:b/>
        </w:rPr>
        <w:t xml:space="preserve"> </w:t>
      </w:r>
      <w:r w:rsidR="006254B6">
        <w:t xml:space="preserve">The </w:t>
      </w:r>
      <w:r w:rsidR="00106975">
        <w:t>household survey</w:t>
      </w:r>
      <w:r w:rsidR="000945D7">
        <w:t xml:space="preserve"> </w:t>
      </w:r>
      <w:r w:rsidR="006254B6">
        <w:t>indicates that o</w:t>
      </w:r>
      <w:r w:rsidR="0036409D">
        <w:t>nly 12</w:t>
      </w:r>
      <w:r w:rsidR="00C119FA">
        <w:t xml:space="preserve"> percent of NFEs </w:t>
      </w:r>
      <w:r w:rsidR="00520A9E">
        <w:t>hire workers and</w:t>
      </w:r>
      <w:r w:rsidR="001D65E1">
        <w:t>/or</w:t>
      </w:r>
      <w:r w:rsidR="00520A9E">
        <w:t xml:space="preserve"> are registered</w:t>
      </w:r>
      <w:r w:rsidR="009F3400">
        <w:t>—</w:t>
      </w:r>
      <w:r w:rsidR="0056518C">
        <w:t>which</w:t>
      </w:r>
      <w:r w:rsidR="000249C3">
        <w:t xml:space="preserve"> </w:t>
      </w:r>
      <w:r w:rsidR="001D6113">
        <w:t>we define</w:t>
      </w:r>
      <w:r w:rsidR="000249C3">
        <w:t xml:space="preserve"> </w:t>
      </w:r>
      <w:r w:rsidR="001D6113">
        <w:t xml:space="preserve">hereafter </w:t>
      </w:r>
      <w:r w:rsidR="000249C3">
        <w:t>as a Microenterprise (ME)</w:t>
      </w:r>
      <w:r w:rsidR="006254B6">
        <w:t xml:space="preserve">. </w:t>
      </w:r>
      <w:r w:rsidR="00A23A84">
        <w:fldChar w:fldCharType="begin"/>
      </w:r>
      <w:r w:rsidR="00A23A84">
        <w:instrText xml:space="preserve"> REF _Ref445131276 \h </w:instrText>
      </w:r>
      <w:r w:rsidR="00A23A84">
        <w:fldChar w:fldCharType="separate"/>
      </w:r>
      <w:r w:rsidR="008A3BBD">
        <w:t xml:space="preserve">Figure </w:t>
      </w:r>
      <w:r w:rsidR="008A3BBD">
        <w:rPr>
          <w:noProof/>
        </w:rPr>
        <w:t>17</w:t>
      </w:r>
      <w:r w:rsidR="00A23A84">
        <w:fldChar w:fldCharType="end"/>
      </w:r>
      <w:r w:rsidR="00A23A84">
        <w:t xml:space="preserve"> below </w:t>
      </w:r>
      <w:r w:rsidR="006254B6">
        <w:t xml:space="preserve">shows the distribution of these </w:t>
      </w:r>
      <w:r w:rsidR="001D6113">
        <w:t>MEs</w:t>
      </w:r>
      <w:r w:rsidR="006254B6">
        <w:t xml:space="preserve"> by zone. </w:t>
      </w:r>
      <w:r w:rsidR="00520A9E">
        <w:t>We expect that this subpopulation of firms will grow faster than the traditional</w:t>
      </w:r>
      <w:r w:rsidR="001D65E1">
        <w:t xml:space="preserve"> firms</w:t>
      </w:r>
      <w:r w:rsidR="000249C3">
        <w:t xml:space="preserve">, a dynamic that receives </w:t>
      </w:r>
      <w:r w:rsidR="00520A9E">
        <w:t xml:space="preserve">further </w:t>
      </w:r>
      <w:r w:rsidR="000249C3">
        <w:t xml:space="preserve">treatment </w:t>
      </w:r>
      <w:r w:rsidR="00520A9E">
        <w:t xml:space="preserve">in the next chapter. </w:t>
      </w:r>
    </w:p>
    <w:p w14:paraId="28F8DD03" w14:textId="3230AEE2" w:rsidR="006254B6" w:rsidRDefault="006254B6" w:rsidP="00D727BF">
      <w:pPr>
        <w:pStyle w:val="Caption"/>
        <w:keepNext/>
        <w:tabs>
          <w:tab w:val="left" w:pos="720"/>
        </w:tabs>
        <w:jc w:val="center"/>
      </w:pPr>
      <w:bookmarkStart w:id="109" w:name="_Ref429864240"/>
      <w:bookmarkStart w:id="110" w:name="_Ref445131276"/>
      <w:bookmarkStart w:id="111" w:name="_Toc445449635"/>
      <w:r>
        <w:t xml:space="preserve">Figure </w:t>
      </w:r>
      <w:fldSimple w:instr=" SEQ Figure \* ARABIC ">
        <w:r w:rsidR="008A3BBD">
          <w:rPr>
            <w:noProof/>
          </w:rPr>
          <w:t>17</w:t>
        </w:r>
      </w:fldSimple>
      <w:bookmarkEnd w:id="109"/>
      <w:bookmarkEnd w:id="110"/>
      <w:r>
        <w:t xml:space="preserve">: Distribution of </w:t>
      </w:r>
      <w:r w:rsidR="00520A9E">
        <w:t>Microenterprise</w:t>
      </w:r>
      <w:r>
        <w:t>s in 2012</w:t>
      </w:r>
      <w:r w:rsidR="003508FF">
        <w:rPr>
          <w:rFonts w:ascii="Calibri" w:hAnsi="Calibri"/>
        </w:rPr>
        <w:t>‒</w:t>
      </w:r>
      <w:r>
        <w:t xml:space="preserve">13, by </w:t>
      </w:r>
      <w:r w:rsidR="00C43761">
        <w:t>Zone</w:t>
      </w:r>
      <w:bookmarkEnd w:id="111"/>
    </w:p>
    <w:p w14:paraId="6E437FBF" w14:textId="77777777" w:rsidR="006254B6" w:rsidRDefault="008D1C07" w:rsidP="00D727BF">
      <w:pPr>
        <w:pStyle w:val="Caption"/>
        <w:keepNext/>
        <w:tabs>
          <w:tab w:val="left" w:pos="720"/>
        </w:tabs>
        <w:jc w:val="center"/>
      </w:pPr>
      <w:r>
        <w:rPr>
          <w:noProof/>
        </w:rPr>
        <w:drawing>
          <wp:inline distT="0" distB="0" distL="0" distR="0" wp14:anchorId="4A6A6CA4" wp14:editId="6FD6B4E1">
            <wp:extent cx="50673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88C36A" w14:textId="15892226" w:rsidR="006254B6" w:rsidRPr="001845F3" w:rsidRDefault="006254B6" w:rsidP="00D727BF">
      <w:pPr>
        <w:pStyle w:val="FootnoteText"/>
        <w:tabs>
          <w:tab w:val="left" w:pos="720"/>
        </w:tabs>
        <w:spacing w:before="60"/>
        <w:ind w:firstLine="720"/>
        <w:rPr>
          <w:rFonts w:ascii="Times New Roman" w:hAnsi="Times New Roman"/>
        </w:rPr>
      </w:pPr>
      <w:r w:rsidRPr="001845F3">
        <w:rPr>
          <w:rFonts w:ascii="Times New Roman" w:hAnsi="Times New Roman"/>
        </w:rPr>
        <w:t>Source: Estimates based on GHS 2012</w:t>
      </w:r>
      <w:r w:rsidR="003508FF">
        <w:rPr>
          <w:rFonts w:ascii="Calibri" w:hAnsi="Calibri"/>
        </w:rPr>
        <w:t>‒</w:t>
      </w:r>
      <w:r w:rsidRPr="001845F3">
        <w:rPr>
          <w:rFonts w:ascii="Times New Roman" w:hAnsi="Times New Roman"/>
        </w:rPr>
        <w:t>13</w:t>
      </w:r>
    </w:p>
    <w:p w14:paraId="0627D13B" w14:textId="66BC25B2" w:rsidR="001D65E1" w:rsidRPr="001D65E1" w:rsidRDefault="004E78E7" w:rsidP="00D727BF">
      <w:pPr>
        <w:pStyle w:val="ParagraphNumbering"/>
        <w:numPr>
          <w:ilvl w:val="0"/>
          <w:numId w:val="0"/>
        </w:numPr>
        <w:tabs>
          <w:tab w:val="left" w:pos="720"/>
        </w:tabs>
        <w:spacing w:after="240"/>
      </w:pPr>
      <w:r>
        <w:rPr>
          <w:b/>
        </w:rPr>
        <w:lastRenderedPageBreak/>
        <w:tab/>
      </w:r>
      <w:r w:rsidR="001D65E1">
        <w:rPr>
          <w:b/>
        </w:rPr>
        <w:t>Microenterprises (ME)</w:t>
      </w:r>
      <w:r w:rsidR="001D65E1" w:rsidRPr="001F543C">
        <w:rPr>
          <w:b/>
        </w:rPr>
        <w:t xml:space="preserve"> are more involved in construct</w:t>
      </w:r>
      <w:r w:rsidR="001D65E1" w:rsidRPr="00F86025">
        <w:rPr>
          <w:b/>
        </w:rPr>
        <w:t>ion</w:t>
      </w:r>
      <w:r w:rsidR="001D65E1">
        <w:rPr>
          <w:b/>
        </w:rPr>
        <w:t xml:space="preserve">, </w:t>
      </w:r>
      <w:r w:rsidR="001D65E1" w:rsidRPr="00F86025">
        <w:rPr>
          <w:b/>
        </w:rPr>
        <w:t>transportation</w:t>
      </w:r>
      <w:r w:rsidR="003508FF">
        <w:rPr>
          <w:b/>
        </w:rPr>
        <w:t>,</w:t>
      </w:r>
      <w:r w:rsidR="001D65E1" w:rsidRPr="00F86025">
        <w:rPr>
          <w:b/>
        </w:rPr>
        <w:t xml:space="preserve"> and personal services</w:t>
      </w:r>
      <w:r w:rsidR="001D65E1">
        <w:rPr>
          <w:b/>
        </w:rPr>
        <w:t>,</w:t>
      </w:r>
      <w:r w:rsidR="001D65E1" w:rsidRPr="00F86025">
        <w:rPr>
          <w:b/>
        </w:rPr>
        <w:t xml:space="preserve"> and less involved in trading</w:t>
      </w:r>
      <w:r w:rsidR="000249C3">
        <w:rPr>
          <w:b/>
        </w:rPr>
        <w:t>,</w:t>
      </w:r>
      <w:r w:rsidR="001D65E1" w:rsidRPr="00F86025">
        <w:rPr>
          <w:b/>
        </w:rPr>
        <w:t xml:space="preserve"> than </w:t>
      </w:r>
      <w:r w:rsidR="001D65E1">
        <w:rPr>
          <w:b/>
        </w:rPr>
        <w:t>traditional</w:t>
      </w:r>
      <w:r w:rsidR="001D65E1" w:rsidRPr="00F86025">
        <w:rPr>
          <w:b/>
        </w:rPr>
        <w:t xml:space="preserve"> NFEs</w:t>
      </w:r>
      <w:r w:rsidR="001D65E1">
        <w:rPr>
          <w:b/>
        </w:rPr>
        <w:t xml:space="preserve"> </w:t>
      </w:r>
      <w:r w:rsidR="001D65E1" w:rsidRPr="00585E07">
        <w:rPr>
          <w:b/>
        </w:rPr>
        <w:t>(</w:t>
      </w:r>
      <w:r w:rsidR="003508FF">
        <w:rPr>
          <w:b/>
        </w:rPr>
        <w:fldChar w:fldCharType="begin"/>
      </w:r>
      <w:r w:rsidR="003508FF">
        <w:rPr>
          <w:b/>
        </w:rPr>
        <w:instrText xml:space="preserve"> REF _Ref445131298 \h </w:instrText>
      </w:r>
      <w:r w:rsidR="003508FF">
        <w:rPr>
          <w:b/>
        </w:rPr>
      </w:r>
      <w:r w:rsidR="003508FF">
        <w:rPr>
          <w:b/>
        </w:rPr>
        <w:fldChar w:fldCharType="separate"/>
      </w:r>
      <w:r w:rsidR="003508FF">
        <w:t xml:space="preserve">figure </w:t>
      </w:r>
      <w:r w:rsidR="003508FF">
        <w:rPr>
          <w:noProof/>
        </w:rPr>
        <w:t>19</w:t>
      </w:r>
      <w:r w:rsidR="003508FF">
        <w:rPr>
          <w:b/>
        </w:rPr>
        <w:fldChar w:fldCharType="end"/>
      </w:r>
      <w:r w:rsidR="001D65E1" w:rsidRPr="00585E07">
        <w:rPr>
          <w:b/>
        </w:rPr>
        <w:t xml:space="preserve">). </w:t>
      </w:r>
      <w:r w:rsidR="000249C3" w:rsidRPr="000343E4">
        <w:t>Compared</w:t>
      </w:r>
      <w:r w:rsidR="000249C3">
        <w:rPr>
          <w:color w:val="000000" w:themeColor="text2"/>
        </w:rPr>
        <w:t xml:space="preserve"> with the larger NFE population, MEs tend to be </w:t>
      </w:r>
      <w:r w:rsidR="00A07C10">
        <w:rPr>
          <w:color w:val="000000" w:themeColor="text2"/>
        </w:rPr>
        <w:t xml:space="preserve">more </w:t>
      </w:r>
      <w:r w:rsidR="000249C3">
        <w:rPr>
          <w:color w:val="000000" w:themeColor="text2"/>
        </w:rPr>
        <w:t xml:space="preserve">focused </w:t>
      </w:r>
      <w:r w:rsidR="00A07C10">
        <w:rPr>
          <w:color w:val="000000" w:themeColor="text2"/>
        </w:rPr>
        <w:t>in construction and other services and less focused in retail and wholesale. Regional disparities for MEs are also more pronounced</w:t>
      </w:r>
      <w:r w:rsidR="001D65E1" w:rsidRPr="00F86025">
        <w:rPr>
          <w:color w:val="000000" w:themeColor="text2"/>
        </w:rPr>
        <w:t xml:space="preserve">. </w:t>
      </w:r>
      <w:r w:rsidR="00A07C10">
        <w:rPr>
          <w:color w:val="000000" w:themeColor="text2"/>
        </w:rPr>
        <w:t xml:space="preserve">While the </w:t>
      </w:r>
      <w:r w:rsidR="006F6842">
        <w:rPr>
          <w:color w:val="000000" w:themeColor="text2"/>
        </w:rPr>
        <w:t>South South</w:t>
      </w:r>
      <w:r w:rsidR="00A07C10">
        <w:rPr>
          <w:color w:val="000000" w:themeColor="text2"/>
        </w:rPr>
        <w:t xml:space="preserve"> region appears to attract a greater share of c</w:t>
      </w:r>
      <w:r w:rsidR="001D65E1" w:rsidRPr="00F86025">
        <w:rPr>
          <w:color w:val="000000" w:themeColor="text2"/>
        </w:rPr>
        <w:t xml:space="preserve">onstruction </w:t>
      </w:r>
      <w:r w:rsidR="00A07C10">
        <w:rPr>
          <w:color w:val="000000" w:themeColor="text2"/>
        </w:rPr>
        <w:t xml:space="preserve">MEs, the </w:t>
      </w:r>
      <w:r w:rsidR="006F6842">
        <w:rPr>
          <w:color w:val="000000" w:themeColor="text2"/>
        </w:rPr>
        <w:t>North East</w:t>
      </w:r>
      <w:r w:rsidR="00A07C10">
        <w:rPr>
          <w:color w:val="000000" w:themeColor="text2"/>
        </w:rPr>
        <w:t xml:space="preserve"> region receives a greater share of textile firms, which account for 13 percent of MEs in the region. </w:t>
      </w:r>
      <w:r w:rsidR="001D65E1" w:rsidRPr="00F86025">
        <w:rPr>
          <w:color w:val="000000" w:themeColor="text2"/>
        </w:rPr>
        <w:t>The YouWin program also indicate</w:t>
      </w:r>
      <w:r w:rsidR="00A07C10">
        <w:rPr>
          <w:color w:val="000000" w:themeColor="text2"/>
        </w:rPr>
        <w:t>s</w:t>
      </w:r>
      <w:r w:rsidR="001D65E1" w:rsidRPr="00F86025">
        <w:rPr>
          <w:color w:val="000000" w:themeColor="text2"/>
        </w:rPr>
        <w:t xml:space="preserve"> that five sectors dominate: Food and Drinks (9.8 percent of the applications), IT and </w:t>
      </w:r>
      <w:r w:rsidR="003508FF">
        <w:rPr>
          <w:color w:val="000000" w:themeColor="text2"/>
        </w:rPr>
        <w:t>T</w:t>
      </w:r>
      <w:r w:rsidR="001D65E1" w:rsidRPr="00F86025">
        <w:rPr>
          <w:color w:val="000000" w:themeColor="text2"/>
        </w:rPr>
        <w:t>elecommunication</w:t>
      </w:r>
      <w:r w:rsidR="003508FF">
        <w:rPr>
          <w:color w:val="000000" w:themeColor="text2"/>
        </w:rPr>
        <w:t>s</w:t>
      </w:r>
      <w:r w:rsidR="001D65E1" w:rsidRPr="00F86025">
        <w:rPr>
          <w:color w:val="000000" w:themeColor="text2"/>
        </w:rPr>
        <w:t xml:space="preserve"> (9.4 percent), Clothing and </w:t>
      </w:r>
      <w:r w:rsidR="003508FF">
        <w:rPr>
          <w:color w:val="000000" w:themeColor="text2"/>
        </w:rPr>
        <w:t>S</w:t>
      </w:r>
      <w:r w:rsidR="003508FF" w:rsidRPr="00F86025">
        <w:rPr>
          <w:color w:val="000000" w:themeColor="text2"/>
        </w:rPr>
        <w:t xml:space="preserve">hoes </w:t>
      </w:r>
      <w:r w:rsidR="001D65E1" w:rsidRPr="00F86025">
        <w:rPr>
          <w:color w:val="000000" w:themeColor="text2"/>
        </w:rPr>
        <w:t>(9.3 percent), Education (8.8 percent)</w:t>
      </w:r>
      <w:r w:rsidR="003508FF">
        <w:rPr>
          <w:color w:val="000000" w:themeColor="text2"/>
        </w:rPr>
        <w:t>,</w:t>
      </w:r>
      <w:r w:rsidR="001D65E1" w:rsidRPr="00F86025">
        <w:rPr>
          <w:color w:val="000000" w:themeColor="text2"/>
        </w:rPr>
        <w:t xml:space="preserve"> and Food and </w:t>
      </w:r>
      <w:r w:rsidR="003508FF">
        <w:rPr>
          <w:color w:val="000000" w:themeColor="text2"/>
        </w:rPr>
        <w:t>R</w:t>
      </w:r>
      <w:r w:rsidR="001D65E1" w:rsidRPr="00F86025">
        <w:rPr>
          <w:color w:val="000000" w:themeColor="text2"/>
        </w:rPr>
        <w:t>estaurant</w:t>
      </w:r>
      <w:r w:rsidR="003508FF">
        <w:rPr>
          <w:color w:val="000000" w:themeColor="text2"/>
        </w:rPr>
        <w:t>s</w:t>
      </w:r>
      <w:r w:rsidR="001D65E1" w:rsidRPr="00F86025">
        <w:rPr>
          <w:color w:val="000000" w:themeColor="text2"/>
        </w:rPr>
        <w:t xml:space="preserve"> (8.2 percent).</w:t>
      </w:r>
    </w:p>
    <w:p w14:paraId="3ECBF505" w14:textId="197E0929" w:rsidR="001D65E1" w:rsidRPr="001D65E1" w:rsidRDefault="001D65E1" w:rsidP="00D727BF">
      <w:pPr>
        <w:pStyle w:val="ListParagraph"/>
        <w:tabs>
          <w:tab w:val="left" w:pos="720"/>
        </w:tabs>
        <w:spacing w:after="0"/>
        <w:ind w:left="360"/>
        <w:jc w:val="center"/>
        <w:rPr>
          <w:rFonts w:ascii="Trebuchet MS" w:hAnsi="Trebuchet MS"/>
          <w:sz w:val="20"/>
          <w:szCs w:val="20"/>
        </w:rPr>
      </w:pPr>
      <w:bookmarkStart w:id="112" w:name="_Toc445449636"/>
      <w:r w:rsidRPr="008E30FE">
        <w:rPr>
          <w:rStyle w:val="CaptionChar"/>
        </w:rPr>
        <w:t xml:space="preserve">Figure </w:t>
      </w:r>
      <w:r w:rsidR="00D92B55">
        <w:rPr>
          <w:rStyle w:val="CaptionChar"/>
        </w:rPr>
        <w:fldChar w:fldCharType="begin"/>
      </w:r>
      <w:r w:rsidR="00D92B55">
        <w:rPr>
          <w:rStyle w:val="CaptionChar"/>
        </w:rPr>
        <w:instrText xml:space="preserve"> SEQ Figure \* ARABIC </w:instrText>
      </w:r>
      <w:r w:rsidR="00D92B55">
        <w:rPr>
          <w:rStyle w:val="CaptionChar"/>
        </w:rPr>
        <w:fldChar w:fldCharType="separate"/>
      </w:r>
      <w:r w:rsidR="008A3BBD">
        <w:rPr>
          <w:rStyle w:val="CaptionChar"/>
          <w:noProof/>
        </w:rPr>
        <w:t>18</w:t>
      </w:r>
      <w:r w:rsidR="00D92B55">
        <w:rPr>
          <w:rStyle w:val="CaptionChar"/>
        </w:rPr>
        <w:fldChar w:fldCharType="end"/>
      </w:r>
      <w:r w:rsidRPr="008E30FE">
        <w:rPr>
          <w:rStyle w:val="CaptionChar"/>
        </w:rPr>
        <w:t xml:space="preserve">: Proportion of </w:t>
      </w:r>
      <w:r>
        <w:rPr>
          <w:rStyle w:val="CaptionChar"/>
        </w:rPr>
        <w:t>Microenterprises</w:t>
      </w:r>
      <w:r w:rsidRPr="008E30FE">
        <w:rPr>
          <w:rStyle w:val="CaptionChar"/>
        </w:rPr>
        <w:t xml:space="preserve"> by </w:t>
      </w:r>
      <w:r>
        <w:rPr>
          <w:rStyle w:val="CaptionChar"/>
        </w:rPr>
        <w:t>S</w:t>
      </w:r>
      <w:r w:rsidRPr="008E30FE">
        <w:rPr>
          <w:rStyle w:val="CaptionChar"/>
        </w:rPr>
        <w:t>ector</w:t>
      </w:r>
      <w:r>
        <w:rPr>
          <w:rStyle w:val="CaptionChar"/>
        </w:rPr>
        <w:t>, 2012</w:t>
      </w:r>
      <w:r w:rsidR="00A23A84">
        <w:rPr>
          <w:rStyle w:val="CaptionChar"/>
        </w:rPr>
        <w:t>-</w:t>
      </w:r>
      <w:r>
        <w:rPr>
          <w:rStyle w:val="CaptionChar"/>
        </w:rPr>
        <w:t>13</w:t>
      </w:r>
      <w:bookmarkEnd w:id="112"/>
    </w:p>
    <w:p w14:paraId="31838647" w14:textId="77777777" w:rsidR="001D65E1" w:rsidRDefault="001D65E1" w:rsidP="00D727BF">
      <w:pPr>
        <w:tabs>
          <w:tab w:val="left" w:pos="720"/>
        </w:tabs>
        <w:jc w:val="center"/>
      </w:pPr>
      <w:r w:rsidRPr="008E30FE">
        <w:rPr>
          <w:noProof/>
          <w:shd w:val="clear" w:color="auto" w:fill="128F9C" w:themeFill="accent6"/>
        </w:rPr>
        <w:drawing>
          <wp:inline distT="0" distB="0" distL="0" distR="0" wp14:anchorId="5FDE8085" wp14:editId="75F549BA">
            <wp:extent cx="5591176" cy="2786063"/>
            <wp:effectExtent l="0" t="0" r="9525" b="14605"/>
            <wp:docPr id="6154" name="Chart 6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EB5FED" w14:textId="033E97F8" w:rsidR="001D65E1" w:rsidRPr="001845F3" w:rsidRDefault="001D65E1" w:rsidP="00D727BF">
      <w:pPr>
        <w:pStyle w:val="FootnoteText"/>
        <w:tabs>
          <w:tab w:val="left" w:pos="720"/>
        </w:tabs>
        <w:spacing w:after="0"/>
        <w:rPr>
          <w:rFonts w:ascii="Times New Roman" w:hAnsi="Times New Roman"/>
        </w:rPr>
      </w:pPr>
      <w:r w:rsidRPr="001845F3">
        <w:rPr>
          <w:rFonts w:ascii="Times New Roman" w:hAnsi="Times New Roman"/>
        </w:rPr>
        <w:t>Source: Estimates based on GHS 2012</w:t>
      </w:r>
      <w:r w:rsidR="003508FF">
        <w:rPr>
          <w:rFonts w:ascii="Calibri" w:hAnsi="Calibri"/>
        </w:rPr>
        <w:t>‒</w:t>
      </w:r>
      <w:r w:rsidRPr="001845F3">
        <w:rPr>
          <w:rFonts w:ascii="Times New Roman" w:hAnsi="Times New Roman"/>
        </w:rPr>
        <w:t>13</w:t>
      </w:r>
    </w:p>
    <w:p w14:paraId="4FBD8B41" w14:textId="77777777" w:rsidR="005D36C9" w:rsidRPr="001845F3" w:rsidRDefault="005D36C9" w:rsidP="00D727BF">
      <w:pPr>
        <w:pStyle w:val="FootnoteText"/>
        <w:tabs>
          <w:tab w:val="left" w:pos="720"/>
        </w:tabs>
        <w:spacing w:after="0"/>
        <w:rPr>
          <w:rFonts w:ascii="Times New Roman" w:hAnsi="Times New Roman"/>
          <w:sz w:val="24"/>
          <w:szCs w:val="24"/>
        </w:rPr>
      </w:pPr>
    </w:p>
    <w:p w14:paraId="35941CF9" w14:textId="332F9E53" w:rsidR="005D36C9" w:rsidRDefault="004E78E7" w:rsidP="00D727BF">
      <w:pPr>
        <w:pStyle w:val="ParagraphNumbering"/>
        <w:numPr>
          <w:ilvl w:val="0"/>
          <w:numId w:val="0"/>
        </w:numPr>
        <w:tabs>
          <w:tab w:val="left" w:pos="720"/>
        </w:tabs>
      </w:pPr>
      <w:r>
        <w:rPr>
          <w:b/>
        </w:rPr>
        <w:tab/>
      </w:r>
      <w:r w:rsidR="005D36C9" w:rsidRPr="000F6A00">
        <w:rPr>
          <w:b/>
        </w:rPr>
        <w:t>The distribution of the applicants to the YouWin program gives an estimation of the density of entrepreneurs in the various states and geopolitical zones</w:t>
      </w:r>
      <w:r w:rsidR="00B34E31" w:rsidRPr="00B34E31">
        <w:rPr>
          <w:b/>
        </w:rPr>
        <w:t xml:space="preserve"> </w:t>
      </w:r>
      <w:r w:rsidR="00B34E31" w:rsidRPr="00585E07">
        <w:t>(</w:t>
      </w:r>
      <w:r w:rsidR="003508FF">
        <w:fldChar w:fldCharType="begin"/>
      </w:r>
      <w:r w:rsidR="003508FF">
        <w:instrText xml:space="preserve"> REF _Ref445131298 \h </w:instrText>
      </w:r>
      <w:r w:rsidR="003508FF">
        <w:fldChar w:fldCharType="separate"/>
      </w:r>
      <w:r w:rsidR="003508FF">
        <w:t xml:space="preserve">figure </w:t>
      </w:r>
      <w:r w:rsidR="003508FF">
        <w:rPr>
          <w:noProof/>
        </w:rPr>
        <w:t>19</w:t>
      </w:r>
      <w:r w:rsidR="003508FF">
        <w:fldChar w:fldCharType="end"/>
      </w:r>
      <w:r w:rsidR="00B34E31" w:rsidRPr="00585E07">
        <w:t>).</w:t>
      </w:r>
      <w:r w:rsidR="00B34E31" w:rsidRPr="003D5DD2">
        <w:rPr>
          <w:b/>
        </w:rPr>
        <w:t xml:space="preserve"> </w:t>
      </w:r>
      <w:r w:rsidR="00A07C10">
        <w:t xml:space="preserve">Of the total number of applications to the YouWin program, the greatest share came from the </w:t>
      </w:r>
      <w:r w:rsidR="006F6842">
        <w:t>South West zone</w:t>
      </w:r>
      <w:r w:rsidR="00A07C10">
        <w:t xml:space="preserve">, primarily driven by Lagos. </w:t>
      </w:r>
      <w:r w:rsidR="005D36C9" w:rsidRPr="00BF1C17">
        <w:t xml:space="preserve">The </w:t>
      </w:r>
      <w:r w:rsidR="00A07C10">
        <w:t xml:space="preserve">next </w:t>
      </w:r>
      <w:r w:rsidR="005D36C9" w:rsidRPr="00BF1C17">
        <w:t xml:space="preserve">highest </w:t>
      </w:r>
      <w:r w:rsidR="00A07C10">
        <w:t xml:space="preserve">share </w:t>
      </w:r>
      <w:r w:rsidR="003508FF">
        <w:t>was</w:t>
      </w:r>
      <w:r w:rsidR="003508FF" w:rsidRPr="00BF1C17">
        <w:t xml:space="preserve"> </w:t>
      </w:r>
      <w:r w:rsidR="005D36C9" w:rsidRPr="00BF1C17">
        <w:t xml:space="preserve">found in the </w:t>
      </w:r>
      <w:r w:rsidR="006F6842">
        <w:t>North Central</w:t>
      </w:r>
      <w:r w:rsidR="005D36C9" w:rsidRPr="00BF1C17">
        <w:t xml:space="preserve"> zone, </w:t>
      </w:r>
      <w:r w:rsidR="00A07C10">
        <w:t>primarily driven by applications from Abuja</w:t>
      </w:r>
      <w:r w:rsidR="005D36C9">
        <w:t xml:space="preserve">. In the </w:t>
      </w:r>
      <w:r w:rsidR="006F6842">
        <w:t>North West zone</w:t>
      </w:r>
      <w:r w:rsidR="005D36C9">
        <w:t xml:space="preserve">, almost all </w:t>
      </w:r>
      <w:r w:rsidR="009C3619">
        <w:t xml:space="preserve">applications came from </w:t>
      </w:r>
      <w:r w:rsidR="005D36C9">
        <w:t>Kano State and Kaduna State, suggesting that the private sector is concentrated in these two states. The three other zones (</w:t>
      </w:r>
      <w:r w:rsidR="006F6842">
        <w:t>South South</w:t>
      </w:r>
      <w:r w:rsidR="005D36C9">
        <w:t xml:space="preserve">, </w:t>
      </w:r>
      <w:r w:rsidR="006F6842">
        <w:t>South East</w:t>
      </w:r>
      <w:r w:rsidR="003508FF">
        <w:t>,</w:t>
      </w:r>
      <w:r w:rsidR="005D36C9">
        <w:t xml:space="preserve"> and </w:t>
      </w:r>
      <w:r w:rsidR="006F6842">
        <w:t>North East</w:t>
      </w:r>
      <w:r w:rsidR="005D36C9">
        <w:t xml:space="preserve">) </w:t>
      </w:r>
      <w:r w:rsidR="009C3619">
        <w:t xml:space="preserve">each </w:t>
      </w:r>
      <w:r w:rsidR="005D36C9">
        <w:t xml:space="preserve">account for 12 to 15 percent of the applications. </w:t>
      </w:r>
      <w:r w:rsidR="009C3619">
        <w:t xml:space="preserve">The patterns highlighted by the distribution of YouWin applications align well with the patterns present in the </w:t>
      </w:r>
      <w:r w:rsidR="00106975">
        <w:t>household survey</w:t>
      </w:r>
      <w:r w:rsidR="009C3619">
        <w:t xml:space="preserve"> data on MEs</w:t>
      </w:r>
      <w:r w:rsidR="001D7698">
        <w:t>.</w:t>
      </w:r>
    </w:p>
    <w:p w14:paraId="0E284691" w14:textId="44D9A2CE" w:rsidR="008F4603" w:rsidRDefault="008F4603" w:rsidP="00D727BF">
      <w:pPr>
        <w:pStyle w:val="Caption"/>
        <w:keepNext/>
        <w:tabs>
          <w:tab w:val="left" w:pos="720"/>
        </w:tabs>
        <w:jc w:val="center"/>
      </w:pPr>
      <w:bookmarkStart w:id="113" w:name="_Ref431669260"/>
      <w:bookmarkStart w:id="114" w:name="_Ref445131298"/>
      <w:bookmarkStart w:id="115" w:name="_Toc445449637"/>
      <w:r>
        <w:lastRenderedPageBreak/>
        <w:t xml:space="preserve">Figure </w:t>
      </w:r>
      <w:fldSimple w:instr=" SEQ Figure \* ARABIC ">
        <w:r w:rsidR="008A3BBD">
          <w:rPr>
            <w:noProof/>
          </w:rPr>
          <w:t>19</w:t>
        </w:r>
      </w:fldSimple>
      <w:bookmarkEnd w:id="103"/>
      <w:bookmarkEnd w:id="113"/>
      <w:bookmarkEnd w:id="114"/>
      <w:r>
        <w:t xml:space="preserve">: </w:t>
      </w:r>
      <w:r w:rsidR="006254B6">
        <w:t>Distribution</w:t>
      </w:r>
      <w:r>
        <w:t xml:space="preserve"> of </w:t>
      </w:r>
      <w:r w:rsidR="00E509E4">
        <w:t xml:space="preserve">Applicants </w:t>
      </w:r>
      <w:r>
        <w:t xml:space="preserve">to Round </w:t>
      </w:r>
      <w:r w:rsidR="003508FF">
        <w:t xml:space="preserve">Three </w:t>
      </w:r>
      <w:r>
        <w:t>of YouWin</w:t>
      </w:r>
      <w:r w:rsidR="00E509E4">
        <w:t>,</w:t>
      </w:r>
      <w:r>
        <w:t xml:space="preserve"> by </w:t>
      </w:r>
      <w:r w:rsidR="00E509E4">
        <w:t>Zone</w:t>
      </w:r>
      <w:bookmarkEnd w:id="115"/>
    </w:p>
    <w:p w14:paraId="3A27CE71" w14:textId="77777777" w:rsidR="008F4603" w:rsidRDefault="008F4603" w:rsidP="00D727BF">
      <w:pPr>
        <w:pStyle w:val="ParagraphNumbering"/>
        <w:numPr>
          <w:ilvl w:val="0"/>
          <w:numId w:val="0"/>
        </w:numPr>
        <w:tabs>
          <w:tab w:val="left" w:pos="720"/>
        </w:tabs>
        <w:spacing w:after="0"/>
        <w:jc w:val="center"/>
        <w:rPr>
          <w:rFonts w:ascii="Trebuchet MS" w:hAnsi="Trebuchet MS"/>
          <w:sz w:val="18"/>
          <w:szCs w:val="18"/>
        </w:rPr>
      </w:pPr>
      <w:r>
        <w:rPr>
          <w:noProof/>
        </w:rPr>
        <w:drawing>
          <wp:inline distT="0" distB="0" distL="0" distR="0" wp14:anchorId="1AE60BC2" wp14:editId="065DDA3C">
            <wp:extent cx="5162550" cy="31432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6C8082" w14:textId="6C478BB4" w:rsidR="00500388" w:rsidRPr="001845F3" w:rsidRDefault="008F4603" w:rsidP="00D727BF">
      <w:pPr>
        <w:pStyle w:val="FootnoteText"/>
        <w:tabs>
          <w:tab w:val="left" w:pos="720"/>
        </w:tabs>
        <w:ind w:firstLine="691"/>
        <w:rPr>
          <w:rFonts w:ascii="Times New Roman" w:hAnsi="Times New Roman"/>
        </w:rPr>
      </w:pPr>
      <w:r w:rsidRPr="001845F3">
        <w:rPr>
          <w:rFonts w:ascii="Times New Roman" w:hAnsi="Times New Roman"/>
        </w:rPr>
        <w:t>Source: YouWin program</w:t>
      </w:r>
    </w:p>
    <w:p w14:paraId="419922AD" w14:textId="0FC7748D" w:rsidR="001552C6" w:rsidRDefault="008F4603" w:rsidP="00D727BF">
      <w:pPr>
        <w:pStyle w:val="FootnoteText"/>
        <w:tabs>
          <w:tab w:val="left" w:pos="720"/>
        </w:tabs>
        <w:spacing w:after="0"/>
        <w:ind w:firstLine="691"/>
        <w:rPr>
          <w:rFonts w:ascii="Times New Roman" w:hAnsi="Times New Roman"/>
        </w:rPr>
      </w:pPr>
      <w:r w:rsidRPr="001845F3">
        <w:rPr>
          <w:rFonts w:ascii="Times New Roman" w:hAnsi="Times New Roman"/>
        </w:rPr>
        <w:t>Note: Excludes crop farming and animal farming</w:t>
      </w:r>
    </w:p>
    <w:p w14:paraId="2780CB67" w14:textId="77777777" w:rsidR="001552C6" w:rsidRDefault="001552C6" w:rsidP="00D727BF">
      <w:pPr>
        <w:pStyle w:val="FootnoteText"/>
        <w:tabs>
          <w:tab w:val="left" w:pos="720"/>
        </w:tabs>
        <w:spacing w:after="0"/>
        <w:ind w:firstLine="691"/>
        <w:rPr>
          <w:rFonts w:ascii="Times New Roman" w:hAnsi="Times New Roman"/>
        </w:rPr>
      </w:pPr>
    </w:p>
    <w:p w14:paraId="1CD84B47" w14:textId="77777777" w:rsidR="004E78E7" w:rsidRDefault="004E78E7" w:rsidP="004E78E7">
      <w:pPr>
        <w:pStyle w:val="Heading3"/>
        <w:numPr>
          <w:ilvl w:val="0"/>
          <w:numId w:val="0"/>
        </w:numPr>
        <w:tabs>
          <w:tab w:val="left" w:pos="720"/>
        </w:tabs>
        <w:jc w:val="center"/>
        <w:rPr>
          <w:rFonts w:ascii="Times New Roman"/>
        </w:rPr>
      </w:pPr>
    </w:p>
    <w:p w14:paraId="4257953B" w14:textId="57E8E64F" w:rsidR="00DE7EC3" w:rsidRDefault="001552C6" w:rsidP="00D727BF">
      <w:pPr>
        <w:pStyle w:val="Heading3"/>
        <w:numPr>
          <w:ilvl w:val="0"/>
          <w:numId w:val="0"/>
        </w:numPr>
        <w:tabs>
          <w:tab w:val="left" w:pos="720"/>
        </w:tabs>
        <w:jc w:val="center"/>
      </w:pPr>
      <w:r>
        <w:rPr>
          <w:rFonts w:ascii="Times New Roman"/>
        </w:rPr>
        <w:t>T</w:t>
      </w:r>
      <w:r w:rsidR="001D65E1">
        <w:t>he formal sector</w:t>
      </w:r>
    </w:p>
    <w:p w14:paraId="7482979E" w14:textId="45F4F425" w:rsidR="009D737A" w:rsidRDefault="004E78E7" w:rsidP="00D727BF">
      <w:pPr>
        <w:pStyle w:val="ParagraphNumbering"/>
        <w:numPr>
          <w:ilvl w:val="0"/>
          <w:numId w:val="0"/>
        </w:numPr>
        <w:tabs>
          <w:tab w:val="left" w:pos="720"/>
        </w:tabs>
        <w:spacing w:after="240"/>
      </w:pPr>
      <w:r>
        <w:rPr>
          <w:b/>
        </w:rPr>
        <w:tab/>
      </w:r>
      <w:r w:rsidR="009D737A" w:rsidRPr="000343E4">
        <w:rPr>
          <w:b/>
        </w:rPr>
        <w:t>The contribution of the formal sector to employment is limited by the very small number of firms, particularly in Nigeria</w:t>
      </w:r>
      <w:r w:rsidR="00863D16">
        <w:rPr>
          <w:b/>
        </w:rPr>
        <w:t>’</w:t>
      </w:r>
      <w:r w:rsidR="009D737A" w:rsidRPr="000343E4">
        <w:rPr>
          <w:b/>
        </w:rPr>
        <w:t>s poorest regions</w:t>
      </w:r>
      <w:r w:rsidR="009D737A" w:rsidRPr="009D737A">
        <w:t>.</w:t>
      </w:r>
      <w:r w:rsidR="009D737A">
        <w:t xml:space="preserve"> According to the National Bureau of Statistics and other local registries, about </w:t>
      </w:r>
      <w:r w:rsidR="003508FF">
        <w:t>twenty-eight thousand</w:t>
      </w:r>
      <w:r w:rsidR="009D737A">
        <w:t xml:space="preserve"> small, medium</w:t>
      </w:r>
      <w:r w:rsidR="003508FF">
        <w:t>,</w:t>
      </w:r>
      <w:r w:rsidR="009D737A">
        <w:t xml:space="preserve"> and large formal firms only operate within the top </w:t>
      </w:r>
      <w:r w:rsidR="003508FF">
        <w:t xml:space="preserve">nineteen </w:t>
      </w:r>
      <w:r w:rsidR="009D737A">
        <w:t>states in terms of private sector development (</w:t>
      </w:r>
      <w:r w:rsidR="003508FF">
        <w:fldChar w:fldCharType="begin"/>
      </w:r>
      <w:r w:rsidR="003508FF">
        <w:instrText xml:space="preserve"> REF _Ref445131337 \h </w:instrText>
      </w:r>
      <w:r w:rsidR="003508FF">
        <w:fldChar w:fldCharType="separate"/>
      </w:r>
      <w:r w:rsidR="003508FF">
        <w:t xml:space="preserve">figure </w:t>
      </w:r>
      <w:r w:rsidR="003508FF">
        <w:rPr>
          <w:noProof/>
        </w:rPr>
        <w:t>20</w:t>
      </w:r>
      <w:r w:rsidR="003508FF">
        <w:fldChar w:fldCharType="end"/>
      </w:r>
      <w:r w:rsidR="009D737A">
        <w:t xml:space="preserve">). As shown in </w:t>
      </w:r>
      <w:r w:rsidR="003508FF">
        <w:fldChar w:fldCharType="begin"/>
      </w:r>
      <w:r w:rsidR="003508FF">
        <w:instrText xml:space="preserve"> REF _Ref440910296 \h </w:instrText>
      </w:r>
      <w:r w:rsidR="003508FF">
        <w:fldChar w:fldCharType="separate"/>
      </w:r>
      <w:r w:rsidR="003508FF">
        <w:t xml:space="preserve">figure </w:t>
      </w:r>
      <w:r w:rsidR="003508FF">
        <w:rPr>
          <w:noProof/>
        </w:rPr>
        <w:t>3</w:t>
      </w:r>
      <w:r w:rsidR="003508FF">
        <w:fldChar w:fldCharType="end"/>
      </w:r>
      <w:r w:rsidR="009D737A">
        <w:t>, the majority of the formal firms are located in Lagos, Oyo</w:t>
      </w:r>
      <w:r w:rsidR="003508FF">
        <w:t>,</w:t>
      </w:r>
      <w:r w:rsidR="009D737A">
        <w:t xml:space="preserve"> and</w:t>
      </w:r>
      <w:r w:rsidR="003508FF">
        <w:t>,</w:t>
      </w:r>
      <w:r w:rsidR="009D737A">
        <w:t xml:space="preserve"> to a lesser extent</w:t>
      </w:r>
      <w:r w:rsidR="003508FF">
        <w:t>,</w:t>
      </w:r>
      <w:r w:rsidR="009D737A">
        <w:t xml:space="preserve"> in Kano, Kaduna</w:t>
      </w:r>
      <w:r w:rsidR="003508FF">
        <w:t>,</w:t>
      </w:r>
      <w:r w:rsidR="009D737A">
        <w:t xml:space="preserve"> and Zamfara </w:t>
      </w:r>
      <w:r w:rsidR="003508FF">
        <w:t>s</w:t>
      </w:r>
      <w:r w:rsidR="009D737A">
        <w:t>tates.</w:t>
      </w:r>
    </w:p>
    <w:p w14:paraId="3295B2F3" w14:textId="754676BA" w:rsidR="004E78E7" w:rsidRDefault="004E78E7" w:rsidP="004E78E7">
      <w:pPr>
        <w:pStyle w:val="ParagraphNumbering"/>
        <w:numPr>
          <w:ilvl w:val="0"/>
          <w:numId w:val="0"/>
        </w:numPr>
        <w:tabs>
          <w:tab w:val="left" w:pos="720"/>
        </w:tabs>
        <w:spacing w:after="240"/>
      </w:pPr>
    </w:p>
    <w:p w14:paraId="2B45AB58" w14:textId="01170024" w:rsidR="004E78E7" w:rsidRDefault="004E78E7">
      <w:pPr>
        <w:rPr>
          <w:rFonts w:eastAsia="Times New Roman" w:cs="Times New Roman"/>
          <w:bCs/>
          <w:szCs w:val="24"/>
        </w:rPr>
      </w:pPr>
      <w:r>
        <w:br w:type="page"/>
      </w:r>
    </w:p>
    <w:p w14:paraId="789B2654" w14:textId="38B5831F" w:rsidR="009D737A" w:rsidRDefault="009D737A" w:rsidP="00D727BF">
      <w:pPr>
        <w:pStyle w:val="Caption"/>
        <w:tabs>
          <w:tab w:val="left" w:pos="720"/>
        </w:tabs>
        <w:jc w:val="center"/>
      </w:pPr>
      <w:bookmarkStart w:id="116" w:name="_Ref445131337"/>
      <w:bookmarkStart w:id="117" w:name="_Toc445449638"/>
      <w:r>
        <w:lastRenderedPageBreak/>
        <w:t xml:space="preserve">Figure </w:t>
      </w:r>
      <w:fldSimple w:instr=" SEQ Figure \* ARABIC ">
        <w:r w:rsidR="008A3BBD">
          <w:rPr>
            <w:noProof/>
          </w:rPr>
          <w:t>20</w:t>
        </w:r>
      </w:fldSimple>
      <w:bookmarkEnd w:id="116"/>
      <w:r>
        <w:t xml:space="preserve">: Number of </w:t>
      </w:r>
      <w:r w:rsidR="003508FF">
        <w:t>F</w:t>
      </w:r>
      <w:r>
        <w:t xml:space="preserve">ormal </w:t>
      </w:r>
      <w:r w:rsidR="003508FF">
        <w:t>F</w:t>
      </w:r>
      <w:r>
        <w:t xml:space="preserve">irms in the Nigerian </w:t>
      </w:r>
      <w:r w:rsidR="003508FF">
        <w:t>S</w:t>
      </w:r>
      <w:r>
        <w:t>tates</w:t>
      </w:r>
      <w:r w:rsidR="003508FF">
        <w:t>,</w:t>
      </w:r>
      <w:r>
        <w:t xml:space="preserve"> 2014</w:t>
      </w:r>
      <w:bookmarkEnd w:id="117"/>
    </w:p>
    <w:p w14:paraId="731A53C8" w14:textId="0947CC74" w:rsidR="009D737A" w:rsidRDefault="00AD50AE" w:rsidP="00D727BF">
      <w:pPr>
        <w:pStyle w:val="ParagraphNumbering"/>
        <w:numPr>
          <w:ilvl w:val="0"/>
          <w:numId w:val="0"/>
        </w:numPr>
        <w:tabs>
          <w:tab w:val="left" w:pos="720"/>
        </w:tabs>
        <w:jc w:val="center"/>
      </w:pPr>
      <w:r>
        <w:rPr>
          <w:noProof/>
        </w:rPr>
        <w:drawing>
          <wp:inline distT="0" distB="0" distL="0" distR="0" wp14:anchorId="227B3763" wp14:editId="745AEEAB">
            <wp:extent cx="5410200" cy="2346960"/>
            <wp:effectExtent l="0" t="0" r="0" b="0"/>
            <wp:docPr id="6157" name="Chart 6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0D15D1" w14:textId="2674143B" w:rsidR="009D737A" w:rsidRPr="000343E4" w:rsidRDefault="009D737A" w:rsidP="00D727BF">
      <w:pPr>
        <w:pStyle w:val="ParagraphNumbering"/>
        <w:numPr>
          <w:ilvl w:val="0"/>
          <w:numId w:val="0"/>
        </w:numPr>
        <w:tabs>
          <w:tab w:val="left" w:pos="720"/>
        </w:tabs>
        <w:spacing w:after="0"/>
        <w:rPr>
          <w:sz w:val="18"/>
          <w:szCs w:val="18"/>
        </w:rPr>
      </w:pPr>
      <w:r w:rsidRPr="000343E4">
        <w:rPr>
          <w:sz w:val="18"/>
          <w:szCs w:val="18"/>
        </w:rPr>
        <w:t>Source: World Bank universe of formal firms in Nigeria used for the Enterprise Survey (2014) based on NBS dataset and local and municipal registries</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536"/>
      </w:tblGrid>
      <w:tr w:rsidR="00442B51" w14:paraId="494C2096" w14:textId="77777777" w:rsidTr="001D65E1">
        <w:tc>
          <w:tcPr>
            <w:tcW w:w="4804" w:type="dxa"/>
          </w:tcPr>
          <w:p w14:paraId="7D79F18A" w14:textId="77777777" w:rsidR="002D560A" w:rsidRDefault="002D560A" w:rsidP="00D727BF">
            <w:pPr>
              <w:pStyle w:val="ParagraphNumbering"/>
              <w:numPr>
                <w:ilvl w:val="0"/>
                <w:numId w:val="0"/>
              </w:numPr>
              <w:tabs>
                <w:tab w:val="left" w:pos="720"/>
              </w:tabs>
            </w:pPr>
          </w:p>
          <w:p w14:paraId="1670A8AE" w14:textId="5489C7C6" w:rsidR="00442B51" w:rsidRPr="00442B51" w:rsidRDefault="001D65E1" w:rsidP="00D727BF">
            <w:pPr>
              <w:pStyle w:val="ParagraphNumbering"/>
              <w:numPr>
                <w:ilvl w:val="0"/>
                <w:numId w:val="0"/>
              </w:numPr>
              <w:tabs>
                <w:tab w:val="left" w:pos="720"/>
              </w:tabs>
            </w:pPr>
            <w:r w:rsidRPr="001D65E1">
              <w:t>In this report, the formal private sector is defined as the firms that are registered with the Corporate Affairs Commission.</w:t>
            </w:r>
            <w:r>
              <w:t xml:space="preserve"> </w:t>
            </w:r>
            <w:r w:rsidRPr="001D65E1">
              <w:rPr>
                <w:b/>
              </w:rPr>
              <w:t xml:space="preserve">The formal sector is </w:t>
            </w:r>
            <w:r w:rsidR="00442B51" w:rsidRPr="00442B51">
              <w:rPr>
                <w:b/>
              </w:rPr>
              <w:t>dominated by services</w:t>
            </w:r>
            <w:r w:rsidR="005D36C9">
              <w:rPr>
                <w:b/>
              </w:rPr>
              <w:t>,</w:t>
            </w:r>
            <w:r w:rsidR="00442B51" w:rsidRPr="00442B51">
              <w:t xml:space="preserve"> representing two</w:t>
            </w:r>
            <w:r w:rsidR="00313563">
              <w:t>-</w:t>
            </w:r>
            <w:r w:rsidR="00442B51" w:rsidRPr="00442B51">
              <w:t>third</w:t>
            </w:r>
            <w:r w:rsidR="005D36C9">
              <w:t>s</w:t>
            </w:r>
            <w:r w:rsidR="00442B51" w:rsidRPr="00442B51">
              <w:t xml:space="preserve"> of registered firms</w:t>
            </w:r>
            <w:r w:rsidR="00313563">
              <w:t>,</w:t>
            </w:r>
            <w:r w:rsidR="00C119FA">
              <w:t xml:space="preserve"> while only </w:t>
            </w:r>
            <w:r w:rsidR="00313563">
              <w:t>3</w:t>
            </w:r>
            <w:r w:rsidR="00313563" w:rsidRPr="00442B51">
              <w:t xml:space="preserve"> </w:t>
            </w:r>
            <w:r w:rsidR="00442B51" w:rsidRPr="00442B51">
              <w:t>percent of registered firms are in the agriculture sector</w:t>
            </w:r>
            <w:r w:rsidR="00313563">
              <w:t>,</w:t>
            </w:r>
            <w:r w:rsidR="00442B51" w:rsidRPr="00442B51">
              <w:t xml:space="preserve"> and about 20 percent are manufacturing firms. Th</w:t>
            </w:r>
            <w:r w:rsidR="005C5F7F">
              <w:t>e</w:t>
            </w:r>
            <w:r w:rsidR="00442B51" w:rsidRPr="00442B51">
              <w:t xml:space="preserve"> small share of </w:t>
            </w:r>
            <w:r w:rsidR="005C5F7F">
              <w:t xml:space="preserve">registered </w:t>
            </w:r>
            <w:r w:rsidR="00442B51" w:rsidRPr="00442B51">
              <w:t xml:space="preserve">agriculture </w:t>
            </w:r>
            <w:r w:rsidR="005C5F7F">
              <w:t xml:space="preserve">firms </w:t>
            </w:r>
            <w:r w:rsidR="00442B51" w:rsidRPr="00442B51">
              <w:t xml:space="preserve">reflects the informal nature of this sector in Nigeria, largely dominated by smallholders. </w:t>
            </w:r>
            <w:r w:rsidR="005C5F7F">
              <w:t>T</w:t>
            </w:r>
            <w:r w:rsidR="00442B51" w:rsidRPr="00442B51">
              <w:t>he service</w:t>
            </w:r>
            <w:r w:rsidR="005C5F7F">
              <w:t>s</w:t>
            </w:r>
            <w:r w:rsidR="00442B51" w:rsidRPr="00442B51">
              <w:t xml:space="preserve"> sector</w:t>
            </w:r>
            <w:r w:rsidR="005C5F7F">
              <w:t>, for its part,</w:t>
            </w:r>
            <w:r w:rsidR="00442B51" w:rsidRPr="00442B51">
              <w:t xml:space="preserve"> is dominated by wholesale and retail trade</w:t>
            </w:r>
            <w:r w:rsidR="005C5F7F">
              <w:t>. This indicates that the s</w:t>
            </w:r>
            <w:r w:rsidR="00442B51" w:rsidRPr="00442B51">
              <w:t>hort</w:t>
            </w:r>
            <w:r w:rsidR="005C5F7F">
              <w:t>-</w:t>
            </w:r>
            <w:r w:rsidR="00442B51" w:rsidRPr="00442B51">
              <w:t xml:space="preserve">term investment </w:t>
            </w:r>
            <w:r w:rsidR="005C5F7F">
              <w:t xml:space="preserve">required for services is </w:t>
            </w:r>
            <w:r w:rsidR="00442B51" w:rsidRPr="00442B51">
              <w:t xml:space="preserve">more profitable than </w:t>
            </w:r>
            <w:r w:rsidR="005C5F7F">
              <w:t xml:space="preserve">the </w:t>
            </w:r>
            <w:r w:rsidR="00442B51" w:rsidRPr="00442B51">
              <w:t>long</w:t>
            </w:r>
            <w:r w:rsidR="005C5F7F">
              <w:t>-</w:t>
            </w:r>
            <w:r w:rsidR="00442B51" w:rsidRPr="00442B51">
              <w:t xml:space="preserve">term investment </w:t>
            </w:r>
            <w:r w:rsidR="005C5F7F">
              <w:t>required for</w:t>
            </w:r>
            <w:r w:rsidR="00442B51" w:rsidRPr="00442B51">
              <w:t xml:space="preserve"> manufacturing.</w:t>
            </w:r>
          </w:p>
        </w:tc>
        <w:tc>
          <w:tcPr>
            <w:tcW w:w="4536" w:type="dxa"/>
          </w:tcPr>
          <w:p w14:paraId="33BB7F04" w14:textId="77777777" w:rsidR="00313563" w:rsidRDefault="00442B51" w:rsidP="00D727BF">
            <w:pPr>
              <w:pStyle w:val="Caption"/>
              <w:keepNext/>
              <w:tabs>
                <w:tab w:val="left" w:pos="720"/>
              </w:tabs>
              <w:ind w:left="20" w:hanging="20"/>
              <w:jc w:val="center"/>
            </w:pPr>
            <w:bookmarkStart w:id="118" w:name="_Toc445449639"/>
            <w:r w:rsidRPr="00442B51">
              <w:t>F</w:t>
            </w:r>
            <w:r>
              <w:t xml:space="preserve">igure </w:t>
            </w:r>
            <w:fldSimple w:instr=" SEQ Figure \* ARABIC ">
              <w:r w:rsidR="008A3BBD">
                <w:rPr>
                  <w:noProof/>
                </w:rPr>
                <w:t>21</w:t>
              </w:r>
            </w:fldSimple>
            <w:r>
              <w:t xml:space="preserve">: Composition of the </w:t>
            </w:r>
            <w:r w:rsidR="005D36C9">
              <w:t xml:space="preserve">Formal </w:t>
            </w:r>
          </w:p>
          <w:p w14:paraId="5E19D0B8" w14:textId="16902A82" w:rsidR="00442B51" w:rsidRDefault="005D36C9" w:rsidP="00D727BF">
            <w:pPr>
              <w:pStyle w:val="Caption"/>
              <w:keepNext/>
              <w:tabs>
                <w:tab w:val="left" w:pos="720"/>
              </w:tabs>
              <w:ind w:left="20" w:hanging="20"/>
              <w:jc w:val="center"/>
            </w:pPr>
            <w:r>
              <w:t>Private Sector,</w:t>
            </w:r>
            <w:r w:rsidR="00442B51">
              <w:t xml:space="preserve"> 2010</w:t>
            </w:r>
            <w:bookmarkEnd w:id="118"/>
          </w:p>
          <w:p w14:paraId="199018CD" w14:textId="77777777" w:rsidR="00442B51" w:rsidRPr="00AE7C84" w:rsidRDefault="00442B51" w:rsidP="00D727BF">
            <w:pPr>
              <w:pStyle w:val="ParagraphNumbering"/>
              <w:numPr>
                <w:ilvl w:val="0"/>
                <w:numId w:val="0"/>
              </w:numPr>
              <w:tabs>
                <w:tab w:val="left" w:pos="720"/>
              </w:tabs>
              <w:spacing w:after="0"/>
              <w:rPr>
                <w:sz w:val="18"/>
                <w:szCs w:val="18"/>
              </w:rPr>
            </w:pPr>
            <w:r w:rsidRPr="00AE7C84">
              <w:rPr>
                <w:noProof/>
                <w:sz w:val="18"/>
                <w:szCs w:val="18"/>
              </w:rPr>
              <w:drawing>
                <wp:inline distT="0" distB="0" distL="0" distR="0" wp14:anchorId="5989F195" wp14:editId="1C05CD67">
                  <wp:extent cx="2743200" cy="21431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142E97" w14:textId="77777777" w:rsidR="00442B51" w:rsidRDefault="00442B51" w:rsidP="00D727BF">
            <w:pPr>
              <w:pStyle w:val="ParagraphNumbering"/>
              <w:numPr>
                <w:ilvl w:val="0"/>
                <w:numId w:val="0"/>
              </w:numPr>
              <w:tabs>
                <w:tab w:val="left" w:pos="720"/>
              </w:tabs>
            </w:pPr>
            <w:r w:rsidRPr="00AE7C84">
              <w:rPr>
                <w:sz w:val="18"/>
                <w:szCs w:val="18"/>
              </w:rPr>
              <w:t>Source: SMEDAN</w:t>
            </w:r>
            <w:r w:rsidR="00232EF4">
              <w:rPr>
                <w:sz w:val="18"/>
                <w:szCs w:val="18"/>
              </w:rPr>
              <w:t>.</w:t>
            </w:r>
          </w:p>
        </w:tc>
      </w:tr>
    </w:tbl>
    <w:p w14:paraId="60CD841F" w14:textId="002C5639" w:rsidR="001A6886" w:rsidRDefault="001A6886" w:rsidP="00D727BF">
      <w:pPr>
        <w:tabs>
          <w:tab w:val="left" w:pos="720"/>
        </w:tabs>
        <w:rPr>
          <w:u w:color="0D2240"/>
        </w:rPr>
        <w:sectPr w:rsidR="001A6886" w:rsidSect="00AF12FD">
          <w:pgSz w:w="16983" w:h="15840"/>
          <w:pgMar w:top="1440" w:right="6183" w:bottom="1440" w:left="1440" w:header="720" w:footer="720" w:gutter="0"/>
          <w:cols w:space="720"/>
          <w:docGrid w:linePitch="360"/>
        </w:sectPr>
      </w:pPr>
      <w:bookmarkStart w:id="119" w:name="_Toc430263208"/>
    </w:p>
    <w:p w14:paraId="2DE26908" w14:textId="44C1DA49" w:rsidR="0000694B" w:rsidRPr="0000694B" w:rsidRDefault="0000694B" w:rsidP="00D727BF">
      <w:pPr>
        <w:pBdr>
          <w:bottom w:val="single" w:sz="4" w:space="1" w:color="000000" w:themeColor="text2"/>
        </w:pBdr>
        <w:tabs>
          <w:tab w:val="left" w:pos="720"/>
          <w:tab w:val="left" w:pos="7518"/>
        </w:tabs>
        <w:spacing w:before="720"/>
        <w:outlineLvl w:val="0"/>
        <w:rPr>
          <w:rFonts w:ascii="AndesExtraLight"/>
          <w:color w:val="00AEEF"/>
          <w:sz w:val="38"/>
          <w:u w:color="0D2240"/>
        </w:rPr>
      </w:pPr>
      <w:bookmarkStart w:id="120" w:name="_Toc444877505"/>
      <w:bookmarkStart w:id="121" w:name="_Toc445450279"/>
      <w:r w:rsidRPr="0000694B">
        <w:rPr>
          <w:rFonts w:ascii="AndesExtraLight"/>
          <w:color w:val="00AEEF"/>
          <w:sz w:val="38"/>
          <w:u w:color="0D2240"/>
        </w:rPr>
        <w:lastRenderedPageBreak/>
        <w:t>Chapter 3:</w:t>
      </w:r>
      <w:r w:rsidR="00F428F9">
        <w:rPr>
          <w:rFonts w:ascii="AndesExtraLight"/>
          <w:color w:val="00AEEF"/>
          <w:sz w:val="38"/>
          <w:u w:color="0D2240"/>
        </w:rPr>
        <w:t xml:space="preserve"> </w:t>
      </w:r>
      <w:r w:rsidRPr="0000694B">
        <w:rPr>
          <w:rFonts w:ascii="AndesExtraLight"/>
          <w:color w:val="00AEEF"/>
          <w:sz w:val="38"/>
          <w:u w:color="0D2240"/>
        </w:rPr>
        <w:t>Non</w:t>
      </w:r>
      <w:r>
        <w:rPr>
          <w:rFonts w:ascii="AndesExtraLight"/>
          <w:color w:val="00AEEF"/>
          <w:sz w:val="38"/>
          <w:u w:color="0D2240"/>
        </w:rPr>
        <w:t>-</w:t>
      </w:r>
      <w:r w:rsidR="00313563">
        <w:rPr>
          <w:rFonts w:ascii="AndesExtraLight"/>
          <w:color w:val="00AEEF"/>
          <w:sz w:val="38"/>
          <w:u w:color="0D2240"/>
        </w:rPr>
        <w:t>F</w:t>
      </w:r>
      <w:r w:rsidRPr="0000694B">
        <w:rPr>
          <w:rFonts w:ascii="AndesExtraLight"/>
          <w:color w:val="00AEEF"/>
          <w:sz w:val="38"/>
          <w:u w:color="0D2240"/>
        </w:rPr>
        <w:t>arm Enterprises</w:t>
      </w:r>
      <w:bookmarkEnd w:id="119"/>
      <w:r w:rsidRPr="0000694B">
        <w:rPr>
          <w:rFonts w:ascii="AndesExtraLight"/>
          <w:color w:val="00AEEF"/>
          <w:sz w:val="38"/>
          <w:u w:color="0D2240"/>
        </w:rPr>
        <w:t xml:space="preserve"> and the Jobs Agenda</w:t>
      </w:r>
      <w:bookmarkEnd w:id="120"/>
      <w:bookmarkEnd w:id="121"/>
    </w:p>
    <w:p w14:paraId="61E434E4" w14:textId="54114247" w:rsidR="0000694B" w:rsidRPr="00DD3FC5" w:rsidRDefault="0000694B" w:rsidP="00D727BF">
      <w:pPr>
        <w:pStyle w:val="Heading2"/>
        <w:numPr>
          <w:ilvl w:val="0"/>
          <w:numId w:val="14"/>
        </w:numPr>
        <w:tabs>
          <w:tab w:val="left" w:pos="720"/>
        </w:tabs>
      </w:pPr>
      <w:bookmarkStart w:id="122" w:name="_Toc430263209"/>
      <w:bookmarkStart w:id="123" w:name="_Toc444877506"/>
      <w:bookmarkStart w:id="124" w:name="_Toc445450280"/>
      <w:r w:rsidRPr="00DD3FC5">
        <w:t>Introduction</w:t>
      </w:r>
      <w:bookmarkEnd w:id="122"/>
      <w:bookmarkEnd w:id="123"/>
      <w:bookmarkEnd w:id="124"/>
    </w:p>
    <w:p w14:paraId="0ACDF8A1" w14:textId="5BDFF6D0" w:rsidR="0000694B" w:rsidRPr="0000694B" w:rsidRDefault="004E78E7" w:rsidP="00D727BF">
      <w:pPr>
        <w:pStyle w:val="ParagraphNumbering"/>
        <w:numPr>
          <w:ilvl w:val="0"/>
          <w:numId w:val="0"/>
        </w:numPr>
        <w:tabs>
          <w:tab w:val="left" w:pos="720"/>
        </w:tabs>
        <w:spacing w:after="240"/>
      </w:pPr>
      <w:r>
        <w:rPr>
          <w:b/>
        </w:rPr>
        <w:tab/>
      </w:r>
      <w:r w:rsidR="0000694B" w:rsidRPr="000F6A00">
        <w:rPr>
          <w:b/>
        </w:rPr>
        <w:t xml:space="preserve">The existence of </w:t>
      </w:r>
      <w:r w:rsidR="009C3619">
        <w:rPr>
          <w:b/>
        </w:rPr>
        <w:t>NFEs</w:t>
      </w:r>
      <w:r w:rsidR="0000694B" w:rsidRPr="000F6A00">
        <w:rPr>
          <w:b/>
        </w:rPr>
        <w:t xml:space="preserve"> in a developing economy</w:t>
      </w:r>
      <w:r w:rsidR="0000694B" w:rsidRPr="0000694B">
        <w:t xml:space="preserve"> </w:t>
      </w:r>
      <w:r w:rsidR="0000694B" w:rsidRPr="00D0087F">
        <w:rPr>
          <w:b/>
        </w:rPr>
        <w:t>is often an economic necessity</w:t>
      </w:r>
      <w:r w:rsidR="00F008C8" w:rsidRPr="00D0087F">
        <w:rPr>
          <w:b/>
        </w:rPr>
        <w:t xml:space="preserve">, resulting from lack of </w:t>
      </w:r>
      <w:r w:rsidR="0000694B" w:rsidRPr="00D0087F">
        <w:rPr>
          <w:b/>
        </w:rPr>
        <w:t>better opportunities.</w:t>
      </w:r>
      <w:r w:rsidR="0000694B" w:rsidRPr="0000694B">
        <w:t xml:space="preserve"> </w:t>
      </w:r>
      <w:r w:rsidR="00EE2124">
        <w:t xml:space="preserve">Almost 40 percent of </w:t>
      </w:r>
      <w:r w:rsidR="0000694B" w:rsidRPr="0000694B">
        <w:t>NFE owners</w:t>
      </w:r>
      <w:r w:rsidR="00FB5459">
        <w:t xml:space="preserve"> in Tanzania and </w:t>
      </w:r>
      <w:r w:rsidR="001F32CA">
        <w:t xml:space="preserve">the </w:t>
      </w:r>
      <w:r w:rsidR="00FB5459">
        <w:t xml:space="preserve">Republic of Congo reported in the </w:t>
      </w:r>
      <w:r w:rsidR="00106975">
        <w:t>household survey</w:t>
      </w:r>
      <w:r w:rsidR="00FB5459">
        <w:t xml:space="preserve"> that their </w:t>
      </w:r>
      <w:r w:rsidR="009C3619">
        <w:t xml:space="preserve">primary motivation </w:t>
      </w:r>
      <w:r w:rsidR="0000694B" w:rsidRPr="0000694B">
        <w:t>for starting a business</w:t>
      </w:r>
      <w:r w:rsidR="00FB5459">
        <w:t xml:space="preserve"> was </w:t>
      </w:r>
      <w:r w:rsidR="009C3619">
        <w:t xml:space="preserve">the </w:t>
      </w:r>
      <w:r w:rsidR="00FB5459">
        <w:t>inability to find wage or salaried employment.</w:t>
      </w:r>
      <w:r w:rsidR="00EE2124" w:rsidRPr="0000694B">
        <w:rPr>
          <w:vertAlign w:val="superscript"/>
        </w:rPr>
        <w:footnoteReference w:id="20"/>
      </w:r>
      <w:r w:rsidR="00F428F9">
        <w:t xml:space="preserve"> </w:t>
      </w:r>
      <w:r w:rsidR="0000694B" w:rsidRPr="0000694B">
        <w:t>NFEs are an important source of revenue for many low-income households, in particular in rural areas</w:t>
      </w:r>
      <w:r w:rsidR="00FB5459">
        <w:t>,</w:t>
      </w:r>
      <w:r w:rsidR="0000694B" w:rsidRPr="00FB5459">
        <w:rPr>
          <w:vertAlign w:val="superscript"/>
        </w:rPr>
        <w:footnoteReference w:id="21"/>
      </w:r>
      <w:r w:rsidR="0000694B" w:rsidRPr="0000694B">
        <w:t xml:space="preserve"> and because this is unlikely to change in the near future, many international donors argue that this sector should be given more attention. </w:t>
      </w:r>
    </w:p>
    <w:p w14:paraId="1AC7FE40" w14:textId="0A4B0134" w:rsidR="0000694B" w:rsidRPr="0000694B" w:rsidRDefault="004E78E7" w:rsidP="00D727BF">
      <w:pPr>
        <w:pStyle w:val="ParagraphNumbering"/>
        <w:numPr>
          <w:ilvl w:val="0"/>
          <w:numId w:val="0"/>
        </w:numPr>
        <w:tabs>
          <w:tab w:val="left" w:pos="720"/>
        </w:tabs>
        <w:spacing w:after="240"/>
      </w:pPr>
      <w:r>
        <w:rPr>
          <w:b/>
        </w:rPr>
        <w:tab/>
      </w:r>
      <w:r w:rsidR="00FB5459" w:rsidRPr="000F6A00">
        <w:rPr>
          <w:b/>
        </w:rPr>
        <w:t>T</w:t>
      </w:r>
      <w:r w:rsidR="0000694B" w:rsidRPr="000F6A00">
        <w:rPr>
          <w:b/>
        </w:rPr>
        <w:t>h</w:t>
      </w:r>
      <w:r w:rsidR="001E5A33">
        <w:rPr>
          <w:b/>
        </w:rPr>
        <w:t>e informal</w:t>
      </w:r>
      <w:r w:rsidR="0000694B" w:rsidRPr="000F6A00">
        <w:rPr>
          <w:b/>
        </w:rPr>
        <w:t xml:space="preserve"> sector has been neglected by p</w:t>
      </w:r>
      <w:r w:rsidR="00FB5459" w:rsidRPr="000F6A00">
        <w:rPr>
          <w:b/>
        </w:rPr>
        <w:t>rivate sector development teams</w:t>
      </w:r>
      <w:r w:rsidR="001E5A33">
        <w:t xml:space="preserve"> </w:t>
      </w:r>
      <w:r w:rsidR="00FB5459">
        <w:t xml:space="preserve">for two main reasons. </w:t>
      </w:r>
      <w:r w:rsidR="0000694B" w:rsidRPr="0000694B">
        <w:t>First, policymakers</w:t>
      </w:r>
      <w:r w:rsidR="006F3B5E">
        <w:t xml:space="preserve"> </w:t>
      </w:r>
      <w:r w:rsidR="009C3619">
        <w:t>tend</w:t>
      </w:r>
      <w:r w:rsidR="006F3B5E">
        <w:t xml:space="preserve"> to</w:t>
      </w:r>
      <w:r w:rsidR="0000694B" w:rsidRPr="0000694B">
        <w:t xml:space="preserve"> </w:t>
      </w:r>
      <w:r w:rsidR="001E5A33">
        <w:t>believe that develop</w:t>
      </w:r>
      <w:r w:rsidR="0000694B" w:rsidRPr="0000694B">
        <w:t>ment of the formal sector creates better jobs (</w:t>
      </w:r>
      <w:r w:rsidR="009C3619">
        <w:t xml:space="preserve">through </w:t>
      </w:r>
      <w:r w:rsidR="0000694B" w:rsidRPr="0000694B">
        <w:t>greater security and better benefits), raises revenue for government institutions (through taxes)</w:t>
      </w:r>
      <w:r w:rsidR="001E5A33">
        <w:t>,</w:t>
      </w:r>
      <w:r w:rsidR="0000694B" w:rsidRPr="0000694B">
        <w:t xml:space="preserve"> and </w:t>
      </w:r>
      <w:r w:rsidR="001E5A33">
        <w:t xml:space="preserve">produces more </w:t>
      </w:r>
      <w:r w:rsidR="0000694B" w:rsidRPr="0000694B">
        <w:t>sustainable economic growth in the long</w:t>
      </w:r>
      <w:r w:rsidR="001E5A33">
        <w:t xml:space="preserve"> </w:t>
      </w:r>
      <w:r w:rsidR="0000694B" w:rsidRPr="0000694B">
        <w:t>run. Informality is th</w:t>
      </w:r>
      <w:r w:rsidR="001E5A33">
        <w:t>us</w:t>
      </w:r>
      <w:r w:rsidR="0000694B" w:rsidRPr="0000694B">
        <w:t xml:space="preserve"> seen as a suboptimal choice</w:t>
      </w:r>
      <w:r w:rsidR="001F32CA">
        <w:t>,</w:t>
      </w:r>
      <w:r w:rsidR="001E5A33">
        <w:t xml:space="preserve"> and i</w:t>
      </w:r>
      <w:r w:rsidR="0000694B" w:rsidRPr="0000694B">
        <w:t>nvesting in th</w:t>
      </w:r>
      <w:r w:rsidR="001E5A33">
        <w:t>at</w:t>
      </w:r>
      <w:r w:rsidR="0000694B" w:rsidRPr="0000694B">
        <w:t xml:space="preserve"> sector</w:t>
      </w:r>
      <w:r w:rsidR="001E5A33">
        <w:t xml:space="preserve"> </w:t>
      </w:r>
      <w:r w:rsidR="006F3B5E">
        <w:t xml:space="preserve">is </w:t>
      </w:r>
      <w:r w:rsidR="009C3619">
        <w:t>considered to discourage</w:t>
      </w:r>
      <w:r w:rsidR="001E5A33">
        <w:t xml:space="preserve"> informal firms from formalizing, which is </w:t>
      </w:r>
      <w:r w:rsidR="0000694B" w:rsidRPr="0000694B">
        <w:t>detrimental to long-run economic growth</w:t>
      </w:r>
      <w:r w:rsidR="001E5A33">
        <w:t>.</w:t>
      </w:r>
      <w:r w:rsidR="0000694B" w:rsidRPr="0000694B">
        <w:t xml:space="preserve"> Second, </w:t>
      </w:r>
      <w:r w:rsidR="009C3619">
        <w:t>NFEs</w:t>
      </w:r>
      <w:r w:rsidR="0000694B" w:rsidRPr="0000694B">
        <w:t xml:space="preserve"> do not seem to generate many wage jobs, which is the central goal of many private sector development projects. Most NFEs are operated by a single person and employ only household members. If some are able to </w:t>
      </w:r>
      <w:r w:rsidR="009C3619">
        <w:t>generate sales growth</w:t>
      </w:r>
      <w:r w:rsidR="0000694B" w:rsidRPr="0000694B">
        <w:t xml:space="preserve">, this rarely translates into additional </w:t>
      </w:r>
      <w:r w:rsidR="009C3619">
        <w:t>hiring activity</w:t>
      </w:r>
      <w:r w:rsidR="0000694B" w:rsidRPr="0000694B">
        <w:t>.</w:t>
      </w:r>
      <w:r w:rsidR="00F428F9">
        <w:t xml:space="preserve"> </w:t>
      </w:r>
      <w:r w:rsidR="00A05030">
        <w:t>By contrast, formal sector start-ups have a high</w:t>
      </w:r>
      <w:r w:rsidR="003110E1">
        <w:t>er</w:t>
      </w:r>
      <w:r w:rsidR="00A05030">
        <w:t xml:space="preserve"> potential for generating employment.</w:t>
      </w:r>
    </w:p>
    <w:p w14:paraId="057194DA" w14:textId="7A79DA64" w:rsidR="0000694B" w:rsidRPr="0000694B" w:rsidRDefault="004E78E7" w:rsidP="00D727BF">
      <w:pPr>
        <w:pStyle w:val="ParagraphNumbering"/>
        <w:numPr>
          <w:ilvl w:val="0"/>
          <w:numId w:val="0"/>
        </w:numPr>
        <w:tabs>
          <w:tab w:val="left" w:pos="720"/>
        </w:tabs>
        <w:spacing w:after="240"/>
      </w:pPr>
      <w:r>
        <w:rPr>
          <w:b/>
        </w:rPr>
        <w:tab/>
      </w:r>
      <w:r w:rsidR="0000694B" w:rsidRPr="000F6A00">
        <w:rPr>
          <w:b/>
        </w:rPr>
        <w:t xml:space="preserve">Recent work has started </w:t>
      </w:r>
      <w:r w:rsidR="006F3B5E">
        <w:rPr>
          <w:b/>
        </w:rPr>
        <w:t xml:space="preserve">to </w:t>
      </w:r>
      <w:r w:rsidR="0000694B" w:rsidRPr="000F6A00">
        <w:rPr>
          <w:b/>
        </w:rPr>
        <w:t xml:space="preserve">support the integration of </w:t>
      </w:r>
      <w:r w:rsidR="006F3B5E" w:rsidRPr="000F6A00">
        <w:rPr>
          <w:b/>
        </w:rPr>
        <w:t xml:space="preserve">NFEs </w:t>
      </w:r>
      <w:r w:rsidR="0000694B" w:rsidRPr="000F6A00">
        <w:rPr>
          <w:b/>
        </w:rPr>
        <w:t>into the job</w:t>
      </w:r>
      <w:r w:rsidR="006F3B5E">
        <w:rPr>
          <w:b/>
        </w:rPr>
        <w:t>s</w:t>
      </w:r>
      <w:r w:rsidR="0000694B" w:rsidRPr="000F6A00">
        <w:rPr>
          <w:b/>
        </w:rPr>
        <w:t xml:space="preserve"> agenda.</w:t>
      </w:r>
      <w:r w:rsidR="00F428F9">
        <w:t xml:space="preserve"> </w:t>
      </w:r>
      <w:r w:rsidR="0000694B" w:rsidRPr="0000694B">
        <w:t xml:space="preserve">Some </w:t>
      </w:r>
      <w:r w:rsidR="006F3B5E">
        <w:t xml:space="preserve">studies have looked at NFEs </w:t>
      </w:r>
      <w:r w:rsidR="0000694B" w:rsidRPr="0000694B">
        <w:t xml:space="preserve">from an enterprise perspective, </w:t>
      </w:r>
      <w:r w:rsidR="003110E1">
        <w:t xml:space="preserve">assessing the </w:t>
      </w:r>
      <w:r w:rsidR="0000694B" w:rsidRPr="0000694B">
        <w:t>impediment</w:t>
      </w:r>
      <w:r w:rsidR="003110E1">
        <w:t>s</w:t>
      </w:r>
      <w:r w:rsidR="0000694B" w:rsidRPr="0000694B">
        <w:t xml:space="preserve"> to sales, employment</w:t>
      </w:r>
      <w:r w:rsidR="009C3619">
        <w:t>,</w:t>
      </w:r>
      <w:r w:rsidR="0000694B" w:rsidRPr="0000694B">
        <w:t xml:space="preserve"> and productivity growth.</w:t>
      </w:r>
      <w:r w:rsidR="0000694B" w:rsidRPr="0000694B">
        <w:rPr>
          <w:vertAlign w:val="superscript"/>
        </w:rPr>
        <w:footnoteReference w:id="22"/>
      </w:r>
      <w:r w:rsidR="00F428F9">
        <w:t xml:space="preserve"> </w:t>
      </w:r>
      <w:r w:rsidR="00EE2124">
        <w:t xml:space="preserve">The identification of the </w:t>
      </w:r>
      <w:r w:rsidR="003110E1">
        <w:t xml:space="preserve">drivers of NFE growth </w:t>
      </w:r>
      <w:r w:rsidR="00EE2124">
        <w:t>c</w:t>
      </w:r>
      <w:r w:rsidR="0000694B" w:rsidRPr="0000694B">
        <w:t xml:space="preserve">onstitutes the first step toward more tailored and relevant policy recommendations to grow this </w:t>
      </w:r>
      <w:r w:rsidR="0000694B" w:rsidRPr="0000694B">
        <w:lastRenderedPageBreak/>
        <w:t xml:space="preserve">sector. </w:t>
      </w:r>
      <w:r w:rsidR="00EE2124">
        <w:t xml:space="preserve">The same studies also </w:t>
      </w:r>
      <w:r w:rsidR="0000694B" w:rsidRPr="0000694B">
        <w:t xml:space="preserve">suggest that </w:t>
      </w:r>
      <w:r w:rsidR="00EE2124">
        <w:t xml:space="preserve">NFEs </w:t>
      </w:r>
      <w:r w:rsidR="0000694B" w:rsidRPr="0000694B">
        <w:t xml:space="preserve">can be profitable and </w:t>
      </w:r>
      <w:r w:rsidR="00A74EC4">
        <w:t xml:space="preserve">serve as new </w:t>
      </w:r>
      <w:r w:rsidR="0000694B" w:rsidRPr="0000694B">
        <w:t>source</w:t>
      </w:r>
      <w:r w:rsidR="001F32CA">
        <w:t>s</w:t>
      </w:r>
      <w:r w:rsidR="0000694B" w:rsidRPr="0000694B">
        <w:t xml:space="preserve"> </w:t>
      </w:r>
      <w:r w:rsidR="00A74EC4">
        <w:t xml:space="preserve">of </w:t>
      </w:r>
      <w:r w:rsidR="0000694B" w:rsidRPr="0000694B">
        <w:t xml:space="preserve">opportunities and revenues. </w:t>
      </w:r>
    </w:p>
    <w:p w14:paraId="71681A20" w14:textId="798CC1AB" w:rsidR="0000694B" w:rsidRPr="0000694B" w:rsidRDefault="004E78E7" w:rsidP="00D727BF">
      <w:pPr>
        <w:pStyle w:val="ParagraphNumbering"/>
        <w:numPr>
          <w:ilvl w:val="0"/>
          <w:numId w:val="0"/>
        </w:numPr>
        <w:tabs>
          <w:tab w:val="left" w:pos="720"/>
        </w:tabs>
        <w:spacing w:after="240"/>
      </w:pPr>
      <w:r>
        <w:rPr>
          <w:b/>
        </w:rPr>
        <w:tab/>
      </w:r>
      <w:r w:rsidR="0000694B" w:rsidRPr="00B565F2">
        <w:rPr>
          <w:b/>
        </w:rPr>
        <w:t>The</w:t>
      </w:r>
      <w:r w:rsidR="00B565F2" w:rsidRPr="000F6A00">
        <w:rPr>
          <w:b/>
        </w:rPr>
        <w:t xml:space="preserve"> studies have shown that</w:t>
      </w:r>
      <w:r w:rsidR="0000694B" w:rsidRPr="00B565F2">
        <w:rPr>
          <w:b/>
        </w:rPr>
        <w:t xml:space="preserve"> Nigeria</w:t>
      </w:r>
      <w:r w:rsidR="00863D16">
        <w:rPr>
          <w:b/>
        </w:rPr>
        <w:t>’</w:t>
      </w:r>
      <w:r w:rsidR="00B565F2" w:rsidRPr="000F6A00">
        <w:rPr>
          <w:b/>
        </w:rPr>
        <w:t>s</w:t>
      </w:r>
      <w:r w:rsidR="0000694B" w:rsidRPr="00B565F2">
        <w:rPr>
          <w:b/>
        </w:rPr>
        <w:t xml:space="preserve"> NFE se</w:t>
      </w:r>
      <w:r w:rsidR="00B565F2" w:rsidRPr="000F6A00">
        <w:rPr>
          <w:b/>
        </w:rPr>
        <w:t xml:space="preserve">ctor </w:t>
      </w:r>
      <w:r w:rsidR="0000694B" w:rsidRPr="00B565F2">
        <w:rPr>
          <w:b/>
        </w:rPr>
        <w:t>is large and dynamic,</w:t>
      </w:r>
      <w:r w:rsidR="000D15A4" w:rsidRPr="00AE6F13">
        <w:rPr>
          <w:b/>
        </w:rPr>
        <w:t xml:space="preserve"> </w:t>
      </w:r>
      <w:r w:rsidR="000D15A4">
        <w:t xml:space="preserve">which </w:t>
      </w:r>
      <w:r w:rsidR="0000694B" w:rsidRPr="000F6A00">
        <w:t>suggest</w:t>
      </w:r>
      <w:r w:rsidR="000D15A4">
        <w:t xml:space="preserve">s </w:t>
      </w:r>
      <w:r w:rsidR="0000694B" w:rsidRPr="000F6A00">
        <w:t xml:space="preserve">that it will remain </w:t>
      </w:r>
      <w:r w:rsidR="000D15A4">
        <w:t xml:space="preserve">economically </w:t>
      </w:r>
      <w:r w:rsidR="0000694B" w:rsidRPr="000F6A00">
        <w:t>important in the medium term.</w:t>
      </w:r>
      <w:r w:rsidR="0000694B" w:rsidRPr="0000694B">
        <w:t xml:space="preserve"> Nigeria is reported to have about 37 million MSMEs</w:t>
      </w:r>
      <w:r w:rsidR="001D0B90">
        <w:t>,</w:t>
      </w:r>
      <w:r w:rsidR="006D3218">
        <w:t xml:space="preserve"> mainly composed of NFEs</w:t>
      </w:r>
      <w:r w:rsidR="000D15A4">
        <w:t>. Although t</w:t>
      </w:r>
      <w:r w:rsidR="0000694B" w:rsidRPr="0000694B">
        <w:t xml:space="preserve">he majority </w:t>
      </w:r>
      <w:r w:rsidR="000D15A4">
        <w:t xml:space="preserve">are </w:t>
      </w:r>
      <w:r w:rsidR="0000694B" w:rsidRPr="0000694B">
        <w:t>run by a single person</w:t>
      </w:r>
      <w:r w:rsidR="000D15A4">
        <w:t xml:space="preserve">, collectively these firms account for </w:t>
      </w:r>
      <w:r w:rsidR="0000694B" w:rsidRPr="0000694B">
        <w:t>about 40 percent of employment</w:t>
      </w:r>
      <w:r w:rsidR="001D0B90">
        <w:t>—</w:t>
      </w:r>
      <w:r w:rsidR="000D15A4">
        <w:t xml:space="preserve">a much higher share than </w:t>
      </w:r>
      <w:r w:rsidR="0000694B" w:rsidRPr="0000694B">
        <w:t>in any other African countr</w:t>
      </w:r>
      <w:r w:rsidR="000D15A4">
        <w:t>y</w:t>
      </w:r>
      <w:r w:rsidR="0000694B" w:rsidRPr="0000694B">
        <w:t>.</w:t>
      </w:r>
      <w:r w:rsidR="0000694B" w:rsidRPr="000D15A4">
        <w:rPr>
          <w:vertAlign w:val="superscript"/>
        </w:rPr>
        <w:footnoteReference w:id="23"/>
      </w:r>
      <w:r w:rsidR="0000694B" w:rsidRPr="0000694B">
        <w:t xml:space="preserve"> </w:t>
      </w:r>
      <w:r w:rsidR="000D15A4">
        <w:t>T</w:t>
      </w:r>
      <w:r w:rsidR="0000694B" w:rsidRPr="0000694B">
        <w:t xml:space="preserve">he number of firms entering and exiting </w:t>
      </w:r>
      <w:r w:rsidR="00547C6A">
        <w:t>Nigeria</w:t>
      </w:r>
      <w:r w:rsidR="00863D16">
        <w:t>’</w:t>
      </w:r>
      <w:r w:rsidR="00547C6A">
        <w:t>s</w:t>
      </w:r>
      <w:r w:rsidR="0000694B" w:rsidRPr="0000694B">
        <w:t xml:space="preserve"> </w:t>
      </w:r>
      <w:r w:rsidR="000D15A4">
        <w:t>NFE s</w:t>
      </w:r>
      <w:r w:rsidR="0000694B" w:rsidRPr="0000694B">
        <w:t xml:space="preserve">ector is high. Between 2011 and 2013, </w:t>
      </w:r>
      <w:r w:rsidR="000D15A4" w:rsidRPr="0000694B">
        <w:t>the entry rate was 19 percent</w:t>
      </w:r>
      <w:r w:rsidR="000D15A4">
        <w:t xml:space="preserve"> a year</w:t>
      </w:r>
      <w:r w:rsidR="008B20E9">
        <w:t xml:space="preserve"> (compared to 20 percent</w:t>
      </w:r>
      <w:r w:rsidR="00540CB2">
        <w:t xml:space="preserve"> in other African countries</w:t>
      </w:r>
      <w:r w:rsidR="008B20E9">
        <w:t>)</w:t>
      </w:r>
      <w:r w:rsidR="000D15A4">
        <w:t xml:space="preserve">, and the exit rate was </w:t>
      </w:r>
      <w:r w:rsidR="0000694B" w:rsidRPr="0000694B">
        <w:t>15 percent</w:t>
      </w:r>
      <w:r w:rsidR="000D15A4">
        <w:t>.</w:t>
      </w:r>
      <w:r w:rsidR="0000694B" w:rsidRPr="000D15A4">
        <w:rPr>
          <w:vertAlign w:val="superscript"/>
        </w:rPr>
        <w:footnoteReference w:id="24"/>
      </w:r>
      <w:r w:rsidR="00F428F9">
        <w:t xml:space="preserve"> </w:t>
      </w:r>
      <w:r w:rsidR="0000694B" w:rsidRPr="0000694B">
        <w:t xml:space="preserve">Given its size and dynamism, </w:t>
      </w:r>
      <w:r w:rsidR="008B20E9">
        <w:t xml:space="preserve">this </w:t>
      </w:r>
      <w:r w:rsidR="0000694B" w:rsidRPr="0000694B">
        <w:t>segment</w:t>
      </w:r>
      <w:r w:rsidR="008B20E9">
        <w:t xml:space="preserve"> is likely to</w:t>
      </w:r>
      <w:r w:rsidR="0000694B" w:rsidRPr="0000694B">
        <w:t xml:space="preserve"> play an important role </w:t>
      </w:r>
      <w:r w:rsidR="008B20E9">
        <w:t xml:space="preserve">in the economy </w:t>
      </w:r>
      <w:r w:rsidR="0000694B" w:rsidRPr="0000694B">
        <w:t>in the medium term and remain a substantial source of employment.</w:t>
      </w:r>
    </w:p>
    <w:p w14:paraId="41BF40E6" w14:textId="27EEB289" w:rsidR="0000694B" w:rsidRPr="0000694B" w:rsidRDefault="004E78E7" w:rsidP="00D727BF">
      <w:pPr>
        <w:pStyle w:val="ParagraphNumbering"/>
        <w:numPr>
          <w:ilvl w:val="0"/>
          <w:numId w:val="0"/>
        </w:numPr>
        <w:tabs>
          <w:tab w:val="left" w:pos="720"/>
        </w:tabs>
        <w:spacing w:after="240"/>
      </w:pPr>
      <w:r>
        <w:tab/>
      </w:r>
      <w:r w:rsidR="0000694B" w:rsidRPr="00175186">
        <w:t xml:space="preserve">The literature related to </w:t>
      </w:r>
      <w:r w:rsidR="00A74EC4" w:rsidRPr="00175186">
        <w:t>NFEs</w:t>
      </w:r>
      <w:r w:rsidR="0000694B" w:rsidRPr="00175186">
        <w:t xml:space="preserve"> in Nigeria indicates that productivity</w:t>
      </w:r>
      <w:r w:rsidR="0000694B" w:rsidRPr="000F6A00">
        <w:rPr>
          <w:b/>
        </w:rPr>
        <w:t xml:space="preserve"> </w:t>
      </w:r>
      <w:r w:rsidR="008B20E9">
        <w:t>of these firms varies widely</w:t>
      </w:r>
      <w:r w:rsidR="00A74EC4">
        <w:t xml:space="preserve"> and </w:t>
      </w:r>
      <w:r w:rsidR="008B20E9">
        <w:t>depend</w:t>
      </w:r>
      <w:r w:rsidR="00A74EC4">
        <w:t xml:space="preserve">s </w:t>
      </w:r>
      <w:r w:rsidR="008B20E9">
        <w:t xml:space="preserve">on </w:t>
      </w:r>
      <w:r w:rsidR="00A74EC4">
        <w:t xml:space="preserve">several </w:t>
      </w:r>
      <w:r w:rsidR="008B20E9">
        <w:t>key factors</w:t>
      </w:r>
      <w:r w:rsidR="00A74EC4">
        <w:t xml:space="preserve">: </w:t>
      </w:r>
      <w:r w:rsidR="008B20E9">
        <w:t xml:space="preserve">the </w:t>
      </w:r>
      <w:r w:rsidR="0000694B" w:rsidRPr="0000694B">
        <w:t xml:space="preserve">education, age, household size, </w:t>
      </w:r>
      <w:r w:rsidR="008B20E9">
        <w:t>gender, and religious affiliation</w:t>
      </w:r>
      <w:r w:rsidR="0000694B" w:rsidRPr="0000694B">
        <w:t xml:space="preserve"> of the owner</w:t>
      </w:r>
      <w:r w:rsidR="001D0B90">
        <w:t>,</w:t>
      </w:r>
      <w:r w:rsidR="008B20E9">
        <w:t xml:space="preserve"> as well as </w:t>
      </w:r>
      <w:r w:rsidR="0000694B" w:rsidRPr="0000694B">
        <w:t xml:space="preserve">community infrastructure </w:t>
      </w:r>
      <w:r w:rsidR="008B20E9">
        <w:t xml:space="preserve">and </w:t>
      </w:r>
      <w:r w:rsidR="0000694B" w:rsidRPr="0000694B">
        <w:t>location. Overall</w:t>
      </w:r>
      <w:r w:rsidR="008B20E9">
        <w:t>,</w:t>
      </w:r>
      <w:r w:rsidR="0000694B" w:rsidRPr="0000694B">
        <w:t xml:space="preserve"> rural and female-</w:t>
      </w:r>
      <w:r w:rsidR="00A74EC4">
        <w:t xml:space="preserve">owned </w:t>
      </w:r>
      <w:r w:rsidR="0000694B" w:rsidRPr="0000694B">
        <w:t>enterprises are less productive than urban and male-owned enterprises.</w:t>
      </w:r>
      <w:r w:rsidR="008B20E9">
        <w:t xml:space="preserve"> </w:t>
      </w:r>
      <w:r w:rsidR="0000694B" w:rsidRPr="0000694B">
        <w:t xml:space="preserve">Rural isolation and low population density also </w:t>
      </w:r>
      <w:r w:rsidR="00A74EC4">
        <w:t xml:space="preserve">contribute to lower </w:t>
      </w:r>
      <w:r w:rsidR="0000694B" w:rsidRPr="0000694B">
        <w:t xml:space="preserve">NFE performance. </w:t>
      </w:r>
    </w:p>
    <w:p w14:paraId="61299A62" w14:textId="36EF63B0" w:rsidR="0000694B" w:rsidRPr="0000694B" w:rsidRDefault="004E78E7" w:rsidP="00D727BF">
      <w:pPr>
        <w:pStyle w:val="ParagraphNumbering"/>
        <w:numPr>
          <w:ilvl w:val="0"/>
          <w:numId w:val="0"/>
        </w:numPr>
        <w:tabs>
          <w:tab w:val="left" w:pos="720"/>
        </w:tabs>
        <w:spacing w:after="240"/>
      </w:pPr>
      <w:r>
        <w:rPr>
          <w:b/>
        </w:rPr>
        <w:tab/>
      </w:r>
      <w:r w:rsidR="0000694B" w:rsidRPr="008B20E9">
        <w:rPr>
          <w:b/>
        </w:rPr>
        <w:t xml:space="preserve">More analysis is needed to better understand whether this sector can be integrated </w:t>
      </w:r>
      <w:r w:rsidR="0000694B" w:rsidRPr="00175186">
        <w:rPr>
          <w:b/>
        </w:rPr>
        <w:t>in</w:t>
      </w:r>
      <w:r w:rsidR="008B20E9" w:rsidRPr="00175186">
        <w:rPr>
          <w:b/>
        </w:rPr>
        <w:t>to</w:t>
      </w:r>
      <w:r w:rsidR="0000694B" w:rsidRPr="00175186">
        <w:rPr>
          <w:b/>
        </w:rPr>
        <w:t xml:space="preserve"> the job</w:t>
      </w:r>
      <w:r w:rsidR="008B20E9" w:rsidRPr="00175186">
        <w:rPr>
          <w:b/>
        </w:rPr>
        <w:t>s</w:t>
      </w:r>
      <w:r w:rsidR="0000694B" w:rsidRPr="00175186">
        <w:rPr>
          <w:b/>
        </w:rPr>
        <w:t xml:space="preserve"> agenda of </w:t>
      </w:r>
      <w:r w:rsidR="008B20E9" w:rsidRPr="00175186">
        <w:rPr>
          <w:b/>
        </w:rPr>
        <w:t>private sector development</w:t>
      </w:r>
      <w:r w:rsidR="0000694B" w:rsidRPr="00175186">
        <w:rPr>
          <w:b/>
        </w:rPr>
        <w:t xml:space="preserve"> projects.</w:t>
      </w:r>
      <w:r w:rsidR="00F428F9">
        <w:t xml:space="preserve"> </w:t>
      </w:r>
      <w:r w:rsidR="008B20E9">
        <w:t>N</w:t>
      </w:r>
      <w:r w:rsidR="0000694B" w:rsidRPr="0000694B">
        <w:t>ew data</w:t>
      </w:r>
      <w:r w:rsidR="00547C6A">
        <w:t xml:space="preserve">, including data from the module on </w:t>
      </w:r>
      <w:r w:rsidR="00A74EC4">
        <w:t>NFEs</w:t>
      </w:r>
      <w:r w:rsidR="00547C6A">
        <w:t xml:space="preserve"> in the </w:t>
      </w:r>
      <w:r w:rsidR="00106975">
        <w:t>h</w:t>
      </w:r>
      <w:r w:rsidR="0000694B" w:rsidRPr="0000694B">
        <w:rPr>
          <w:lang w:bidi="en-US"/>
        </w:rPr>
        <w:t xml:space="preserve">ousehold </w:t>
      </w:r>
      <w:r w:rsidR="00106975">
        <w:rPr>
          <w:lang w:bidi="en-US"/>
        </w:rPr>
        <w:t>s</w:t>
      </w:r>
      <w:r w:rsidR="0000694B" w:rsidRPr="0000694B">
        <w:rPr>
          <w:lang w:bidi="en-US"/>
        </w:rPr>
        <w:t>urvey</w:t>
      </w:r>
      <w:r w:rsidR="00547C6A">
        <w:rPr>
          <w:lang w:bidi="en-US"/>
        </w:rPr>
        <w:t xml:space="preserve">s of </w:t>
      </w:r>
      <w:r w:rsidR="0000694B" w:rsidRPr="0000694B">
        <w:rPr>
          <w:lang w:bidi="en-US"/>
        </w:rPr>
        <w:t>2010</w:t>
      </w:r>
      <w:r w:rsidR="001D0B90">
        <w:rPr>
          <w:rFonts w:ascii="Calibri" w:hAnsi="Calibri"/>
          <w:lang w:bidi="en-US"/>
        </w:rPr>
        <w:t>‒</w:t>
      </w:r>
      <w:r w:rsidR="0000694B" w:rsidRPr="0000694B">
        <w:rPr>
          <w:lang w:bidi="en-US"/>
        </w:rPr>
        <w:t>11 and 2012</w:t>
      </w:r>
      <w:r w:rsidR="001D0B90">
        <w:rPr>
          <w:rFonts w:ascii="Calibri" w:hAnsi="Calibri"/>
          <w:lang w:bidi="en-US"/>
        </w:rPr>
        <w:t>‒</w:t>
      </w:r>
      <w:r w:rsidR="0000694B" w:rsidRPr="0000694B">
        <w:rPr>
          <w:lang w:bidi="en-US"/>
        </w:rPr>
        <w:t>13</w:t>
      </w:r>
      <w:r w:rsidR="00547C6A">
        <w:rPr>
          <w:lang w:bidi="en-US"/>
        </w:rPr>
        <w:t xml:space="preserve">, are now available for this purpose. </w:t>
      </w:r>
      <w:r w:rsidR="00806AF6">
        <w:rPr>
          <w:lang w:bidi="en-US"/>
        </w:rPr>
        <w:t xml:space="preserve">These data show that the sector is rather heterogeneous, contrary to the prevailing view that all NFEs are driven by a </w:t>
      </w:r>
      <w:r w:rsidR="0000694B" w:rsidRPr="0000694B">
        <w:rPr>
          <w:lang w:bidi="en-US"/>
        </w:rPr>
        <w:t>single equation.</w:t>
      </w:r>
      <w:r w:rsidR="0000694B" w:rsidRPr="0000694B">
        <w:rPr>
          <w:vertAlign w:val="superscript"/>
        </w:rPr>
        <w:footnoteReference w:id="25"/>
      </w:r>
      <w:r w:rsidR="00F428F9">
        <w:rPr>
          <w:lang w:bidi="en-US"/>
        </w:rPr>
        <w:t xml:space="preserve"> </w:t>
      </w:r>
      <w:r w:rsidR="00790962">
        <w:rPr>
          <w:lang w:bidi="en-US"/>
        </w:rPr>
        <w:t>While t</w:t>
      </w:r>
      <w:r w:rsidR="0000694B" w:rsidRPr="0000694B">
        <w:rPr>
          <w:lang w:bidi="en-US"/>
        </w:rPr>
        <w:t xml:space="preserve">he lower tail </w:t>
      </w:r>
      <w:r w:rsidR="00790962">
        <w:rPr>
          <w:lang w:bidi="en-US"/>
        </w:rPr>
        <w:t xml:space="preserve">of NFEs are </w:t>
      </w:r>
      <w:r w:rsidR="0000694B" w:rsidRPr="0000694B">
        <w:rPr>
          <w:lang w:bidi="en-US"/>
        </w:rPr>
        <w:t>household enterprises operated by necessity</w:t>
      </w:r>
      <w:r w:rsidR="00790962">
        <w:rPr>
          <w:lang w:bidi="en-US"/>
        </w:rPr>
        <w:t>, firms at the</w:t>
      </w:r>
      <w:r w:rsidR="0000694B" w:rsidRPr="0000694B">
        <w:rPr>
          <w:lang w:bidi="en-US"/>
        </w:rPr>
        <w:t xml:space="preserve"> upper end act</w:t>
      </w:r>
      <w:r w:rsidR="001A366C">
        <w:rPr>
          <w:lang w:bidi="en-US"/>
        </w:rPr>
        <w:t xml:space="preserve"> more like</w:t>
      </w:r>
      <w:r w:rsidR="00F428F9">
        <w:rPr>
          <w:lang w:bidi="en-US"/>
        </w:rPr>
        <w:t xml:space="preserve"> </w:t>
      </w:r>
      <w:r w:rsidR="0000694B" w:rsidRPr="0000694B">
        <w:rPr>
          <w:lang w:bidi="en-US"/>
        </w:rPr>
        <w:t>microenterprise</w:t>
      </w:r>
      <w:r w:rsidR="00790962">
        <w:rPr>
          <w:lang w:bidi="en-US"/>
        </w:rPr>
        <w:t xml:space="preserve">s that seek to increase </w:t>
      </w:r>
      <w:r w:rsidR="0000694B" w:rsidRPr="0000694B">
        <w:rPr>
          <w:lang w:bidi="en-US"/>
        </w:rPr>
        <w:t xml:space="preserve">productivity and generate jobs. </w:t>
      </w:r>
    </w:p>
    <w:p w14:paraId="141491D9" w14:textId="76A4EF8A" w:rsidR="0000694B" w:rsidRDefault="004E78E7" w:rsidP="00D727BF">
      <w:pPr>
        <w:pStyle w:val="ParagraphNumbering"/>
        <w:numPr>
          <w:ilvl w:val="0"/>
          <w:numId w:val="0"/>
        </w:numPr>
        <w:tabs>
          <w:tab w:val="left" w:pos="720"/>
        </w:tabs>
        <w:spacing w:after="240"/>
      </w:pPr>
      <w:r>
        <w:tab/>
      </w:r>
      <w:r w:rsidR="0000694B" w:rsidRPr="00175186">
        <w:t xml:space="preserve">For ease of analysis, </w:t>
      </w:r>
      <w:r w:rsidR="00790962" w:rsidRPr="00175186">
        <w:t>the</w:t>
      </w:r>
      <w:r w:rsidR="00B3356F" w:rsidRPr="00175186">
        <w:t xml:space="preserve"> enterprises </w:t>
      </w:r>
      <w:r w:rsidR="00127FC3" w:rsidRPr="00175186">
        <w:t>considered</w:t>
      </w:r>
      <w:r w:rsidR="00790962" w:rsidRPr="00175186">
        <w:t xml:space="preserve"> in the </w:t>
      </w:r>
      <w:r w:rsidR="00106975">
        <w:t>household survey</w:t>
      </w:r>
      <w:r w:rsidR="00790962" w:rsidRPr="00175186">
        <w:t xml:space="preserve"> module</w:t>
      </w:r>
      <w:r w:rsidR="00790962" w:rsidRPr="000F6A00">
        <w:rPr>
          <w:b/>
        </w:rPr>
        <w:t xml:space="preserve"> </w:t>
      </w:r>
      <w:r w:rsidR="00790962">
        <w:t xml:space="preserve">can be categorized as follows: </w:t>
      </w:r>
      <w:r w:rsidR="0000694B" w:rsidRPr="0000694B">
        <w:t>(</w:t>
      </w:r>
      <w:r w:rsidR="00790962">
        <w:t>a</w:t>
      </w:r>
      <w:r w:rsidR="0000694B" w:rsidRPr="0000694B">
        <w:t xml:space="preserve">) </w:t>
      </w:r>
      <w:r w:rsidR="00127FC3" w:rsidRPr="000F6A00">
        <w:rPr>
          <w:i/>
        </w:rPr>
        <w:t>NFEs</w:t>
      </w:r>
      <w:r w:rsidR="00790962">
        <w:t>—a</w:t>
      </w:r>
      <w:r w:rsidR="0000694B" w:rsidRPr="0000694B">
        <w:t>ll</w:t>
      </w:r>
      <w:r w:rsidR="00B3356F">
        <w:t xml:space="preserve"> </w:t>
      </w:r>
      <w:r w:rsidR="001A366C">
        <w:t>enterprises</w:t>
      </w:r>
      <w:r w:rsidR="00B3356F">
        <w:t xml:space="preserve"> </w:t>
      </w:r>
      <w:r w:rsidR="0000694B" w:rsidRPr="0000694B">
        <w:t xml:space="preserve">that </w:t>
      </w:r>
      <w:r w:rsidR="00790962">
        <w:t xml:space="preserve">operate in </w:t>
      </w:r>
      <w:r w:rsidR="0000694B" w:rsidRPr="0000694B">
        <w:t>nonagricultural sectors</w:t>
      </w:r>
      <w:r w:rsidR="00790962">
        <w:t xml:space="preserve">; </w:t>
      </w:r>
      <w:r w:rsidR="0000694B" w:rsidRPr="0000694B">
        <w:t>(</w:t>
      </w:r>
      <w:r w:rsidR="00790962">
        <w:t>b</w:t>
      </w:r>
      <w:r w:rsidR="0000694B" w:rsidRPr="0000694B">
        <w:t xml:space="preserve">) </w:t>
      </w:r>
      <w:r w:rsidR="00127FC3" w:rsidRPr="000F6A00">
        <w:rPr>
          <w:i/>
        </w:rPr>
        <w:t>household enterprises</w:t>
      </w:r>
      <w:r w:rsidR="00127FC3">
        <w:t xml:space="preserve">—NFEs that do not employ any </w:t>
      </w:r>
      <w:r w:rsidR="00127FC3" w:rsidRPr="0000694B">
        <w:t xml:space="preserve">nonfamily </w:t>
      </w:r>
      <w:r w:rsidR="00127FC3">
        <w:t>worker</w:t>
      </w:r>
      <w:r w:rsidR="00175186">
        <w:t xml:space="preserve"> and are not registered with the CAC</w:t>
      </w:r>
      <w:r w:rsidR="00127FC3">
        <w:t>; and (c)</w:t>
      </w:r>
      <w:r w:rsidR="00127FC3" w:rsidRPr="0000694B">
        <w:t xml:space="preserve"> </w:t>
      </w:r>
      <w:r w:rsidR="0000694B" w:rsidRPr="000F6A00">
        <w:rPr>
          <w:i/>
        </w:rPr>
        <w:t>microenterprises</w:t>
      </w:r>
      <w:r w:rsidR="00127FC3">
        <w:t xml:space="preserve">—NFEs </w:t>
      </w:r>
      <w:r w:rsidR="00790962">
        <w:t>that</w:t>
      </w:r>
      <w:r w:rsidR="0000694B" w:rsidRPr="0000694B">
        <w:t xml:space="preserve"> employ</w:t>
      </w:r>
      <w:r w:rsidR="00790962">
        <w:t xml:space="preserve"> at least one nonfamily member</w:t>
      </w:r>
      <w:r w:rsidR="0000694B" w:rsidRPr="0000694B">
        <w:t xml:space="preserve"> and/or are registered with the CAC</w:t>
      </w:r>
      <w:r w:rsidR="00127FC3">
        <w:t>.</w:t>
      </w:r>
      <w:r w:rsidR="0000694B" w:rsidRPr="0000694B">
        <w:t xml:space="preserve"> </w:t>
      </w:r>
    </w:p>
    <w:p w14:paraId="395ABD8A" w14:textId="14B47698" w:rsidR="006443CB" w:rsidRPr="0000694B" w:rsidRDefault="004E78E7" w:rsidP="00D727BF">
      <w:pPr>
        <w:pStyle w:val="ParagraphNumbering"/>
        <w:numPr>
          <w:ilvl w:val="0"/>
          <w:numId w:val="0"/>
        </w:numPr>
        <w:tabs>
          <w:tab w:val="left" w:pos="720"/>
        </w:tabs>
        <w:spacing w:after="240"/>
      </w:pPr>
      <w:r>
        <w:lastRenderedPageBreak/>
        <w:tab/>
      </w:r>
      <w:r w:rsidR="006443CB">
        <w:t xml:space="preserve">In 2013, </w:t>
      </w:r>
      <w:r w:rsidR="00A74EC4">
        <w:t>approximately</w:t>
      </w:r>
      <w:r w:rsidR="00A74EC4" w:rsidRPr="0000694B">
        <w:t xml:space="preserve"> </w:t>
      </w:r>
      <w:r w:rsidR="006443CB" w:rsidRPr="0000694B">
        <w:t xml:space="preserve">12 percent of NFEs </w:t>
      </w:r>
      <w:r w:rsidR="006443CB">
        <w:t>are</w:t>
      </w:r>
      <w:r w:rsidR="006443CB" w:rsidRPr="0000694B">
        <w:t xml:space="preserve"> </w:t>
      </w:r>
      <w:r w:rsidR="00A74EC4">
        <w:t>MEs</w:t>
      </w:r>
      <w:r w:rsidR="006443CB">
        <w:t>,</w:t>
      </w:r>
      <w:r w:rsidR="006443CB" w:rsidRPr="0000694B">
        <w:t xml:space="preserve"> while the rest</w:t>
      </w:r>
      <w:r w:rsidR="006443CB">
        <w:t xml:space="preserve"> are </w:t>
      </w:r>
      <w:r w:rsidR="00A74EC4">
        <w:t>HEs</w:t>
      </w:r>
      <w:r w:rsidR="006443CB" w:rsidRPr="0000694B">
        <w:t>. Unsurprisingly</w:t>
      </w:r>
      <w:r w:rsidR="00A74EC4">
        <w:t>,</w:t>
      </w:r>
      <w:r w:rsidR="006443CB" w:rsidRPr="0000694B">
        <w:t xml:space="preserve"> a third of ME</w:t>
      </w:r>
      <w:r w:rsidR="006443CB">
        <w:t>s</w:t>
      </w:r>
      <w:r w:rsidR="006443CB" w:rsidRPr="0000694B">
        <w:t xml:space="preserve"> are located in the</w:t>
      </w:r>
      <w:r w:rsidR="006443CB">
        <w:t xml:space="preserve"> more economically active</w:t>
      </w:r>
      <w:r w:rsidR="006443CB" w:rsidRPr="0000694B">
        <w:t xml:space="preserve"> </w:t>
      </w:r>
      <w:r w:rsidR="006F6842">
        <w:t>South West zone</w:t>
      </w:r>
      <w:r w:rsidR="006443CB" w:rsidRPr="0000694B">
        <w:t xml:space="preserve"> (in particular in Lagos), followed by the </w:t>
      </w:r>
      <w:r w:rsidR="006F6842">
        <w:t>North West</w:t>
      </w:r>
      <w:r w:rsidR="006443CB" w:rsidRPr="0000694B">
        <w:t xml:space="preserve"> (21 percent) and the </w:t>
      </w:r>
      <w:r w:rsidR="006F6842">
        <w:t>South South</w:t>
      </w:r>
      <w:r w:rsidR="006443CB" w:rsidRPr="0000694B">
        <w:t xml:space="preserve"> (17 percent). The </w:t>
      </w:r>
      <w:r w:rsidR="006F6842">
        <w:t>South West zone</w:t>
      </w:r>
      <w:r w:rsidR="006443CB">
        <w:t>,</w:t>
      </w:r>
      <w:r w:rsidR="006443CB" w:rsidRPr="0000694B">
        <w:t xml:space="preserve"> along with </w:t>
      </w:r>
      <w:r w:rsidR="006443CB">
        <w:t xml:space="preserve">the states of </w:t>
      </w:r>
      <w:r w:rsidR="006443CB" w:rsidRPr="0000694B">
        <w:t>Kano and Kaduna</w:t>
      </w:r>
      <w:r w:rsidR="006443CB">
        <w:t>,</w:t>
      </w:r>
      <w:r w:rsidR="006443CB" w:rsidRPr="0000694B">
        <w:t xml:space="preserve"> account for more than half the microenterprises in Nigeria.</w:t>
      </w:r>
    </w:p>
    <w:p w14:paraId="742BE90D" w14:textId="317EA49D" w:rsidR="00127FC3" w:rsidRDefault="004E78E7" w:rsidP="00D727BF">
      <w:pPr>
        <w:pStyle w:val="ParagraphNumbering"/>
        <w:numPr>
          <w:ilvl w:val="0"/>
          <w:numId w:val="0"/>
        </w:numPr>
        <w:tabs>
          <w:tab w:val="left" w:pos="720"/>
        </w:tabs>
        <w:spacing w:after="240"/>
      </w:pPr>
      <w:r>
        <w:rPr>
          <w:b/>
        </w:rPr>
        <w:tab/>
      </w:r>
      <w:r w:rsidR="0000694B" w:rsidRPr="000F6A00">
        <w:rPr>
          <w:b/>
        </w:rPr>
        <w:t>Th</w:t>
      </w:r>
      <w:r w:rsidR="00106975">
        <w:rPr>
          <w:b/>
        </w:rPr>
        <w:t>e</w:t>
      </w:r>
      <w:r w:rsidR="0000694B" w:rsidRPr="000F6A00">
        <w:rPr>
          <w:b/>
        </w:rPr>
        <w:t xml:space="preserve"> </w:t>
      </w:r>
      <w:r w:rsidR="00127FC3">
        <w:rPr>
          <w:b/>
        </w:rPr>
        <w:t xml:space="preserve">remainder of </w:t>
      </w:r>
      <w:r w:rsidR="00106975">
        <w:rPr>
          <w:b/>
        </w:rPr>
        <w:t xml:space="preserve">this </w:t>
      </w:r>
      <w:r w:rsidR="0000694B" w:rsidRPr="000F6A00">
        <w:rPr>
          <w:b/>
        </w:rPr>
        <w:t>chapter is organized as follows</w:t>
      </w:r>
      <w:r w:rsidR="00106975">
        <w:rPr>
          <w:b/>
        </w:rPr>
        <w:t>:</w:t>
      </w:r>
      <w:r w:rsidR="00F428F9">
        <w:rPr>
          <w:b/>
        </w:rPr>
        <w:t xml:space="preserve"> </w:t>
      </w:r>
      <w:r w:rsidR="0000694B" w:rsidRPr="0000694B">
        <w:t xml:space="preserve">The </w:t>
      </w:r>
      <w:r w:rsidR="00127FC3">
        <w:t xml:space="preserve">second </w:t>
      </w:r>
      <w:r w:rsidR="0000694B" w:rsidRPr="0000694B">
        <w:t xml:space="preserve">section demonstrates that the NFE sector can actually be </w:t>
      </w:r>
      <w:r w:rsidR="00A74EC4">
        <w:t>considered</w:t>
      </w:r>
      <w:r w:rsidR="00A74EC4" w:rsidRPr="0000694B">
        <w:t xml:space="preserve"> </w:t>
      </w:r>
      <w:r w:rsidR="0000694B" w:rsidRPr="0000694B">
        <w:t xml:space="preserve">as a dual economy with different growth strategies, different players, and different patterns. The </w:t>
      </w:r>
      <w:r w:rsidR="00127FC3">
        <w:t xml:space="preserve">third </w:t>
      </w:r>
      <w:r w:rsidR="0000694B" w:rsidRPr="0000694B">
        <w:t xml:space="preserve">section investigates the performance of each </w:t>
      </w:r>
      <w:r w:rsidR="00DC7314">
        <w:t xml:space="preserve">part </w:t>
      </w:r>
      <w:r w:rsidR="0000694B" w:rsidRPr="0000694B">
        <w:t>of this economy and its drivers.</w:t>
      </w:r>
    </w:p>
    <w:p w14:paraId="539892E7" w14:textId="77777777" w:rsidR="0000694B" w:rsidRPr="0000694B" w:rsidRDefault="0000694B" w:rsidP="00D727BF">
      <w:pPr>
        <w:pStyle w:val="Heading2"/>
        <w:tabs>
          <w:tab w:val="left" w:pos="720"/>
        </w:tabs>
        <w:spacing w:before="0"/>
      </w:pPr>
      <w:bookmarkStart w:id="125" w:name="_Toc444877507"/>
      <w:bookmarkStart w:id="126" w:name="_Toc445450281"/>
      <w:r w:rsidRPr="0000694B">
        <w:t>The NFE Sector, a Dual Economy</w:t>
      </w:r>
      <w:bookmarkEnd w:id="125"/>
      <w:bookmarkEnd w:id="126"/>
    </w:p>
    <w:p w14:paraId="1F489970" w14:textId="6777159E" w:rsidR="0000694B" w:rsidRPr="0000694B" w:rsidRDefault="004E78E7" w:rsidP="00D727BF">
      <w:pPr>
        <w:pStyle w:val="ParagraphNumbering"/>
        <w:numPr>
          <w:ilvl w:val="0"/>
          <w:numId w:val="0"/>
        </w:numPr>
        <w:tabs>
          <w:tab w:val="left" w:pos="720"/>
        </w:tabs>
        <w:spacing w:after="240"/>
      </w:pPr>
      <w:r>
        <w:rPr>
          <w:b/>
        </w:rPr>
        <w:tab/>
      </w:r>
      <w:r w:rsidR="0000694B" w:rsidRPr="0000694B">
        <w:rPr>
          <w:b/>
        </w:rPr>
        <w:t xml:space="preserve">The NFE sector does not appear to create jobs even </w:t>
      </w:r>
      <w:r w:rsidR="00E46048">
        <w:rPr>
          <w:b/>
        </w:rPr>
        <w:t>when there is a</w:t>
      </w:r>
      <w:r w:rsidR="0000694B" w:rsidRPr="0000694B">
        <w:rPr>
          <w:b/>
        </w:rPr>
        <w:t xml:space="preserve"> substantial sales increase.</w:t>
      </w:r>
      <w:r w:rsidR="0000694B" w:rsidRPr="0000694B">
        <w:t xml:space="preserve"> At the national level, NFEs reported a substantial increase in sales (about + 28 percent in nominal terms and + 24 percent in real terms</w:t>
      </w:r>
      <w:r w:rsidR="00A74EC4">
        <w:t>,</w:t>
      </w:r>
      <w:r w:rsidR="0000694B" w:rsidRPr="0000694B">
        <w:t xml:space="preserve"> annually) </w:t>
      </w:r>
      <w:r w:rsidR="00B3356F">
        <w:t xml:space="preserve">between 2011 and 2013 but </w:t>
      </w:r>
      <w:r w:rsidR="0000694B" w:rsidRPr="0000694B">
        <w:t>a small decline in employment growth (- 3.2 percent annually).</w:t>
      </w:r>
      <w:r w:rsidR="00F428F9">
        <w:t xml:space="preserve"> </w:t>
      </w:r>
      <w:r w:rsidR="0000694B" w:rsidRPr="00585E07">
        <w:fldChar w:fldCharType="begin"/>
      </w:r>
      <w:r w:rsidR="0000694B" w:rsidRPr="00585E07">
        <w:instrText xml:space="preserve"> REF _Ref430368937 \h </w:instrText>
      </w:r>
      <w:r w:rsidR="00585E07" w:rsidRPr="00585E07">
        <w:instrText xml:space="preserve"> \* MERGEFORMAT </w:instrText>
      </w:r>
      <w:r w:rsidR="0000694B" w:rsidRPr="00585E07">
        <w:fldChar w:fldCharType="separate"/>
      </w:r>
      <w:r w:rsidR="008A3BBD" w:rsidRPr="00D727BF">
        <w:rPr>
          <w:rFonts w:eastAsia="Calibri"/>
        </w:rPr>
        <w:t xml:space="preserve">Figure </w:t>
      </w:r>
      <w:r w:rsidR="008A3BBD" w:rsidRPr="00D727BF">
        <w:rPr>
          <w:rFonts w:eastAsia="Calibri"/>
          <w:bCs w:val="0"/>
          <w:noProof/>
        </w:rPr>
        <w:t>22</w:t>
      </w:r>
      <w:r w:rsidR="0000694B" w:rsidRPr="00585E07">
        <w:fldChar w:fldCharType="end"/>
      </w:r>
      <w:r w:rsidR="0000694B" w:rsidRPr="00585E07">
        <w:t xml:space="preserve"> rep</w:t>
      </w:r>
      <w:r w:rsidR="0000694B" w:rsidRPr="0000694B">
        <w:t xml:space="preserve">orts the average annual sales growth and employment growth observed between the two </w:t>
      </w:r>
      <w:r w:rsidR="00106975">
        <w:t>h</w:t>
      </w:r>
      <w:r w:rsidR="0000694B" w:rsidRPr="0000694B">
        <w:t xml:space="preserve">ousehold </w:t>
      </w:r>
      <w:r w:rsidR="00106975">
        <w:t>s</w:t>
      </w:r>
      <w:r w:rsidR="0000694B" w:rsidRPr="0000694B">
        <w:t>urvey rounds (2010</w:t>
      </w:r>
      <w:r w:rsidR="00106975">
        <w:rPr>
          <w:rFonts w:ascii="Calibri" w:hAnsi="Calibri"/>
        </w:rPr>
        <w:t>‒</w:t>
      </w:r>
      <w:r w:rsidR="0000694B" w:rsidRPr="0000694B">
        <w:t>11 and 2012</w:t>
      </w:r>
      <w:r w:rsidR="00106975">
        <w:rPr>
          <w:rFonts w:ascii="Calibri" w:hAnsi="Calibri"/>
        </w:rPr>
        <w:t>‒1</w:t>
      </w:r>
      <w:r w:rsidR="0000694B" w:rsidRPr="0000694B">
        <w:t xml:space="preserve">3) by geopolitical zone. </w:t>
      </w:r>
    </w:p>
    <w:p w14:paraId="3F331848" w14:textId="5E854CE0" w:rsidR="0000694B" w:rsidRPr="0000694B" w:rsidRDefault="0000694B" w:rsidP="00D727BF">
      <w:pPr>
        <w:pStyle w:val="Caption"/>
        <w:tabs>
          <w:tab w:val="left" w:pos="720"/>
        </w:tabs>
        <w:jc w:val="center"/>
      </w:pPr>
      <w:bookmarkStart w:id="127" w:name="_Ref430368937"/>
      <w:bookmarkStart w:id="128" w:name="_Toc445449640"/>
      <w:r w:rsidRPr="0000694B">
        <w:rPr>
          <w:b w:val="0"/>
          <w:bCs w:val="0"/>
        </w:rPr>
        <w:t>Figure</w:t>
      </w:r>
      <w:r w:rsidR="00623742">
        <w:t xml:space="preserve"> </w:t>
      </w:r>
      <w:fldSimple w:instr=" SEQ Figure \* ARABIC ">
        <w:r w:rsidR="008A3BBD">
          <w:rPr>
            <w:noProof/>
          </w:rPr>
          <w:t>22</w:t>
        </w:r>
      </w:fldSimple>
      <w:bookmarkEnd w:id="127"/>
      <w:r w:rsidRPr="0000694B">
        <w:rPr>
          <w:b w:val="0"/>
          <w:bCs w:val="0"/>
        </w:rPr>
        <w:t xml:space="preserve">: Annual </w:t>
      </w:r>
      <w:r w:rsidR="00B3356F">
        <w:rPr>
          <w:b w:val="0"/>
          <w:bCs w:val="0"/>
        </w:rPr>
        <w:t>E</w:t>
      </w:r>
      <w:r w:rsidRPr="0000694B">
        <w:rPr>
          <w:b w:val="0"/>
          <w:bCs w:val="0"/>
        </w:rPr>
        <w:t xml:space="preserve">mployment and </w:t>
      </w:r>
      <w:r w:rsidR="00B3356F">
        <w:rPr>
          <w:b w:val="0"/>
          <w:bCs w:val="0"/>
        </w:rPr>
        <w:t>S</w:t>
      </w:r>
      <w:r w:rsidRPr="0000694B">
        <w:rPr>
          <w:b w:val="0"/>
          <w:bCs w:val="0"/>
        </w:rPr>
        <w:t xml:space="preserve">ales </w:t>
      </w:r>
      <w:r w:rsidR="00B3356F">
        <w:rPr>
          <w:b w:val="0"/>
          <w:bCs w:val="0"/>
        </w:rPr>
        <w:t>G</w:t>
      </w:r>
      <w:r w:rsidRPr="0000694B">
        <w:rPr>
          <w:b w:val="0"/>
          <w:bCs w:val="0"/>
        </w:rPr>
        <w:t xml:space="preserve">rowth </w:t>
      </w:r>
      <w:r w:rsidR="00B3356F">
        <w:rPr>
          <w:b w:val="0"/>
          <w:bCs w:val="0"/>
        </w:rPr>
        <w:t>O</w:t>
      </w:r>
      <w:r w:rsidRPr="0000694B">
        <w:rPr>
          <w:b w:val="0"/>
          <w:bCs w:val="0"/>
        </w:rPr>
        <w:t xml:space="preserve">bserved </w:t>
      </w:r>
      <w:r w:rsidR="0031782C">
        <w:rPr>
          <w:b w:val="0"/>
          <w:bCs w:val="0"/>
        </w:rPr>
        <w:t xml:space="preserve">by Zone, </w:t>
      </w:r>
      <w:r w:rsidRPr="0000694B">
        <w:rPr>
          <w:b w:val="0"/>
          <w:bCs w:val="0"/>
        </w:rPr>
        <w:t>2011</w:t>
      </w:r>
      <w:r w:rsidR="001F32CA">
        <w:rPr>
          <w:rFonts w:ascii="Calibri" w:hAnsi="Calibri"/>
          <w:b w:val="0"/>
          <w:bCs w:val="0"/>
        </w:rPr>
        <w:t>‒</w:t>
      </w:r>
      <w:r w:rsidRPr="0000694B">
        <w:rPr>
          <w:b w:val="0"/>
          <w:bCs w:val="0"/>
        </w:rPr>
        <w:t>2013</w:t>
      </w:r>
      <w:bookmarkEnd w:id="128"/>
    </w:p>
    <w:p w14:paraId="26375DA5" w14:textId="77777777" w:rsidR="0000694B" w:rsidRPr="0000694B" w:rsidRDefault="0000694B" w:rsidP="00D727BF">
      <w:pPr>
        <w:tabs>
          <w:tab w:val="left" w:pos="720"/>
        </w:tabs>
        <w:jc w:val="center"/>
        <w:rPr>
          <w:rFonts w:eastAsia="Times New Roman" w:cs="Times New Roman"/>
          <w:bCs/>
          <w:szCs w:val="24"/>
        </w:rPr>
      </w:pPr>
      <w:r w:rsidRPr="0000694B">
        <w:rPr>
          <w:rFonts w:eastAsia="Times New Roman" w:cs="Times New Roman"/>
          <w:bCs/>
          <w:noProof/>
          <w:szCs w:val="24"/>
          <w:shd w:val="clear" w:color="auto" w:fill="128F9C" w:themeFill="accent6"/>
        </w:rPr>
        <w:drawing>
          <wp:inline distT="0" distB="0" distL="0" distR="0" wp14:anchorId="22CC7796" wp14:editId="19147077">
            <wp:extent cx="4572000" cy="24098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105477" w14:textId="0942DFF3" w:rsidR="0000694B" w:rsidRPr="001845F3" w:rsidRDefault="0000694B" w:rsidP="00D727BF">
      <w:pPr>
        <w:tabs>
          <w:tab w:val="left" w:pos="720"/>
        </w:tabs>
        <w:spacing w:after="120"/>
        <w:rPr>
          <w:rFonts w:eastAsia="Times New Roman" w:cs="Times New Roman"/>
          <w:sz w:val="18"/>
          <w:szCs w:val="18"/>
        </w:rPr>
      </w:pPr>
      <w:r w:rsidRPr="001845F3">
        <w:rPr>
          <w:rFonts w:eastAsia="Times New Roman" w:cs="Times New Roman"/>
          <w:sz w:val="18"/>
          <w:szCs w:val="18"/>
        </w:rPr>
        <w:t>Source:</w:t>
      </w:r>
      <w:r w:rsidR="00F428F9" w:rsidRPr="001845F3">
        <w:rPr>
          <w:rFonts w:eastAsia="Times New Roman" w:cs="Times New Roman"/>
          <w:sz w:val="18"/>
          <w:szCs w:val="18"/>
        </w:rPr>
        <w:t xml:space="preserve"> </w:t>
      </w:r>
      <w:r w:rsidRPr="001845F3">
        <w:rPr>
          <w:rFonts w:eastAsia="Times New Roman" w:cs="Times New Roman"/>
          <w:sz w:val="18"/>
          <w:szCs w:val="18"/>
        </w:rPr>
        <w:t>Authors</w:t>
      </w:r>
      <w:r w:rsidR="00863D16">
        <w:rPr>
          <w:rFonts w:eastAsia="Times New Roman" w:cs="Times New Roman"/>
          <w:sz w:val="18"/>
          <w:szCs w:val="18"/>
        </w:rPr>
        <w:t>’</w:t>
      </w:r>
      <w:r w:rsidRPr="001845F3">
        <w:rPr>
          <w:rFonts w:eastAsia="Times New Roman" w:cs="Times New Roman"/>
          <w:sz w:val="18"/>
          <w:szCs w:val="18"/>
        </w:rPr>
        <w:t xml:space="preserve"> calculations based on GHS </w:t>
      </w:r>
      <w:r w:rsidR="0031782C" w:rsidRPr="001845F3">
        <w:rPr>
          <w:rFonts w:eastAsia="Times New Roman" w:cs="Times New Roman"/>
          <w:sz w:val="18"/>
          <w:szCs w:val="18"/>
        </w:rPr>
        <w:t>2010</w:t>
      </w:r>
      <w:r w:rsidR="00106975">
        <w:rPr>
          <w:rFonts w:ascii="Calibri" w:eastAsia="Times New Roman" w:hAnsi="Calibri" w:cs="Times New Roman"/>
          <w:sz w:val="18"/>
          <w:szCs w:val="18"/>
        </w:rPr>
        <w:t>‒</w:t>
      </w:r>
      <w:r w:rsidR="0031782C" w:rsidRPr="001845F3">
        <w:rPr>
          <w:rFonts w:eastAsia="Times New Roman" w:cs="Times New Roman"/>
          <w:sz w:val="18"/>
          <w:szCs w:val="18"/>
        </w:rPr>
        <w:t xml:space="preserve">2011 and </w:t>
      </w:r>
      <w:r w:rsidRPr="001845F3">
        <w:rPr>
          <w:rFonts w:eastAsia="Times New Roman" w:cs="Times New Roman"/>
          <w:sz w:val="18"/>
          <w:szCs w:val="18"/>
        </w:rPr>
        <w:t>2012</w:t>
      </w:r>
      <w:r w:rsidR="00106975">
        <w:rPr>
          <w:rFonts w:ascii="Calibri" w:eastAsia="Times New Roman" w:hAnsi="Calibri" w:cs="Times New Roman"/>
          <w:sz w:val="18"/>
          <w:szCs w:val="18"/>
        </w:rPr>
        <w:t>‒</w:t>
      </w:r>
      <w:r w:rsidRPr="001845F3">
        <w:rPr>
          <w:rFonts w:eastAsia="Times New Roman" w:cs="Times New Roman"/>
          <w:sz w:val="18"/>
          <w:szCs w:val="18"/>
        </w:rPr>
        <w:t>13</w:t>
      </w:r>
    </w:p>
    <w:p w14:paraId="4E8524AF" w14:textId="77777777" w:rsidR="0000694B" w:rsidRPr="001845F3" w:rsidRDefault="0000694B" w:rsidP="00D727BF">
      <w:pPr>
        <w:tabs>
          <w:tab w:val="left" w:pos="720"/>
        </w:tabs>
        <w:spacing w:after="0"/>
        <w:rPr>
          <w:rFonts w:eastAsia="Times New Roman" w:cs="Times New Roman"/>
          <w:bCs/>
          <w:sz w:val="18"/>
          <w:szCs w:val="18"/>
        </w:rPr>
      </w:pPr>
      <w:r w:rsidRPr="001845F3">
        <w:rPr>
          <w:rFonts w:eastAsia="Times New Roman" w:cs="Times New Roman"/>
          <w:bCs/>
          <w:sz w:val="18"/>
          <w:szCs w:val="18"/>
        </w:rPr>
        <w:t>Note: This graph corresponds to firms that were active during both waves of the</w:t>
      </w:r>
      <w:r w:rsidR="005A36CB" w:rsidRPr="001845F3">
        <w:rPr>
          <w:rFonts w:eastAsia="Times New Roman" w:cs="Times New Roman"/>
          <w:bCs/>
          <w:sz w:val="18"/>
          <w:szCs w:val="18"/>
        </w:rPr>
        <w:t xml:space="preserve"> GHS.</w:t>
      </w:r>
    </w:p>
    <w:p w14:paraId="64DD240A" w14:textId="77777777" w:rsidR="0000694B" w:rsidRPr="00C62663" w:rsidRDefault="0000694B" w:rsidP="00D727BF">
      <w:pPr>
        <w:tabs>
          <w:tab w:val="left" w:pos="720"/>
        </w:tabs>
        <w:spacing w:after="0"/>
        <w:rPr>
          <w:rFonts w:eastAsia="Times New Roman" w:cs="Times New Roman"/>
          <w:bCs/>
          <w:szCs w:val="24"/>
        </w:rPr>
      </w:pPr>
    </w:p>
    <w:p w14:paraId="65472405" w14:textId="659616EF" w:rsidR="005A36CB" w:rsidRDefault="004E78E7" w:rsidP="00D727BF">
      <w:pPr>
        <w:pStyle w:val="ParagraphNumbering"/>
        <w:numPr>
          <w:ilvl w:val="0"/>
          <w:numId w:val="0"/>
        </w:numPr>
        <w:tabs>
          <w:tab w:val="left" w:pos="720"/>
        </w:tabs>
      </w:pPr>
      <w:r>
        <w:tab/>
      </w:r>
      <w:r w:rsidR="0000694B" w:rsidRPr="000F6A00">
        <w:t>Although</w:t>
      </w:r>
      <w:r w:rsidR="0031782C" w:rsidRPr="00AE6F13">
        <w:t xml:space="preserve"> NFEs do not </w:t>
      </w:r>
      <w:r w:rsidR="0031782C" w:rsidRPr="00FC4AF5">
        <w:t xml:space="preserve">appear to </w:t>
      </w:r>
      <w:r w:rsidR="0031782C" w:rsidRPr="00C57ECD">
        <w:t xml:space="preserve">contribute to </w:t>
      </w:r>
      <w:r w:rsidR="0000694B" w:rsidRPr="000F6A00">
        <w:t xml:space="preserve">wage work, </w:t>
      </w:r>
      <w:r w:rsidR="00A74EC4">
        <w:t xml:space="preserve">considering HEs and MEs </w:t>
      </w:r>
      <w:r w:rsidR="00B34E31" w:rsidRPr="00FC4AF5">
        <w:t xml:space="preserve">as </w:t>
      </w:r>
      <w:r w:rsidR="00A74EC4">
        <w:t xml:space="preserve">two discrete </w:t>
      </w:r>
      <w:r w:rsidR="00B34E31" w:rsidRPr="00FC4AF5">
        <w:t>groups</w:t>
      </w:r>
      <w:r w:rsidR="00B34E31" w:rsidRPr="00C57ECD">
        <w:t xml:space="preserve"> </w:t>
      </w:r>
      <w:r w:rsidR="00A74EC4">
        <w:t xml:space="preserve">yields a different conclusion </w:t>
      </w:r>
      <w:r w:rsidR="00B34E31" w:rsidRPr="00B67219">
        <w:t>(</w:t>
      </w:r>
      <w:r w:rsidR="00106975">
        <w:t xml:space="preserve">figure </w:t>
      </w:r>
      <w:r w:rsidR="002D560A">
        <w:t>23).</w:t>
      </w:r>
      <w:r w:rsidR="0000694B" w:rsidRPr="00B67219">
        <w:t xml:space="preserve"> </w:t>
      </w:r>
      <w:r w:rsidR="0000694B" w:rsidRPr="0000694B">
        <w:t xml:space="preserve">While 44 percent of NFEs reported an increase in sales between 2011 and 2013, only </w:t>
      </w:r>
      <w:r w:rsidR="001845F4">
        <w:t>18</w:t>
      </w:r>
      <w:r w:rsidR="0000694B" w:rsidRPr="0000694B">
        <w:t xml:space="preserve"> percent grew in </w:t>
      </w:r>
      <w:r w:rsidR="00CB6271">
        <w:t>employment (</w:t>
      </w:r>
      <w:r w:rsidR="0000694B" w:rsidRPr="0000694B">
        <w:t>size</w:t>
      </w:r>
      <w:r w:rsidR="00CB6271">
        <w:t>)</w:t>
      </w:r>
      <w:r w:rsidR="0000694B" w:rsidRPr="0000694B">
        <w:t xml:space="preserve"> during this period</w:t>
      </w:r>
      <w:r w:rsidR="00E6258B">
        <w:t>.</w:t>
      </w:r>
      <w:r w:rsidR="0000694B" w:rsidRPr="0000694B">
        <w:t xml:space="preserve"> This pattern </w:t>
      </w:r>
      <w:r w:rsidR="00E6258B">
        <w:t xml:space="preserve">was the same </w:t>
      </w:r>
      <w:r w:rsidR="0000694B" w:rsidRPr="0000694B">
        <w:t xml:space="preserve">for </w:t>
      </w:r>
      <w:r w:rsidR="00A74EC4">
        <w:t>HEs</w:t>
      </w:r>
      <w:r w:rsidR="001845F4">
        <w:t xml:space="preserve">; </w:t>
      </w:r>
      <w:r w:rsidR="0000694B" w:rsidRPr="0000694B">
        <w:t>43 percent reported an increase in sales</w:t>
      </w:r>
      <w:r w:rsidR="00106975">
        <w:t>,</w:t>
      </w:r>
      <w:r w:rsidR="001845F4">
        <w:t xml:space="preserve"> but only 15 percent reported an increase in employment.</w:t>
      </w:r>
      <w:r w:rsidR="0000694B" w:rsidRPr="0000694B">
        <w:t xml:space="preserve"> </w:t>
      </w:r>
      <w:r w:rsidR="00A74EC4">
        <w:t>MEs</w:t>
      </w:r>
      <w:r w:rsidR="00E46048">
        <w:t>, o</w:t>
      </w:r>
      <w:r w:rsidR="0000694B" w:rsidRPr="0000694B">
        <w:t>n the other hand, react</w:t>
      </w:r>
      <w:r w:rsidR="00E6258B">
        <w:t>ed</w:t>
      </w:r>
      <w:r w:rsidR="0000694B" w:rsidRPr="0000694B">
        <w:t xml:space="preserve"> differently</w:t>
      </w:r>
      <w:r w:rsidR="00E46048">
        <w:t xml:space="preserve"> to an increase in sales</w:t>
      </w:r>
      <w:r w:rsidR="00A74EC4">
        <w:t>;</w:t>
      </w:r>
      <w:r w:rsidR="00E46048">
        <w:t xml:space="preserve"> </w:t>
      </w:r>
      <w:r w:rsidR="0000694B" w:rsidRPr="0000694B">
        <w:t>48 percent</w:t>
      </w:r>
      <w:r w:rsidR="006443CB">
        <w:t xml:space="preserve"> of MEs experienced an</w:t>
      </w:r>
      <w:r w:rsidR="0000694B" w:rsidRPr="0000694B">
        <w:t xml:space="preserve"> </w:t>
      </w:r>
      <w:r w:rsidR="00E46048">
        <w:t xml:space="preserve">increase in sales, and </w:t>
      </w:r>
      <w:r w:rsidR="00BB33C5">
        <w:t xml:space="preserve">almost 40 percent also reported an increase in </w:t>
      </w:r>
      <w:r w:rsidR="0000694B" w:rsidRPr="0000694B">
        <w:t>employment</w:t>
      </w:r>
      <w:r w:rsidR="00242CF2">
        <w:t>.</w:t>
      </w:r>
      <w:r w:rsidR="00F428F9">
        <w:t xml:space="preserve"> </w:t>
      </w:r>
    </w:p>
    <w:p w14:paraId="51431B39" w14:textId="183A2D8E" w:rsidR="00915DDA" w:rsidRDefault="00915DDA" w:rsidP="00D727BF">
      <w:pPr>
        <w:pStyle w:val="ParagraphNumbering"/>
        <w:numPr>
          <w:ilvl w:val="0"/>
          <w:numId w:val="0"/>
        </w:numPr>
        <w:tabs>
          <w:tab w:val="left" w:pos="720"/>
        </w:tabs>
      </w:pPr>
    </w:p>
    <w:p w14:paraId="0AF27196" w14:textId="77777777" w:rsidR="00915DDA" w:rsidRPr="00E46048" w:rsidRDefault="00915DDA" w:rsidP="00D727BF">
      <w:pPr>
        <w:pStyle w:val="ParagraphNumbering"/>
        <w:numPr>
          <w:ilvl w:val="0"/>
          <w:numId w:val="0"/>
        </w:numPr>
        <w:tabs>
          <w:tab w:val="left" w:pos="720"/>
        </w:tabs>
        <w:rPr>
          <w:rFonts w:ascii="Trebuchet MS" w:eastAsia="Calibri" w:hAnsi="Trebuchet MS"/>
          <w:color w:val="0B73B6" w:themeColor="background2" w:themeShade="BF"/>
          <w:sz w:val="20"/>
          <w:szCs w:val="18"/>
        </w:rPr>
      </w:pPr>
    </w:p>
    <w:p w14:paraId="753DB78B" w14:textId="77777777" w:rsidR="00E46048" w:rsidRDefault="00E46048" w:rsidP="00D727BF">
      <w:pPr>
        <w:tabs>
          <w:tab w:val="left" w:pos="720"/>
        </w:tabs>
        <w:spacing w:after="0"/>
        <w:rPr>
          <w:rFonts w:ascii="Trebuchet MS" w:eastAsia="Calibri" w:hAnsi="Trebuchet MS" w:cs="Times New Roman"/>
          <w:b/>
          <w:bCs/>
          <w:color w:val="0B73B6" w:themeColor="background2" w:themeShade="BF"/>
          <w:sz w:val="20"/>
          <w:szCs w:val="18"/>
        </w:rPr>
      </w:pPr>
    </w:p>
    <w:p w14:paraId="1D1EB4B3" w14:textId="49FACEBA" w:rsidR="00892767" w:rsidRDefault="00623742" w:rsidP="00D727BF">
      <w:pPr>
        <w:pStyle w:val="Caption"/>
        <w:tabs>
          <w:tab w:val="left" w:pos="720"/>
        </w:tabs>
        <w:jc w:val="center"/>
      </w:pPr>
      <w:bookmarkStart w:id="129" w:name="_Ref431669445"/>
      <w:bookmarkStart w:id="130" w:name="_Ref445131411"/>
      <w:bookmarkStart w:id="131" w:name="_Toc445449641"/>
      <w:r w:rsidRPr="0000694B">
        <w:rPr>
          <w:b w:val="0"/>
          <w:bCs w:val="0"/>
        </w:rPr>
        <w:t>Figure</w:t>
      </w:r>
      <w:r>
        <w:t xml:space="preserve"> </w:t>
      </w:r>
      <w:fldSimple w:instr=" SEQ Figure \* ARABIC ">
        <w:r w:rsidR="008A3BBD">
          <w:rPr>
            <w:noProof/>
          </w:rPr>
          <w:t>23</w:t>
        </w:r>
      </w:fldSimple>
      <w:bookmarkEnd w:id="129"/>
      <w:bookmarkEnd w:id="130"/>
      <w:r w:rsidR="005A36CB" w:rsidRPr="0000694B">
        <w:rPr>
          <w:b w:val="0"/>
          <w:bCs w:val="0"/>
        </w:rPr>
        <w:t xml:space="preserve">: Proportion of </w:t>
      </w:r>
      <w:r w:rsidR="005A36CB">
        <w:rPr>
          <w:b w:val="0"/>
          <w:bCs w:val="0"/>
        </w:rPr>
        <w:t>F</w:t>
      </w:r>
      <w:r w:rsidR="005A36CB" w:rsidRPr="0000694B">
        <w:rPr>
          <w:b w:val="0"/>
          <w:bCs w:val="0"/>
        </w:rPr>
        <w:t xml:space="preserve">irms </w:t>
      </w:r>
      <w:r w:rsidR="005A36CB">
        <w:rPr>
          <w:b w:val="0"/>
          <w:bCs w:val="0"/>
        </w:rPr>
        <w:t>G</w:t>
      </w:r>
      <w:r w:rsidR="005A36CB" w:rsidRPr="0000694B">
        <w:rPr>
          <w:b w:val="0"/>
          <w:bCs w:val="0"/>
        </w:rPr>
        <w:t xml:space="preserve">rowing, </w:t>
      </w:r>
      <w:r w:rsidR="005A36CB">
        <w:rPr>
          <w:b w:val="0"/>
          <w:bCs w:val="0"/>
        </w:rPr>
        <w:t>C</w:t>
      </w:r>
      <w:r w:rsidR="005A36CB" w:rsidRPr="0000694B">
        <w:rPr>
          <w:b w:val="0"/>
          <w:bCs w:val="0"/>
        </w:rPr>
        <w:t>onstant</w:t>
      </w:r>
      <w:r w:rsidR="001F32CA">
        <w:rPr>
          <w:b w:val="0"/>
          <w:bCs w:val="0"/>
        </w:rPr>
        <w:t>,</w:t>
      </w:r>
      <w:r w:rsidR="005A36CB" w:rsidRPr="0000694B">
        <w:rPr>
          <w:b w:val="0"/>
          <w:bCs w:val="0"/>
        </w:rPr>
        <w:t xml:space="preserve"> or </w:t>
      </w:r>
      <w:r w:rsidR="005A36CB">
        <w:rPr>
          <w:b w:val="0"/>
          <w:bCs w:val="0"/>
        </w:rPr>
        <w:t>S</w:t>
      </w:r>
      <w:r w:rsidR="005A36CB" w:rsidRPr="0000694B">
        <w:rPr>
          <w:b w:val="0"/>
          <w:bCs w:val="0"/>
        </w:rPr>
        <w:t>hrinking</w:t>
      </w:r>
      <w:r w:rsidR="005A36CB">
        <w:rPr>
          <w:b w:val="0"/>
          <w:bCs w:val="0"/>
        </w:rPr>
        <w:t>, 2011</w:t>
      </w:r>
      <w:r w:rsidR="001F32CA">
        <w:rPr>
          <w:rFonts w:ascii="Calibri" w:hAnsi="Calibri"/>
          <w:b w:val="0"/>
          <w:bCs w:val="0"/>
        </w:rPr>
        <w:t>‒</w:t>
      </w:r>
      <w:r w:rsidR="005A36CB">
        <w:rPr>
          <w:b w:val="0"/>
          <w:bCs w:val="0"/>
        </w:rPr>
        <w:t>2013</w:t>
      </w:r>
      <w:bookmarkStart w:id="132" w:name="_Ref430104108"/>
      <w:bookmarkEnd w:id="131"/>
    </w:p>
    <w:p w14:paraId="5BB746A1" w14:textId="3E06E5EF" w:rsidR="005A36CB" w:rsidRDefault="005A36CB" w:rsidP="00D727BF">
      <w:pPr>
        <w:pStyle w:val="Caption"/>
        <w:tabs>
          <w:tab w:val="left" w:pos="720"/>
        </w:tabs>
        <w:jc w:val="center"/>
      </w:pPr>
      <w:r w:rsidRPr="0000694B">
        <w:rPr>
          <w:noProof/>
        </w:rPr>
        <w:drawing>
          <wp:inline distT="0" distB="0" distL="0" distR="0" wp14:anchorId="402B36D5" wp14:editId="54E36CA8">
            <wp:extent cx="5847907" cy="2966484"/>
            <wp:effectExtent l="0" t="0" r="635" b="571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132"/>
    </w:p>
    <w:p w14:paraId="211D8780" w14:textId="23647DEE" w:rsidR="0000694B" w:rsidRPr="001845F3" w:rsidRDefault="0000694B" w:rsidP="00D727BF">
      <w:pPr>
        <w:pStyle w:val="ParagraphNumbering"/>
        <w:numPr>
          <w:ilvl w:val="0"/>
          <w:numId w:val="0"/>
        </w:numPr>
        <w:tabs>
          <w:tab w:val="left" w:pos="720"/>
        </w:tabs>
        <w:spacing w:before="120" w:after="240"/>
        <w:jc w:val="left"/>
        <w:rPr>
          <w:rFonts w:eastAsia="Calibri"/>
          <w:b/>
          <w:color w:val="0B73B6" w:themeColor="background2" w:themeShade="BF"/>
          <w:sz w:val="20"/>
          <w:szCs w:val="18"/>
        </w:rPr>
      </w:pPr>
      <w:r w:rsidRPr="001845F3">
        <w:rPr>
          <w:sz w:val="18"/>
          <w:szCs w:val="20"/>
        </w:rPr>
        <w:t>Source:</w:t>
      </w:r>
      <w:r w:rsidR="00F428F9" w:rsidRPr="001845F3">
        <w:rPr>
          <w:sz w:val="18"/>
          <w:szCs w:val="20"/>
        </w:rPr>
        <w:t xml:space="preserve"> </w:t>
      </w:r>
      <w:r w:rsidRPr="001845F3">
        <w:rPr>
          <w:sz w:val="18"/>
          <w:szCs w:val="20"/>
        </w:rPr>
        <w:t>Authors</w:t>
      </w:r>
      <w:r w:rsidR="00863D16">
        <w:rPr>
          <w:sz w:val="18"/>
          <w:szCs w:val="20"/>
        </w:rPr>
        <w:t>’</w:t>
      </w:r>
      <w:r w:rsidRPr="001845F3">
        <w:rPr>
          <w:sz w:val="18"/>
          <w:szCs w:val="20"/>
        </w:rPr>
        <w:t xml:space="preserve"> calculations based on GHS </w:t>
      </w:r>
      <w:r w:rsidR="00242CF2" w:rsidRPr="001845F3">
        <w:rPr>
          <w:sz w:val="18"/>
          <w:szCs w:val="20"/>
        </w:rPr>
        <w:t>2010</w:t>
      </w:r>
      <w:r w:rsidR="001F32CA">
        <w:rPr>
          <w:rFonts w:ascii="Calibri" w:hAnsi="Calibri"/>
          <w:sz w:val="18"/>
          <w:szCs w:val="20"/>
        </w:rPr>
        <w:t>‒</w:t>
      </w:r>
      <w:r w:rsidR="00242CF2" w:rsidRPr="001845F3">
        <w:rPr>
          <w:sz w:val="18"/>
          <w:szCs w:val="20"/>
        </w:rPr>
        <w:t>201</w:t>
      </w:r>
      <w:r w:rsidR="00E46048" w:rsidRPr="001845F3">
        <w:rPr>
          <w:sz w:val="18"/>
          <w:szCs w:val="20"/>
        </w:rPr>
        <w:t xml:space="preserve">1 and </w:t>
      </w:r>
      <w:r w:rsidRPr="001845F3">
        <w:rPr>
          <w:sz w:val="18"/>
          <w:szCs w:val="20"/>
        </w:rPr>
        <w:t>2012</w:t>
      </w:r>
      <w:r w:rsidR="001F32CA">
        <w:rPr>
          <w:rFonts w:ascii="Calibri" w:hAnsi="Calibri"/>
          <w:sz w:val="18"/>
          <w:szCs w:val="20"/>
        </w:rPr>
        <w:t>‒</w:t>
      </w:r>
      <w:r w:rsidR="00242CF2" w:rsidRPr="001845F3">
        <w:rPr>
          <w:sz w:val="18"/>
          <w:szCs w:val="20"/>
        </w:rPr>
        <w:t>20</w:t>
      </w:r>
      <w:r w:rsidRPr="001845F3">
        <w:rPr>
          <w:sz w:val="18"/>
          <w:szCs w:val="20"/>
        </w:rPr>
        <w:t>13</w:t>
      </w:r>
    </w:p>
    <w:p w14:paraId="04E3FA64" w14:textId="63D6EF4F" w:rsidR="0000694B" w:rsidRPr="0000694B" w:rsidRDefault="004E78E7" w:rsidP="00D727BF">
      <w:pPr>
        <w:pStyle w:val="ParagraphNumbering"/>
        <w:numPr>
          <w:ilvl w:val="0"/>
          <w:numId w:val="0"/>
        </w:numPr>
        <w:tabs>
          <w:tab w:val="left" w:pos="720"/>
        </w:tabs>
        <w:spacing w:after="240"/>
      </w:pPr>
      <w:r>
        <w:rPr>
          <w:b/>
        </w:rPr>
        <w:tab/>
      </w:r>
      <w:r w:rsidR="00E46048" w:rsidRPr="002D560A">
        <w:rPr>
          <w:b/>
        </w:rPr>
        <w:t xml:space="preserve">What are the differences between </w:t>
      </w:r>
      <w:r w:rsidR="0000694B" w:rsidRPr="002D560A">
        <w:rPr>
          <w:b/>
        </w:rPr>
        <w:t xml:space="preserve">owners and households </w:t>
      </w:r>
      <w:r w:rsidR="00E46048" w:rsidRPr="002D560A">
        <w:rPr>
          <w:b/>
        </w:rPr>
        <w:t xml:space="preserve">that </w:t>
      </w:r>
      <w:r w:rsidR="0000694B" w:rsidRPr="002D560A">
        <w:rPr>
          <w:b/>
        </w:rPr>
        <w:t xml:space="preserve">operate </w:t>
      </w:r>
      <w:r w:rsidR="00166758" w:rsidRPr="002D560A">
        <w:rPr>
          <w:b/>
        </w:rPr>
        <w:t xml:space="preserve">HEs and MEs? </w:t>
      </w:r>
      <w:r w:rsidR="00166758">
        <w:t xml:space="preserve">Data from both rounds of the </w:t>
      </w:r>
      <w:r w:rsidR="00106975">
        <w:t>household survey</w:t>
      </w:r>
      <w:r w:rsidR="00166758">
        <w:t xml:space="preserve"> </w:t>
      </w:r>
      <w:r w:rsidR="00BB33C5">
        <w:t xml:space="preserve">demonstrate </w:t>
      </w:r>
      <w:r w:rsidR="00FE1ECE">
        <w:t xml:space="preserve">that </w:t>
      </w:r>
      <w:r w:rsidR="0000694B" w:rsidRPr="0000694B">
        <w:t>household, individual</w:t>
      </w:r>
      <w:r w:rsidR="00BB33C5">
        <w:t>,</w:t>
      </w:r>
      <w:r w:rsidR="0000694B" w:rsidRPr="0000694B">
        <w:t xml:space="preserve"> and firm characteristics vary considerably </w:t>
      </w:r>
      <w:r w:rsidR="00166758">
        <w:t>between the two types of firms</w:t>
      </w:r>
      <w:r w:rsidR="00B67219">
        <w:t xml:space="preserve"> </w:t>
      </w:r>
      <w:r w:rsidR="00B67219" w:rsidRPr="00B67219">
        <w:t>(</w:t>
      </w:r>
      <w:r w:rsidR="002D560A">
        <w:t xml:space="preserve">see </w:t>
      </w:r>
      <w:r w:rsidR="004231B8">
        <w:t>t</w:t>
      </w:r>
      <w:r w:rsidR="002D560A">
        <w:t>able 4).</w:t>
      </w:r>
      <w:r w:rsidR="00166758" w:rsidRPr="00B67219">
        <w:t xml:space="preserve"> </w:t>
      </w:r>
      <w:r w:rsidR="0000694B" w:rsidRPr="0000694B">
        <w:t>Owners that operate ME</w:t>
      </w:r>
      <w:r w:rsidR="000D056B">
        <w:t>s</w:t>
      </w:r>
      <w:r w:rsidR="0000694B" w:rsidRPr="0000694B">
        <w:t xml:space="preserve"> </w:t>
      </w:r>
      <w:r w:rsidR="000D056B">
        <w:t>have</w:t>
      </w:r>
      <w:r w:rsidR="0000694B" w:rsidRPr="0000694B">
        <w:t xml:space="preserve"> more educat</w:t>
      </w:r>
      <w:r w:rsidR="000D056B">
        <w:t>ion</w:t>
      </w:r>
      <w:r w:rsidR="0000694B" w:rsidRPr="0000694B">
        <w:t xml:space="preserve"> than HE owners (7.5 years </w:t>
      </w:r>
      <w:r w:rsidR="00166758">
        <w:t xml:space="preserve">vs. </w:t>
      </w:r>
      <w:r w:rsidR="0000694B" w:rsidRPr="0000694B">
        <w:t xml:space="preserve">5.7 years) and are more likely to be literate. </w:t>
      </w:r>
      <w:r w:rsidR="00BB33C5">
        <w:t>MEs</w:t>
      </w:r>
      <w:r w:rsidR="00BB33C5" w:rsidRPr="0000694B">
        <w:t xml:space="preserve"> </w:t>
      </w:r>
      <w:r w:rsidR="0000694B" w:rsidRPr="0000694B">
        <w:t xml:space="preserve">are also more likely to be </w:t>
      </w:r>
      <w:r w:rsidR="00BB33C5">
        <w:t>operated</w:t>
      </w:r>
      <w:r w:rsidR="00BB33C5" w:rsidRPr="0000694B">
        <w:t xml:space="preserve"> </w:t>
      </w:r>
      <w:r w:rsidR="0000694B" w:rsidRPr="0000694B">
        <w:t>by men. On average</w:t>
      </w:r>
      <w:r w:rsidR="000D056B">
        <w:t>,</w:t>
      </w:r>
      <w:r w:rsidR="0000694B" w:rsidRPr="0000694B">
        <w:t xml:space="preserve"> </w:t>
      </w:r>
      <w:r w:rsidR="00BA4126">
        <w:t xml:space="preserve">men </w:t>
      </w:r>
      <w:r w:rsidR="00BB33C5">
        <w:t xml:space="preserve">operate </w:t>
      </w:r>
      <w:r w:rsidR="0000694B" w:rsidRPr="0000694B">
        <w:t>39 percent of HE</w:t>
      </w:r>
      <w:r w:rsidR="000D056B">
        <w:t>s</w:t>
      </w:r>
      <w:r w:rsidR="00BA4126">
        <w:t xml:space="preserve"> and </w:t>
      </w:r>
      <w:r w:rsidR="0000694B" w:rsidRPr="0000694B">
        <w:t xml:space="preserve">65 percent </w:t>
      </w:r>
      <w:r w:rsidR="000D056B">
        <w:t xml:space="preserve">of MEs. </w:t>
      </w:r>
      <w:r w:rsidR="0000694B" w:rsidRPr="0000694B">
        <w:t xml:space="preserve">HE owners are more likely to report the NFE as their main </w:t>
      </w:r>
      <w:r w:rsidR="000D056B">
        <w:t xml:space="preserve">economic </w:t>
      </w:r>
      <w:r w:rsidR="0000694B" w:rsidRPr="0000694B">
        <w:t>activity (75 percent). There is a slight but statistically significant difference in the proportion of firms located in rural areas</w:t>
      </w:r>
      <w:r w:rsidR="00BB33C5">
        <w:t>,</w:t>
      </w:r>
      <w:r w:rsidR="00A5314D">
        <w:t xml:space="preserve"> with HEs more likely to be located in rural areas</w:t>
      </w:r>
      <w:r w:rsidR="0000694B" w:rsidRPr="0000694B">
        <w:t xml:space="preserve">. </w:t>
      </w:r>
    </w:p>
    <w:p w14:paraId="39098D58" w14:textId="7821B345" w:rsidR="000D056B" w:rsidRPr="00B67219" w:rsidRDefault="004E78E7" w:rsidP="00D727BF">
      <w:pPr>
        <w:pStyle w:val="ParagraphNumbering"/>
        <w:numPr>
          <w:ilvl w:val="0"/>
          <w:numId w:val="0"/>
        </w:numPr>
        <w:tabs>
          <w:tab w:val="left" w:pos="720"/>
        </w:tabs>
        <w:spacing w:after="240"/>
      </w:pPr>
      <w:bookmarkStart w:id="133" w:name="_Ref430595461"/>
      <w:r>
        <w:rPr>
          <w:b/>
        </w:rPr>
        <w:tab/>
      </w:r>
      <w:r w:rsidR="00BB33C5">
        <w:rPr>
          <w:b/>
        </w:rPr>
        <w:t>MEs</w:t>
      </w:r>
      <w:r w:rsidR="00BB33C5" w:rsidRPr="00B67219">
        <w:rPr>
          <w:b/>
        </w:rPr>
        <w:t xml:space="preserve"> </w:t>
      </w:r>
      <w:r w:rsidR="000D056B" w:rsidRPr="00B67219">
        <w:rPr>
          <w:b/>
        </w:rPr>
        <w:t>seem to invest more in human and physical capital</w:t>
      </w:r>
      <w:r w:rsidR="00166758" w:rsidRPr="00B67219">
        <w:rPr>
          <w:b/>
        </w:rPr>
        <w:t xml:space="preserve"> and </w:t>
      </w:r>
      <w:r w:rsidR="000D056B" w:rsidRPr="00B67219">
        <w:rPr>
          <w:b/>
        </w:rPr>
        <w:t>are more likely</w:t>
      </w:r>
      <w:r w:rsidR="000D056B" w:rsidRPr="00B67219">
        <w:t xml:space="preserve"> </w:t>
      </w:r>
      <w:r w:rsidR="00166758" w:rsidRPr="00D727BF">
        <w:rPr>
          <w:b/>
        </w:rPr>
        <w:t xml:space="preserve">(59 vs. 49 percent) </w:t>
      </w:r>
      <w:r w:rsidR="000D056B" w:rsidRPr="00B67219">
        <w:rPr>
          <w:b/>
        </w:rPr>
        <w:t>to be operated outside the household premis</w:t>
      </w:r>
      <w:r w:rsidR="00166758" w:rsidRPr="00B67219">
        <w:rPr>
          <w:b/>
        </w:rPr>
        <w:t>es</w:t>
      </w:r>
      <w:r w:rsidR="00166758" w:rsidRPr="00B67219">
        <w:t xml:space="preserve">. </w:t>
      </w:r>
      <w:r w:rsidR="000D056B" w:rsidRPr="00B67219">
        <w:t>However</w:t>
      </w:r>
      <w:r w:rsidR="00166758" w:rsidRPr="00B67219">
        <w:t>,</w:t>
      </w:r>
      <w:r w:rsidR="000D056B" w:rsidRPr="00B67219">
        <w:t xml:space="preserve"> the </w:t>
      </w:r>
      <w:r w:rsidR="00166758" w:rsidRPr="00B67219">
        <w:t xml:space="preserve">data </w:t>
      </w:r>
      <w:r w:rsidR="000D056B" w:rsidRPr="00B67219">
        <w:t xml:space="preserve">suggest no statistical difference </w:t>
      </w:r>
      <w:r w:rsidR="00BB33C5">
        <w:t xml:space="preserve">across </w:t>
      </w:r>
      <w:r w:rsidR="000D056B" w:rsidRPr="00B67219">
        <w:t xml:space="preserve">sectors between </w:t>
      </w:r>
      <w:r w:rsidR="00BA4126" w:rsidRPr="00B67219">
        <w:t xml:space="preserve">HEs and </w:t>
      </w:r>
      <w:r w:rsidR="000D056B" w:rsidRPr="00B67219">
        <w:t>ME</w:t>
      </w:r>
      <w:r w:rsidR="00BA4126" w:rsidRPr="00B67219">
        <w:t>s</w:t>
      </w:r>
      <w:r w:rsidR="000D056B" w:rsidRPr="00B67219">
        <w:t>.</w:t>
      </w:r>
      <w:r w:rsidR="00F428F9">
        <w:t xml:space="preserve"> </w:t>
      </w:r>
      <w:r w:rsidR="00BA4126" w:rsidRPr="00B67219">
        <w:t xml:space="preserve">In terms of </w:t>
      </w:r>
      <w:r w:rsidR="000D056B" w:rsidRPr="00B67219">
        <w:t xml:space="preserve">size and performance variables, </w:t>
      </w:r>
      <w:r w:rsidR="00BB33C5">
        <w:t>the average</w:t>
      </w:r>
      <w:r w:rsidR="000D056B" w:rsidRPr="00B67219">
        <w:t xml:space="preserve"> ME sell</w:t>
      </w:r>
      <w:r w:rsidR="00BA4126" w:rsidRPr="00B67219">
        <w:t>s</w:t>
      </w:r>
      <w:r w:rsidR="000D056B" w:rsidRPr="00B67219">
        <w:t xml:space="preserve"> significantly more than </w:t>
      </w:r>
      <w:r w:rsidR="00BB33C5">
        <w:t xml:space="preserve">the average </w:t>
      </w:r>
      <w:r w:rsidR="000D056B" w:rsidRPr="00B67219">
        <w:t>HE</w:t>
      </w:r>
      <w:r w:rsidR="004231B8">
        <w:t xml:space="preserve">: </w:t>
      </w:r>
      <w:r w:rsidR="000D056B" w:rsidRPr="00B67219">
        <w:t>315</w:t>
      </w:r>
      <w:r w:rsidR="00BA4126" w:rsidRPr="00B67219">
        <w:t>,</w:t>
      </w:r>
      <w:r w:rsidR="000D056B" w:rsidRPr="00B67219">
        <w:t xml:space="preserve">846 </w:t>
      </w:r>
      <w:r w:rsidR="003A6769">
        <w:t>naira</w:t>
      </w:r>
      <w:r w:rsidR="000D056B" w:rsidRPr="00B67219">
        <w:t xml:space="preserve"> monthly for </w:t>
      </w:r>
      <w:r w:rsidR="00BA4126" w:rsidRPr="00B67219">
        <w:t xml:space="preserve">an </w:t>
      </w:r>
      <w:r w:rsidR="000D056B" w:rsidRPr="00B67219">
        <w:t xml:space="preserve">ME </w:t>
      </w:r>
      <w:r w:rsidR="00BA4126" w:rsidRPr="00B67219">
        <w:t>(</w:t>
      </w:r>
      <w:r w:rsidR="000D056B" w:rsidRPr="00B67219">
        <w:t xml:space="preserve">about </w:t>
      </w:r>
      <w:r w:rsidR="00BA4126" w:rsidRPr="00B67219">
        <w:t>US</w:t>
      </w:r>
      <w:r w:rsidR="000D056B" w:rsidRPr="00B67219">
        <w:t>$1400</w:t>
      </w:r>
      <w:r w:rsidR="00BA4126" w:rsidRPr="00B67219">
        <w:t xml:space="preserve">) </w:t>
      </w:r>
      <w:r w:rsidR="00BB33C5">
        <w:t xml:space="preserve">versus </w:t>
      </w:r>
      <w:r w:rsidR="000D056B" w:rsidRPr="00B67219">
        <w:t>46</w:t>
      </w:r>
      <w:r w:rsidR="00BA4126" w:rsidRPr="00B67219">
        <w:t>,</w:t>
      </w:r>
      <w:r w:rsidR="000D056B" w:rsidRPr="00B67219">
        <w:t xml:space="preserve">470 </w:t>
      </w:r>
      <w:r w:rsidR="003A6769">
        <w:t>naira</w:t>
      </w:r>
      <w:r w:rsidR="000D056B" w:rsidRPr="00B67219">
        <w:t xml:space="preserve"> for</w:t>
      </w:r>
      <w:r w:rsidR="00BA4126" w:rsidRPr="00B67219">
        <w:t xml:space="preserve"> an</w:t>
      </w:r>
      <w:r w:rsidR="000D056B" w:rsidRPr="00B67219">
        <w:t xml:space="preserve"> HE </w:t>
      </w:r>
      <w:r w:rsidR="00BA4126" w:rsidRPr="00B67219">
        <w:t>(</w:t>
      </w:r>
      <w:r w:rsidR="000D056B" w:rsidRPr="00B67219">
        <w:t xml:space="preserve">about </w:t>
      </w:r>
      <w:r w:rsidR="00BA4126" w:rsidRPr="00B67219">
        <w:t>US</w:t>
      </w:r>
      <w:r w:rsidR="000D056B" w:rsidRPr="00B67219">
        <w:t>$200).</w:t>
      </w:r>
      <w:r w:rsidR="00F428F9">
        <w:t xml:space="preserve"> </w:t>
      </w:r>
      <w:r w:rsidR="00BA4126" w:rsidRPr="00B67219">
        <w:t xml:space="preserve">MEs </w:t>
      </w:r>
      <w:r w:rsidR="000D056B" w:rsidRPr="00B67219">
        <w:t>also seem to have more physical capital than HE</w:t>
      </w:r>
      <w:r w:rsidR="00BA4126" w:rsidRPr="00B67219">
        <w:t xml:space="preserve">s, and they </w:t>
      </w:r>
      <w:r w:rsidR="000D056B" w:rsidRPr="00B67219">
        <w:t>employ significantly more workers</w:t>
      </w:r>
      <w:r w:rsidR="00BA4126" w:rsidRPr="00B67219">
        <w:t xml:space="preserve"> (2.84 compared to 1.05). Further, MEs grow much faster</w:t>
      </w:r>
      <w:r w:rsidR="004231B8">
        <w:t>;</w:t>
      </w:r>
      <w:r w:rsidR="00BB33C5">
        <w:t xml:space="preserve"> </w:t>
      </w:r>
      <w:r w:rsidR="000D056B" w:rsidRPr="00B67219">
        <w:t>annual employment growth between 2011 and 2013 was 16 percent</w:t>
      </w:r>
      <w:r w:rsidR="00BA4126" w:rsidRPr="00B67219">
        <w:t xml:space="preserve"> for MEs and only </w:t>
      </w:r>
      <w:r w:rsidR="004231B8">
        <w:t>5</w:t>
      </w:r>
      <w:r w:rsidR="004231B8" w:rsidRPr="00B67219">
        <w:t xml:space="preserve"> </w:t>
      </w:r>
      <w:r w:rsidR="00BA4126" w:rsidRPr="00B67219">
        <w:t xml:space="preserve">percent for </w:t>
      </w:r>
      <w:r w:rsidR="000D056B" w:rsidRPr="00B67219">
        <w:t>HE</w:t>
      </w:r>
      <w:r w:rsidR="00BA4126" w:rsidRPr="00B67219">
        <w:t>s</w:t>
      </w:r>
      <w:r w:rsidR="000D056B" w:rsidRPr="00B67219">
        <w:t xml:space="preserve">. </w:t>
      </w:r>
    </w:p>
    <w:p w14:paraId="4C6A590C" w14:textId="77777777" w:rsidR="00C62663" w:rsidRDefault="00C62663" w:rsidP="00D727BF">
      <w:pPr>
        <w:tabs>
          <w:tab w:val="left" w:pos="720"/>
        </w:tabs>
        <w:rPr>
          <w:rFonts w:ascii="Trebuchet MS" w:eastAsia="Calibri" w:hAnsi="Trebuchet MS" w:cs="Times New Roman"/>
          <w:b/>
          <w:bCs/>
          <w:color w:val="0B73B6" w:themeColor="background2" w:themeShade="BF"/>
          <w:sz w:val="20"/>
          <w:szCs w:val="18"/>
        </w:rPr>
      </w:pPr>
      <w:bookmarkStart w:id="134" w:name="_Ref431669544"/>
      <w:r>
        <w:rPr>
          <w:rFonts w:ascii="Trebuchet MS" w:eastAsia="Calibri" w:hAnsi="Trebuchet MS" w:cs="Times New Roman"/>
          <w:b/>
          <w:bCs/>
          <w:color w:val="0B73B6" w:themeColor="background2" w:themeShade="BF"/>
          <w:sz w:val="20"/>
          <w:szCs w:val="18"/>
        </w:rPr>
        <w:br w:type="page"/>
      </w:r>
    </w:p>
    <w:p w14:paraId="582E40C7" w14:textId="6E58E9CE" w:rsidR="0000694B" w:rsidRPr="0000694B" w:rsidRDefault="0000694B" w:rsidP="00D727BF">
      <w:pPr>
        <w:keepNext/>
        <w:tabs>
          <w:tab w:val="left" w:pos="720"/>
        </w:tabs>
        <w:spacing w:after="60"/>
        <w:jc w:val="center"/>
        <w:rPr>
          <w:rFonts w:ascii="Trebuchet MS" w:eastAsia="Calibri" w:hAnsi="Trebuchet MS" w:cs="Times New Roman"/>
          <w:b/>
          <w:bCs/>
          <w:color w:val="0B73B6" w:themeColor="background2" w:themeShade="BF"/>
          <w:sz w:val="20"/>
          <w:szCs w:val="18"/>
        </w:rPr>
      </w:pPr>
      <w:bookmarkStart w:id="135" w:name="_Toc445449525"/>
      <w:r w:rsidRPr="0000694B">
        <w:rPr>
          <w:rFonts w:ascii="Trebuchet MS" w:eastAsia="Calibri" w:hAnsi="Trebuchet MS" w:cs="Times New Roman"/>
          <w:b/>
          <w:bCs/>
          <w:color w:val="0B73B6" w:themeColor="background2" w:themeShade="BF"/>
          <w:sz w:val="20"/>
          <w:szCs w:val="18"/>
        </w:rPr>
        <w:lastRenderedPageBreak/>
        <w:t xml:space="preserve">Table </w:t>
      </w:r>
      <w:r w:rsidRPr="0000694B">
        <w:rPr>
          <w:rFonts w:ascii="Trebuchet MS" w:eastAsia="Calibri" w:hAnsi="Trebuchet MS" w:cs="Times New Roman"/>
          <w:b/>
          <w:bCs/>
          <w:color w:val="0B73B6" w:themeColor="background2" w:themeShade="BF"/>
          <w:sz w:val="20"/>
          <w:szCs w:val="18"/>
        </w:rPr>
        <w:fldChar w:fldCharType="begin"/>
      </w:r>
      <w:r w:rsidRPr="0000694B">
        <w:rPr>
          <w:rFonts w:ascii="Trebuchet MS" w:eastAsia="Calibri" w:hAnsi="Trebuchet MS" w:cs="Times New Roman"/>
          <w:b/>
          <w:bCs/>
          <w:color w:val="0B73B6" w:themeColor="background2" w:themeShade="BF"/>
          <w:sz w:val="20"/>
          <w:szCs w:val="18"/>
        </w:rPr>
        <w:instrText xml:space="preserve"> SEQ Table \* ARABIC </w:instrText>
      </w:r>
      <w:r w:rsidRPr="0000694B">
        <w:rPr>
          <w:rFonts w:ascii="Trebuchet MS" w:eastAsia="Calibri" w:hAnsi="Trebuchet MS" w:cs="Times New Roman"/>
          <w:b/>
          <w:bCs/>
          <w:color w:val="0B73B6" w:themeColor="background2" w:themeShade="BF"/>
          <w:sz w:val="20"/>
          <w:szCs w:val="18"/>
        </w:rPr>
        <w:fldChar w:fldCharType="separate"/>
      </w:r>
      <w:r w:rsidR="008A3BBD">
        <w:rPr>
          <w:rFonts w:ascii="Trebuchet MS" w:eastAsia="Calibri" w:hAnsi="Trebuchet MS" w:cs="Times New Roman"/>
          <w:b/>
          <w:bCs/>
          <w:noProof/>
          <w:color w:val="0B73B6" w:themeColor="background2" w:themeShade="BF"/>
          <w:sz w:val="20"/>
          <w:szCs w:val="18"/>
        </w:rPr>
        <w:t>4</w:t>
      </w:r>
      <w:r w:rsidRPr="0000694B">
        <w:rPr>
          <w:rFonts w:ascii="Trebuchet MS" w:eastAsia="Calibri" w:hAnsi="Trebuchet MS" w:cs="Times New Roman"/>
          <w:b/>
          <w:bCs/>
          <w:noProof/>
          <w:color w:val="0B73B6" w:themeColor="background2" w:themeShade="BF"/>
          <w:sz w:val="20"/>
          <w:szCs w:val="18"/>
        </w:rPr>
        <w:fldChar w:fldCharType="end"/>
      </w:r>
      <w:bookmarkEnd w:id="133"/>
      <w:bookmarkEnd w:id="134"/>
      <w:r w:rsidRPr="0000694B">
        <w:rPr>
          <w:rFonts w:ascii="Trebuchet MS" w:eastAsia="Calibri" w:hAnsi="Trebuchet MS" w:cs="Times New Roman"/>
          <w:b/>
          <w:bCs/>
          <w:color w:val="0B73B6" w:themeColor="background2" w:themeShade="BF"/>
          <w:sz w:val="20"/>
          <w:szCs w:val="18"/>
        </w:rPr>
        <w:t xml:space="preserve">: Household and Firm </w:t>
      </w:r>
      <w:r w:rsidR="000D056B">
        <w:rPr>
          <w:rFonts w:ascii="Trebuchet MS" w:eastAsia="Calibri" w:hAnsi="Trebuchet MS" w:cs="Times New Roman"/>
          <w:b/>
          <w:bCs/>
          <w:color w:val="0B73B6" w:themeColor="background2" w:themeShade="BF"/>
          <w:sz w:val="20"/>
          <w:szCs w:val="18"/>
        </w:rPr>
        <w:t>C</w:t>
      </w:r>
      <w:r w:rsidRPr="0000694B">
        <w:rPr>
          <w:rFonts w:ascii="Trebuchet MS" w:eastAsia="Calibri" w:hAnsi="Trebuchet MS" w:cs="Times New Roman"/>
          <w:b/>
          <w:bCs/>
          <w:color w:val="0B73B6" w:themeColor="background2" w:themeShade="BF"/>
          <w:sz w:val="20"/>
          <w:szCs w:val="18"/>
        </w:rPr>
        <w:t>haracteristics</w:t>
      </w:r>
      <w:r w:rsidR="000D056B">
        <w:rPr>
          <w:rFonts w:ascii="Trebuchet MS" w:eastAsia="Calibri" w:hAnsi="Trebuchet MS" w:cs="Times New Roman"/>
          <w:b/>
          <w:bCs/>
          <w:color w:val="0B73B6" w:themeColor="background2" w:themeShade="BF"/>
          <w:sz w:val="20"/>
          <w:szCs w:val="18"/>
        </w:rPr>
        <w:t xml:space="preserve"> for </w:t>
      </w:r>
      <w:r w:rsidRPr="0000694B">
        <w:rPr>
          <w:rFonts w:ascii="Trebuchet MS" w:eastAsia="Calibri" w:hAnsi="Trebuchet MS" w:cs="Times New Roman"/>
          <w:b/>
          <w:bCs/>
          <w:color w:val="0B73B6" w:themeColor="background2" w:themeShade="BF"/>
          <w:sz w:val="20"/>
          <w:szCs w:val="18"/>
        </w:rPr>
        <w:t xml:space="preserve">Household </w:t>
      </w:r>
      <w:r w:rsidR="000D056B">
        <w:rPr>
          <w:rFonts w:ascii="Trebuchet MS" w:eastAsia="Calibri" w:hAnsi="Trebuchet MS" w:cs="Times New Roman"/>
          <w:b/>
          <w:bCs/>
          <w:color w:val="0B73B6" w:themeColor="background2" w:themeShade="BF"/>
          <w:sz w:val="20"/>
          <w:szCs w:val="18"/>
        </w:rPr>
        <w:t>E</w:t>
      </w:r>
      <w:r w:rsidRPr="0000694B">
        <w:rPr>
          <w:rFonts w:ascii="Trebuchet MS" w:eastAsia="Calibri" w:hAnsi="Trebuchet MS" w:cs="Times New Roman"/>
          <w:b/>
          <w:bCs/>
          <w:color w:val="0B73B6" w:themeColor="background2" w:themeShade="BF"/>
          <w:sz w:val="20"/>
          <w:szCs w:val="18"/>
        </w:rPr>
        <w:t>nterprises and Microenterprises</w:t>
      </w:r>
      <w:bookmarkEnd w:id="135"/>
    </w:p>
    <w:tbl>
      <w:tblPr>
        <w:tblW w:w="5000" w:type="pct"/>
        <w:tblLook w:val="0000" w:firstRow="0" w:lastRow="0" w:firstColumn="0" w:lastColumn="0" w:noHBand="0" w:noVBand="0"/>
      </w:tblPr>
      <w:tblGrid>
        <w:gridCol w:w="4158"/>
        <w:gridCol w:w="1260"/>
        <w:gridCol w:w="1572"/>
        <w:gridCol w:w="2586"/>
      </w:tblGrid>
      <w:tr w:rsidR="0000694B" w:rsidRPr="001845F3" w14:paraId="04EF178D" w14:textId="77777777" w:rsidTr="0000694B">
        <w:tc>
          <w:tcPr>
            <w:tcW w:w="2171" w:type="pct"/>
            <w:tcBorders>
              <w:top w:val="single" w:sz="4" w:space="0" w:color="auto"/>
              <w:left w:val="nil"/>
              <w:bottom w:val="nil"/>
              <w:right w:val="nil"/>
            </w:tcBorders>
          </w:tcPr>
          <w:p w14:paraId="0177F3DB"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single" w:sz="4" w:space="0" w:color="auto"/>
              <w:left w:val="nil"/>
              <w:bottom w:val="nil"/>
              <w:right w:val="nil"/>
            </w:tcBorders>
          </w:tcPr>
          <w:p w14:paraId="71D2B8B3"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821" w:type="pct"/>
            <w:tcBorders>
              <w:top w:val="single" w:sz="4" w:space="0" w:color="auto"/>
              <w:left w:val="nil"/>
              <w:bottom w:val="nil"/>
              <w:right w:val="nil"/>
            </w:tcBorders>
          </w:tcPr>
          <w:p w14:paraId="3C04A84F"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Mean</w:t>
            </w:r>
          </w:p>
        </w:tc>
        <w:tc>
          <w:tcPr>
            <w:tcW w:w="1350" w:type="pct"/>
            <w:tcBorders>
              <w:top w:val="single" w:sz="4" w:space="0" w:color="auto"/>
              <w:left w:val="nil"/>
              <w:bottom w:val="nil"/>
              <w:right w:val="nil"/>
            </w:tcBorders>
          </w:tcPr>
          <w:p w14:paraId="19B9B8B1" w14:textId="7D3613BF"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Mean (HE)–Mean (ME)</w:t>
            </w:r>
          </w:p>
        </w:tc>
      </w:tr>
      <w:tr w:rsidR="0000694B" w:rsidRPr="001845F3" w14:paraId="62C1AE07" w14:textId="77777777" w:rsidTr="0000694B">
        <w:tc>
          <w:tcPr>
            <w:tcW w:w="2171" w:type="pct"/>
            <w:tcBorders>
              <w:top w:val="nil"/>
              <w:left w:val="nil"/>
              <w:bottom w:val="single" w:sz="4" w:space="0" w:color="auto"/>
              <w:right w:val="nil"/>
            </w:tcBorders>
          </w:tcPr>
          <w:p w14:paraId="63672701"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single" w:sz="4" w:space="0" w:color="auto"/>
              <w:right w:val="nil"/>
            </w:tcBorders>
          </w:tcPr>
          <w:p w14:paraId="075046B4"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821" w:type="pct"/>
            <w:tcBorders>
              <w:top w:val="nil"/>
              <w:left w:val="nil"/>
              <w:bottom w:val="single" w:sz="4" w:space="0" w:color="auto"/>
              <w:right w:val="nil"/>
            </w:tcBorders>
          </w:tcPr>
          <w:p w14:paraId="2DB52C1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1350" w:type="pct"/>
            <w:tcBorders>
              <w:top w:val="nil"/>
              <w:left w:val="nil"/>
              <w:bottom w:val="single" w:sz="4" w:space="0" w:color="auto"/>
              <w:right w:val="nil"/>
            </w:tcBorders>
          </w:tcPr>
          <w:p w14:paraId="1A69AA94"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5A84F902" w14:textId="77777777" w:rsidTr="0000694B">
        <w:tc>
          <w:tcPr>
            <w:tcW w:w="3650" w:type="pct"/>
            <w:gridSpan w:val="3"/>
            <w:tcBorders>
              <w:top w:val="single" w:sz="4" w:space="0" w:color="auto"/>
              <w:left w:val="nil"/>
              <w:bottom w:val="single" w:sz="4" w:space="0" w:color="auto"/>
              <w:right w:val="nil"/>
            </w:tcBorders>
          </w:tcPr>
          <w:p w14:paraId="3B3E4093" w14:textId="77777777" w:rsidR="0000694B" w:rsidRPr="001845F3" w:rsidRDefault="0000694B" w:rsidP="00D727BF">
            <w:pPr>
              <w:tabs>
                <w:tab w:val="left" w:pos="720"/>
              </w:tabs>
              <w:autoSpaceDE w:val="0"/>
              <w:autoSpaceDN w:val="0"/>
              <w:adjustRightInd w:val="0"/>
              <w:spacing w:after="0"/>
              <w:rPr>
                <w:rFonts w:cs="Times New Roman"/>
                <w:b/>
                <w:sz w:val="20"/>
                <w:szCs w:val="20"/>
              </w:rPr>
            </w:pPr>
            <w:r w:rsidRPr="001845F3">
              <w:rPr>
                <w:rFonts w:cs="Times New Roman"/>
                <w:b/>
                <w:sz w:val="20"/>
                <w:szCs w:val="20"/>
              </w:rPr>
              <w:t xml:space="preserve">HH and </w:t>
            </w:r>
            <w:r w:rsidR="00166758" w:rsidRPr="001845F3">
              <w:rPr>
                <w:rFonts w:cs="Times New Roman"/>
                <w:b/>
                <w:sz w:val="20"/>
                <w:szCs w:val="20"/>
              </w:rPr>
              <w:t>i</w:t>
            </w:r>
            <w:r w:rsidRPr="001845F3">
              <w:rPr>
                <w:rFonts w:cs="Times New Roman"/>
                <w:b/>
                <w:sz w:val="20"/>
                <w:szCs w:val="20"/>
              </w:rPr>
              <w:t>nd</w:t>
            </w:r>
            <w:r w:rsidR="00166758" w:rsidRPr="001845F3">
              <w:rPr>
                <w:rFonts w:cs="Times New Roman"/>
                <w:b/>
                <w:sz w:val="20"/>
                <w:szCs w:val="20"/>
              </w:rPr>
              <w:t>ividual</w:t>
            </w:r>
            <w:r w:rsidRPr="001845F3">
              <w:rPr>
                <w:rFonts w:cs="Times New Roman"/>
                <w:b/>
                <w:sz w:val="20"/>
                <w:szCs w:val="20"/>
              </w:rPr>
              <w:t xml:space="preserve"> </w:t>
            </w:r>
            <w:r w:rsidR="00166758" w:rsidRPr="001845F3">
              <w:rPr>
                <w:rFonts w:cs="Times New Roman"/>
                <w:b/>
                <w:sz w:val="20"/>
                <w:szCs w:val="20"/>
              </w:rPr>
              <w:t>c</w:t>
            </w:r>
            <w:r w:rsidRPr="001845F3">
              <w:rPr>
                <w:rFonts w:cs="Times New Roman"/>
                <w:b/>
                <w:sz w:val="20"/>
                <w:szCs w:val="20"/>
              </w:rPr>
              <w:t>haracteristics</w:t>
            </w:r>
          </w:p>
        </w:tc>
        <w:tc>
          <w:tcPr>
            <w:tcW w:w="1350" w:type="pct"/>
            <w:tcBorders>
              <w:top w:val="single" w:sz="4" w:space="0" w:color="auto"/>
              <w:left w:val="nil"/>
              <w:bottom w:val="single" w:sz="4" w:space="0" w:color="auto"/>
              <w:right w:val="nil"/>
            </w:tcBorders>
          </w:tcPr>
          <w:p w14:paraId="5E400ECF"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625E014D" w14:textId="77777777" w:rsidTr="000F6A00">
        <w:trPr>
          <w:trHeight w:val="152"/>
        </w:trPr>
        <w:tc>
          <w:tcPr>
            <w:tcW w:w="2171" w:type="pct"/>
            <w:tcBorders>
              <w:top w:val="single" w:sz="4" w:space="0" w:color="auto"/>
              <w:left w:val="nil"/>
              <w:right w:val="nil"/>
            </w:tcBorders>
          </w:tcPr>
          <w:p w14:paraId="3A51AB73"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single" w:sz="4" w:space="0" w:color="auto"/>
              <w:left w:val="nil"/>
              <w:right w:val="nil"/>
            </w:tcBorders>
          </w:tcPr>
          <w:p w14:paraId="6A2B3FEE"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821" w:type="pct"/>
            <w:tcBorders>
              <w:top w:val="single" w:sz="4" w:space="0" w:color="auto"/>
              <w:left w:val="nil"/>
              <w:right w:val="nil"/>
            </w:tcBorders>
          </w:tcPr>
          <w:p w14:paraId="18406F8B"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1350" w:type="pct"/>
            <w:tcBorders>
              <w:top w:val="single" w:sz="4" w:space="0" w:color="auto"/>
              <w:left w:val="nil"/>
              <w:right w:val="nil"/>
            </w:tcBorders>
          </w:tcPr>
          <w:p w14:paraId="7B03F86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79F96E80" w14:textId="77777777" w:rsidTr="000F6A00">
        <w:trPr>
          <w:trHeight w:val="232"/>
        </w:trPr>
        <w:tc>
          <w:tcPr>
            <w:tcW w:w="2171" w:type="pct"/>
            <w:tcBorders>
              <w:left w:val="nil"/>
              <w:bottom w:val="nil"/>
              <w:right w:val="nil"/>
            </w:tcBorders>
          </w:tcPr>
          <w:p w14:paraId="4B64DE7C"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Household size</w:t>
            </w:r>
          </w:p>
        </w:tc>
        <w:tc>
          <w:tcPr>
            <w:tcW w:w="658" w:type="pct"/>
            <w:tcBorders>
              <w:left w:val="nil"/>
              <w:bottom w:val="nil"/>
              <w:right w:val="nil"/>
            </w:tcBorders>
          </w:tcPr>
          <w:p w14:paraId="77B80A05"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left w:val="nil"/>
              <w:bottom w:val="nil"/>
              <w:right w:val="nil"/>
            </w:tcBorders>
          </w:tcPr>
          <w:p w14:paraId="6A654CE3"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6.76</w:t>
            </w:r>
          </w:p>
        </w:tc>
        <w:tc>
          <w:tcPr>
            <w:tcW w:w="1350" w:type="pct"/>
            <w:tcBorders>
              <w:left w:val="nil"/>
              <w:bottom w:val="nil"/>
              <w:right w:val="nil"/>
            </w:tcBorders>
          </w:tcPr>
          <w:p w14:paraId="4B439008"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0.0231</w:t>
            </w:r>
          </w:p>
        </w:tc>
      </w:tr>
      <w:tr w:rsidR="0000694B" w:rsidRPr="001845F3" w14:paraId="6A63C0E5" w14:textId="77777777" w:rsidTr="000F6A00">
        <w:trPr>
          <w:trHeight w:val="232"/>
        </w:trPr>
        <w:tc>
          <w:tcPr>
            <w:tcW w:w="2171" w:type="pct"/>
            <w:tcBorders>
              <w:left w:val="nil"/>
              <w:bottom w:val="nil"/>
              <w:right w:val="nil"/>
            </w:tcBorders>
          </w:tcPr>
          <w:p w14:paraId="71111E68"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left w:val="nil"/>
              <w:bottom w:val="nil"/>
              <w:right w:val="nil"/>
            </w:tcBorders>
          </w:tcPr>
          <w:p w14:paraId="38C86A00"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left w:val="nil"/>
              <w:bottom w:val="nil"/>
              <w:right w:val="nil"/>
            </w:tcBorders>
          </w:tcPr>
          <w:p w14:paraId="7B976354"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6.74</w:t>
            </w:r>
          </w:p>
        </w:tc>
        <w:tc>
          <w:tcPr>
            <w:tcW w:w="1350" w:type="pct"/>
            <w:tcBorders>
              <w:left w:val="nil"/>
              <w:bottom w:val="nil"/>
              <w:right w:val="nil"/>
            </w:tcBorders>
          </w:tcPr>
          <w:p w14:paraId="79CA8BD7"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76C1D867" w14:textId="77777777" w:rsidTr="000F6A00">
        <w:trPr>
          <w:trHeight w:val="232"/>
        </w:trPr>
        <w:tc>
          <w:tcPr>
            <w:tcW w:w="2171" w:type="pct"/>
            <w:tcBorders>
              <w:top w:val="nil"/>
              <w:left w:val="nil"/>
              <w:bottom w:val="nil"/>
              <w:right w:val="nil"/>
            </w:tcBorders>
          </w:tcPr>
          <w:p w14:paraId="0FEC12E5"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Male owner</w:t>
            </w:r>
          </w:p>
        </w:tc>
        <w:tc>
          <w:tcPr>
            <w:tcW w:w="658" w:type="pct"/>
            <w:tcBorders>
              <w:top w:val="nil"/>
              <w:left w:val="nil"/>
              <w:bottom w:val="nil"/>
              <w:right w:val="nil"/>
            </w:tcBorders>
          </w:tcPr>
          <w:p w14:paraId="6E9D9EC6"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bottom w:val="nil"/>
              <w:right w:val="nil"/>
            </w:tcBorders>
          </w:tcPr>
          <w:p w14:paraId="2FE10BFD"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.39</w:t>
            </w:r>
          </w:p>
        </w:tc>
        <w:tc>
          <w:tcPr>
            <w:tcW w:w="1350" w:type="pct"/>
            <w:tcBorders>
              <w:top w:val="nil"/>
              <w:left w:val="nil"/>
              <w:bottom w:val="nil"/>
              <w:right w:val="nil"/>
            </w:tcBorders>
          </w:tcPr>
          <w:p w14:paraId="6795BEB3"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-0.261</w:t>
            </w:r>
            <w:r w:rsidRPr="001845F3">
              <w:rPr>
                <w:rFonts w:cs="Times New Roman"/>
                <w:sz w:val="20"/>
                <w:szCs w:val="20"/>
                <w:vertAlign w:val="superscript"/>
              </w:rPr>
              <w:t>***</w:t>
            </w:r>
          </w:p>
        </w:tc>
      </w:tr>
      <w:tr w:rsidR="0000694B" w:rsidRPr="001845F3" w14:paraId="325AD4DC" w14:textId="77777777" w:rsidTr="000F6A00">
        <w:trPr>
          <w:trHeight w:val="232"/>
        </w:trPr>
        <w:tc>
          <w:tcPr>
            <w:tcW w:w="2171" w:type="pct"/>
            <w:tcBorders>
              <w:top w:val="nil"/>
              <w:left w:val="nil"/>
              <w:bottom w:val="nil"/>
              <w:right w:val="nil"/>
            </w:tcBorders>
          </w:tcPr>
          <w:p w14:paraId="0597DF88"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nil"/>
              <w:right w:val="nil"/>
            </w:tcBorders>
          </w:tcPr>
          <w:p w14:paraId="2E671E7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nil"/>
              <w:right w:val="nil"/>
            </w:tcBorders>
          </w:tcPr>
          <w:p w14:paraId="4508FF65"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.65</w:t>
            </w:r>
          </w:p>
        </w:tc>
        <w:tc>
          <w:tcPr>
            <w:tcW w:w="1350" w:type="pct"/>
            <w:tcBorders>
              <w:top w:val="nil"/>
              <w:left w:val="nil"/>
              <w:bottom w:val="nil"/>
              <w:right w:val="nil"/>
            </w:tcBorders>
          </w:tcPr>
          <w:p w14:paraId="053A8DB4"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248877C5" w14:textId="77777777" w:rsidTr="000F6A00">
        <w:trPr>
          <w:trHeight w:val="233"/>
        </w:trPr>
        <w:tc>
          <w:tcPr>
            <w:tcW w:w="2171" w:type="pct"/>
            <w:tcBorders>
              <w:top w:val="nil"/>
              <w:left w:val="nil"/>
              <w:bottom w:val="nil"/>
              <w:right w:val="nil"/>
            </w:tcBorders>
          </w:tcPr>
          <w:p w14:paraId="61A4C4AD"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Literate</w:t>
            </w:r>
          </w:p>
        </w:tc>
        <w:tc>
          <w:tcPr>
            <w:tcW w:w="658" w:type="pct"/>
            <w:tcBorders>
              <w:top w:val="nil"/>
              <w:left w:val="nil"/>
              <w:bottom w:val="nil"/>
              <w:right w:val="nil"/>
            </w:tcBorders>
          </w:tcPr>
          <w:p w14:paraId="091A0900"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bottom w:val="nil"/>
              <w:right w:val="nil"/>
            </w:tcBorders>
          </w:tcPr>
          <w:p w14:paraId="46D80AE8"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.61</w:t>
            </w:r>
          </w:p>
        </w:tc>
        <w:tc>
          <w:tcPr>
            <w:tcW w:w="1350" w:type="pct"/>
            <w:tcBorders>
              <w:top w:val="nil"/>
              <w:left w:val="nil"/>
              <w:bottom w:val="nil"/>
              <w:right w:val="nil"/>
            </w:tcBorders>
          </w:tcPr>
          <w:p w14:paraId="6927522D"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-0.109</w:t>
            </w:r>
            <w:r w:rsidRPr="001845F3">
              <w:rPr>
                <w:rFonts w:cs="Times New Roman"/>
                <w:sz w:val="20"/>
                <w:szCs w:val="20"/>
                <w:vertAlign w:val="superscript"/>
              </w:rPr>
              <w:t>***</w:t>
            </w:r>
          </w:p>
        </w:tc>
      </w:tr>
      <w:tr w:rsidR="0000694B" w:rsidRPr="001845F3" w14:paraId="37656093" w14:textId="77777777" w:rsidTr="000F6A00">
        <w:trPr>
          <w:trHeight w:val="232"/>
        </w:trPr>
        <w:tc>
          <w:tcPr>
            <w:tcW w:w="2171" w:type="pct"/>
            <w:tcBorders>
              <w:top w:val="nil"/>
              <w:left w:val="nil"/>
              <w:bottom w:val="nil"/>
              <w:right w:val="nil"/>
            </w:tcBorders>
          </w:tcPr>
          <w:p w14:paraId="226777DE"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nil"/>
              <w:right w:val="nil"/>
            </w:tcBorders>
          </w:tcPr>
          <w:p w14:paraId="766E351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nil"/>
              <w:right w:val="nil"/>
            </w:tcBorders>
          </w:tcPr>
          <w:p w14:paraId="7CF6E0EE"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.72</w:t>
            </w:r>
          </w:p>
        </w:tc>
        <w:tc>
          <w:tcPr>
            <w:tcW w:w="1350" w:type="pct"/>
            <w:tcBorders>
              <w:top w:val="nil"/>
              <w:left w:val="nil"/>
              <w:bottom w:val="nil"/>
              <w:right w:val="nil"/>
            </w:tcBorders>
          </w:tcPr>
          <w:p w14:paraId="26201228"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4C718533" w14:textId="77777777" w:rsidTr="000F6A00">
        <w:trPr>
          <w:trHeight w:val="232"/>
        </w:trPr>
        <w:tc>
          <w:tcPr>
            <w:tcW w:w="2171" w:type="pct"/>
            <w:tcBorders>
              <w:top w:val="nil"/>
              <w:left w:val="nil"/>
              <w:bottom w:val="nil"/>
              <w:right w:val="nil"/>
            </w:tcBorders>
          </w:tcPr>
          <w:p w14:paraId="4736AB4A"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Years of education</w:t>
            </w:r>
          </w:p>
        </w:tc>
        <w:tc>
          <w:tcPr>
            <w:tcW w:w="658" w:type="pct"/>
            <w:tcBorders>
              <w:top w:val="nil"/>
              <w:left w:val="nil"/>
              <w:bottom w:val="nil"/>
              <w:right w:val="nil"/>
            </w:tcBorders>
          </w:tcPr>
          <w:p w14:paraId="1755FF17"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bottom w:val="nil"/>
              <w:right w:val="nil"/>
            </w:tcBorders>
          </w:tcPr>
          <w:p w14:paraId="5927DA97"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5.74</w:t>
            </w:r>
          </w:p>
        </w:tc>
        <w:tc>
          <w:tcPr>
            <w:tcW w:w="1350" w:type="pct"/>
            <w:tcBorders>
              <w:top w:val="nil"/>
              <w:left w:val="nil"/>
              <w:bottom w:val="nil"/>
              <w:right w:val="nil"/>
            </w:tcBorders>
          </w:tcPr>
          <w:p w14:paraId="68F9A666"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-1.704</w:t>
            </w:r>
            <w:r w:rsidRPr="001845F3">
              <w:rPr>
                <w:rFonts w:cs="Times New Roman"/>
                <w:sz w:val="20"/>
                <w:szCs w:val="20"/>
                <w:vertAlign w:val="superscript"/>
              </w:rPr>
              <w:t>***</w:t>
            </w:r>
          </w:p>
        </w:tc>
      </w:tr>
      <w:tr w:rsidR="0000694B" w:rsidRPr="001845F3" w14:paraId="763078A7" w14:textId="77777777" w:rsidTr="000F6A00">
        <w:trPr>
          <w:trHeight w:val="232"/>
        </w:trPr>
        <w:tc>
          <w:tcPr>
            <w:tcW w:w="2171" w:type="pct"/>
            <w:tcBorders>
              <w:top w:val="nil"/>
              <w:left w:val="nil"/>
              <w:bottom w:val="nil"/>
              <w:right w:val="nil"/>
            </w:tcBorders>
          </w:tcPr>
          <w:p w14:paraId="3A0FCFD1"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nil"/>
              <w:right w:val="nil"/>
            </w:tcBorders>
          </w:tcPr>
          <w:p w14:paraId="0BA45A0C"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nil"/>
              <w:right w:val="nil"/>
            </w:tcBorders>
          </w:tcPr>
          <w:p w14:paraId="3B1F3F06"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7.44</w:t>
            </w:r>
          </w:p>
        </w:tc>
        <w:tc>
          <w:tcPr>
            <w:tcW w:w="1350" w:type="pct"/>
            <w:tcBorders>
              <w:top w:val="nil"/>
              <w:left w:val="nil"/>
              <w:bottom w:val="nil"/>
              <w:right w:val="nil"/>
            </w:tcBorders>
          </w:tcPr>
          <w:p w14:paraId="38C199A7"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1FA73081" w14:textId="77777777" w:rsidTr="000F6A00">
        <w:trPr>
          <w:trHeight w:val="233"/>
        </w:trPr>
        <w:tc>
          <w:tcPr>
            <w:tcW w:w="2171" w:type="pct"/>
            <w:tcBorders>
              <w:top w:val="nil"/>
              <w:left w:val="nil"/>
              <w:bottom w:val="nil"/>
              <w:right w:val="nil"/>
            </w:tcBorders>
          </w:tcPr>
          <w:p w14:paraId="3C918878"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Main activity NFE</w:t>
            </w:r>
          </w:p>
        </w:tc>
        <w:tc>
          <w:tcPr>
            <w:tcW w:w="658" w:type="pct"/>
            <w:tcBorders>
              <w:top w:val="nil"/>
              <w:left w:val="nil"/>
              <w:bottom w:val="nil"/>
              <w:right w:val="nil"/>
            </w:tcBorders>
          </w:tcPr>
          <w:p w14:paraId="362D295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bottom w:val="nil"/>
              <w:right w:val="nil"/>
            </w:tcBorders>
          </w:tcPr>
          <w:p w14:paraId="7D983FA7"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0.75</w:t>
            </w:r>
          </w:p>
        </w:tc>
        <w:tc>
          <w:tcPr>
            <w:tcW w:w="1350" w:type="pct"/>
            <w:tcBorders>
              <w:top w:val="nil"/>
              <w:left w:val="nil"/>
              <w:bottom w:val="nil"/>
              <w:right w:val="nil"/>
            </w:tcBorders>
          </w:tcPr>
          <w:p w14:paraId="54CEE154"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0.049***</w:t>
            </w:r>
          </w:p>
        </w:tc>
      </w:tr>
      <w:tr w:rsidR="0000694B" w:rsidRPr="001845F3" w14:paraId="2E572A37" w14:textId="77777777" w:rsidTr="000F6A00">
        <w:trPr>
          <w:trHeight w:val="232"/>
        </w:trPr>
        <w:tc>
          <w:tcPr>
            <w:tcW w:w="2171" w:type="pct"/>
            <w:tcBorders>
              <w:top w:val="nil"/>
              <w:left w:val="nil"/>
              <w:bottom w:val="nil"/>
              <w:right w:val="nil"/>
            </w:tcBorders>
          </w:tcPr>
          <w:p w14:paraId="6BFC884C"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nil"/>
              <w:right w:val="nil"/>
            </w:tcBorders>
          </w:tcPr>
          <w:p w14:paraId="5205B7BB"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nil"/>
              <w:right w:val="nil"/>
            </w:tcBorders>
          </w:tcPr>
          <w:p w14:paraId="40665EF8"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0.70</w:t>
            </w:r>
          </w:p>
        </w:tc>
        <w:tc>
          <w:tcPr>
            <w:tcW w:w="1350" w:type="pct"/>
            <w:tcBorders>
              <w:top w:val="nil"/>
              <w:left w:val="nil"/>
              <w:bottom w:val="nil"/>
              <w:right w:val="nil"/>
            </w:tcBorders>
          </w:tcPr>
          <w:p w14:paraId="3256285C"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3CC68D6B" w14:textId="77777777" w:rsidTr="000F6A00">
        <w:trPr>
          <w:trHeight w:val="232"/>
        </w:trPr>
        <w:tc>
          <w:tcPr>
            <w:tcW w:w="2171" w:type="pct"/>
            <w:tcBorders>
              <w:top w:val="nil"/>
              <w:left w:val="nil"/>
              <w:bottom w:val="nil"/>
              <w:right w:val="nil"/>
            </w:tcBorders>
          </w:tcPr>
          <w:p w14:paraId="60FB3CD2"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Dummy for rural</w:t>
            </w:r>
          </w:p>
        </w:tc>
        <w:tc>
          <w:tcPr>
            <w:tcW w:w="658" w:type="pct"/>
            <w:tcBorders>
              <w:top w:val="nil"/>
              <w:left w:val="nil"/>
              <w:bottom w:val="nil"/>
              <w:right w:val="nil"/>
            </w:tcBorders>
          </w:tcPr>
          <w:p w14:paraId="21593103"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bottom w:val="nil"/>
              <w:right w:val="nil"/>
            </w:tcBorders>
          </w:tcPr>
          <w:p w14:paraId="75BA0911"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.62</w:t>
            </w:r>
          </w:p>
        </w:tc>
        <w:tc>
          <w:tcPr>
            <w:tcW w:w="1350" w:type="pct"/>
            <w:tcBorders>
              <w:top w:val="nil"/>
              <w:left w:val="nil"/>
              <w:bottom w:val="nil"/>
              <w:right w:val="nil"/>
            </w:tcBorders>
          </w:tcPr>
          <w:p w14:paraId="7CFACE3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0.0558</w:t>
            </w:r>
            <w:r w:rsidRPr="001845F3">
              <w:rPr>
                <w:rFonts w:cs="Times New Roman"/>
                <w:sz w:val="20"/>
                <w:szCs w:val="20"/>
                <w:vertAlign w:val="superscript"/>
              </w:rPr>
              <w:t>***</w:t>
            </w:r>
          </w:p>
        </w:tc>
      </w:tr>
      <w:tr w:rsidR="0000694B" w:rsidRPr="001845F3" w14:paraId="5B74DE81" w14:textId="77777777" w:rsidTr="000F6A00">
        <w:trPr>
          <w:trHeight w:val="232"/>
        </w:trPr>
        <w:tc>
          <w:tcPr>
            <w:tcW w:w="2171" w:type="pct"/>
            <w:tcBorders>
              <w:top w:val="nil"/>
              <w:left w:val="nil"/>
              <w:bottom w:val="single" w:sz="4" w:space="0" w:color="auto"/>
              <w:right w:val="nil"/>
            </w:tcBorders>
          </w:tcPr>
          <w:p w14:paraId="282C0F93"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single" w:sz="4" w:space="0" w:color="auto"/>
              <w:right w:val="nil"/>
            </w:tcBorders>
          </w:tcPr>
          <w:p w14:paraId="3D5E3BBE"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single" w:sz="4" w:space="0" w:color="auto"/>
              <w:right w:val="nil"/>
            </w:tcBorders>
          </w:tcPr>
          <w:p w14:paraId="6326AA7C"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.57</w:t>
            </w:r>
          </w:p>
        </w:tc>
        <w:tc>
          <w:tcPr>
            <w:tcW w:w="1350" w:type="pct"/>
            <w:tcBorders>
              <w:top w:val="nil"/>
              <w:left w:val="nil"/>
              <w:bottom w:val="single" w:sz="4" w:space="0" w:color="auto"/>
              <w:right w:val="nil"/>
            </w:tcBorders>
          </w:tcPr>
          <w:p w14:paraId="5D67354E"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4A5C4744" w14:textId="77777777" w:rsidTr="000F6A00">
        <w:trPr>
          <w:trHeight w:val="232"/>
        </w:trPr>
        <w:tc>
          <w:tcPr>
            <w:tcW w:w="2171" w:type="pct"/>
            <w:tcBorders>
              <w:top w:val="single" w:sz="4" w:space="0" w:color="auto"/>
              <w:left w:val="nil"/>
              <w:bottom w:val="single" w:sz="4" w:space="0" w:color="auto"/>
              <w:right w:val="nil"/>
            </w:tcBorders>
          </w:tcPr>
          <w:p w14:paraId="2D88EDA8" w14:textId="77777777" w:rsidR="0000694B" w:rsidRPr="001845F3" w:rsidRDefault="0000694B" w:rsidP="00D727BF">
            <w:pPr>
              <w:tabs>
                <w:tab w:val="left" w:pos="720"/>
              </w:tabs>
              <w:autoSpaceDE w:val="0"/>
              <w:autoSpaceDN w:val="0"/>
              <w:adjustRightInd w:val="0"/>
              <w:spacing w:after="0"/>
              <w:rPr>
                <w:rFonts w:cs="Times New Roman"/>
                <w:b/>
                <w:sz w:val="20"/>
                <w:szCs w:val="20"/>
              </w:rPr>
            </w:pPr>
            <w:r w:rsidRPr="001845F3">
              <w:rPr>
                <w:rFonts w:cs="Times New Roman"/>
                <w:b/>
                <w:sz w:val="20"/>
                <w:szCs w:val="20"/>
              </w:rPr>
              <w:t xml:space="preserve">Firm </w:t>
            </w:r>
            <w:r w:rsidR="00166758" w:rsidRPr="001845F3">
              <w:rPr>
                <w:rFonts w:cs="Times New Roman"/>
                <w:b/>
                <w:sz w:val="20"/>
                <w:szCs w:val="20"/>
              </w:rPr>
              <w:t>c</w:t>
            </w:r>
            <w:r w:rsidRPr="001845F3">
              <w:rPr>
                <w:rFonts w:cs="Times New Roman"/>
                <w:b/>
                <w:sz w:val="20"/>
                <w:szCs w:val="20"/>
              </w:rPr>
              <w:t>haracteristics</w:t>
            </w:r>
          </w:p>
        </w:tc>
        <w:tc>
          <w:tcPr>
            <w:tcW w:w="658" w:type="pct"/>
            <w:tcBorders>
              <w:top w:val="single" w:sz="4" w:space="0" w:color="auto"/>
              <w:left w:val="nil"/>
              <w:bottom w:val="single" w:sz="4" w:space="0" w:color="auto"/>
              <w:right w:val="nil"/>
            </w:tcBorders>
          </w:tcPr>
          <w:p w14:paraId="791203FE"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821" w:type="pct"/>
            <w:tcBorders>
              <w:top w:val="single" w:sz="4" w:space="0" w:color="auto"/>
              <w:left w:val="nil"/>
              <w:bottom w:val="single" w:sz="4" w:space="0" w:color="auto"/>
              <w:right w:val="nil"/>
            </w:tcBorders>
          </w:tcPr>
          <w:p w14:paraId="43302FCB"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1350" w:type="pct"/>
            <w:tcBorders>
              <w:top w:val="single" w:sz="4" w:space="0" w:color="auto"/>
              <w:left w:val="nil"/>
              <w:bottom w:val="single" w:sz="4" w:space="0" w:color="auto"/>
              <w:right w:val="nil"/>
            </w:tcBorders>
          </w:tcPr>
          <w:p w14:paraId="2AA656C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02078B31" w14:textId="77777777" w:rsidTr="000F6A00">
        <w:trPr>
          <w:trHeight w:val="233"/>
        </w:trPr>
        <w:tc>
          <w:tcPr>
            <w:tcW w:w="2171" w:type="pct"/>
            <w:tcBorders>
              <w:top w:val="single" w:sz="4" w:space="0" w:color="auto"/>
              <w:left w:val="nil"/>
              <w:right w:val="nil"/>
            </w:tcBorders>
          </w:tcPr>
          <w:p w14:paraId="5126EB45"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single" w:sz="4" w:space="0" w:color="auto"/>
              <w:left w:val="nil"/>
              <w:right w:val="nil"/>
            </w:tcBorders>
          </w:tcPr>
          <w:p w14:paraId="5D1CA1A9"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821" w:type="pct"/>
            <w:tcBorders>
              <w:top w:val="single" w:sz="4" w:space="0" w:color="auto"/>
              <w:left w:val="nil"/>
              <w:right w:val="nil"/>
            </w:tcBorders>
          </w:tcPr>
          <w:p w14:paraId="2E72CA4E"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1350" w:type="pct"/>
            <w:tcBorders>
              <w:top w:val="single" w:sz="4" w:space="0" w:color="auto"/>
              <w:left w:val="nil"/>
              <w:right w:val="nil"/>
            </w:tcBorders>
          </w:tcPr>
          <w:p w14:paraId="04C7DA1F"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0286BFDB" w14:textId="77777777" w:rsidTr="000F6A00">
        <w:trPr>
          <w:trHeight w:val="232"/>
        </w:trPr>
        <w:tc>
          <w:tcPr>
            <w:tcW w:w="2171" w:type="pct"/>
            <w:tcBorders>
              <w:left w:val="nil"/>
              <w:bottom w:val="nil"/>
              <w:right w:val="nil"/>
            </w:tcBorders>
          </w:tcPr>
          <w:p w14:paraId="7673858E"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Operates in HH premise</w:t>
            </w:r>
          </w:p>
        </w:tc>
        <w:tc>
          <w:tcPr>
            <w:tcW w:w="658" w:type="pct"/>
            <w:tcBorders>
              <w:left w:val="nil"/>
              <w:bottom w:val="nil"/>
              <w:right w:val="nil"/>
            </w:tcBorders>
          </w:tcPr>
          <w:p w14:paraId="48D77F9D"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left w:val="nil"/>
              <w:bottom w:val="nil"/>
              <w:right w:val="nil"/>
            </w:tcBorders>
          </w:tcPr>
          <w:p w14:paraId="0E479184"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0.52</w:t>
            </w:r>
          </w:p>
        </w:tc>
        <w:tc>
          <w:tcPr>
            <w:tcW w:w="1350" w:type="pct"/>
            <w:tcBorders>
              <w:left w:val="nil"/>
              <w:bottom w:val="nil"/>
              <w:right w:val="nil"/>
            </w:tcBorders>
          </w:tcPr>
          <w:p w14:paraId="6AA6228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0.107***</w:t>
            </w:r>
          </w:p>
        </w:tc>
      </w:tr>
      <w:tr w:rsidR="0000694B" w:rsidRPr="001845F3" w14:paraId="754D99F7" w14:textId="77777777" w:rsidTr="000F6A00">
        <w:trPr>
          <w:trHeight w:val="232"/>
        </w:trPr>
        <w:tc>
          <w:tcPr>
            <w:tcW w:w="2171" w:type="pct"/>
            <w:tcBorders>
              <w:left w:val="nil"/>
              <w:bottom w:val="nil"/>
              <w:right w:val="nil"/>
            </w:tcBorders>
          </w:tcPr>
          <w:p w14:paraId="067AD3E2"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left w:val="nil"/>
              <w:bottom w:val="nil"/>
              <w:right w:val="nil"/>
            </w:tcBorders>
          </w:tcPr>
          <w:p w14:paraId="311F35BC"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left w:val="nil"/>
              <w:bottom w:val="nil"/>
              <w:right w:val="nil"/>
            </w:tcBorders>
          </w:tcPr>
          <w:p w14:paraId="155D3359"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0.41</w:t>
            </w:r>
          </w:p>
        </w:tc>
        <w:tc>
          <w:tcPr>
            <w:tcW w:w="1350" w:type="pct"/>
            <w:tcBorders>
              <w:left w:val="nil"/>
              <w:bottom w:val="nil"/>
              <w:right w:val="nil"/>
            </w:tcBorders>
          </w:tcPr>
          <w:p w14:paraId="3387A18E"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42D9571A" w14:textId="77777777" w:rsidTr="000F6A00">
        <w:trPr>
          <w:trHeight w:val="232"/>
        </w:trPr>
        <w:tc>
          <w:tcPr>
            <w:tcW w:w="2171" w:type="pct"/>
            <w:tcBorders>
              <w:left w:val="nil"/>
              <w:bottom w:val="nil"/>
              <w:right w:val="nil"/>
            </w:tcBorders>
          </w:tcPr>
          <w:p w14:paraId="3D1884F7"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Exit rate</w:t>
            </w:r>
          </w:p>
        </w:tc>
        <w:tc>
          <w:tcPr>
            <w:tcW w:w="658" w:type="pct"/>
            <w:tcBorders>
              <w:left w:val="nil"/>
              <w:bottom w:val="nil"/>
              <w:right w:val="nil"/>
            </w:tcBorders>
          </w:tcPr>
          <w:p w14:paraId="70B1CD1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left w:val="nil"/>
              <w:bottom w:val="nil"/>
              <w:right w:val="nil"/>
            </w:tcBorders>
          </w:tcPr>
          <w:p w14:paraId="70152778"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.31</w:t>
            </w:r>
          </w:p>
        </w:tc>
        <w:tc>
          <w:tcPr>
            <w:tcW w:w="1350" w:type="pct"/>
            <w:tcBorders>
              <w:left w:val="nil"/>
              <w:bottom w:val="nil"/>
              <w:right w:val="nil"/>
            </w:tcBorders>
          </w:tcPr>
          <w:p w14:paraId="76981137"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-0.0140</w:t>
            </w:r>
          </w:p>
        </w:tc>
      </w:tr>
      <w:tr w:rsidR="0000694B" w:rsidRPr="001845F3" w14:paraId="6FDF7FF5" w14:textId="77777777" w:rsidTr="000F6A00">
        <w:trPr>
          <w:trHeight w:val="233"/>
        </w:trPr>
        <w:tc>
          <w:tcPr>
            <w:tcW w:w="2171" w:type="pct"/>
            <w:tcBorders>
              <w:left w:val="nil"/>
              <w:bottom w:val="nil"/>
              <w:right w:val="nil"/>
            </w:tcBorders>
          </w:tcPr>
          <w:p w14:paraId="26EF5E7B"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left w:val="nil"/>
              <w:bottom w:val="nil"/>
              <w:right w:val="nil"/>
            </w:tcBorders>
          </w:tcPr>
          <w:p w14:paraId="48086CF3"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left w:val="nil"/>
              <w:bottom w:val="nil"/>
              <w:right w:val="nil"/>
            </w:tcBorders>
          </w:tcPr>
          <w:p w14:paraId="06487F1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.32</w:t>
            </w:r>
          </w:p>
        </w:tc>
        <w:tc>
          <w:tcPr>
            <w:tcW w:w="1350" w:type="pct"/>
            <w:tcBorders>
              <w:left w:val="nil"/>
              <w:bottom w:val="nil"/>
              <w:right w:val="nil"/>
            </w:tcBorders>
          </w:tcPr>
          <w:p w14:paraId="263F926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7472671B" w14:textId="77777777" w:rsidTr="000F6A00">
        <w:trPr>
          <w:trHeight w:val="232"/>
        </w:trPr>
        <w:tc>
          <w:tcPr>
            <w:tcW w:w="2171" w:type="pct"/>
            <w:tcBorders>
              <w:left w:val="nil"/>
              <w:bottom w:val="nil"/>
              <w:right w:val="nil"/>
            </w:tcBorders>
          </w:tcPr>
          <w:p w14:paraId="6C3CC958"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Manufacturing</w:t>
            </w:r>
          </w:p>
        </w:tc>
        <w:tc>
          <w:tcPr>
            <w:tcW w:w="658" w:type="pct"/>
            <w:tcBorders>
              <w:left w:val="nil"/>
              <w:bottom w:val="nil"/>
              <w:right w:val="nil"/>
            </w:tcBorders>
          </w:tcPr>
          <w:p w14:paraId="7305322C"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left w:val="nil"/>
              <w:bottom w:val="nil"/>
              <w:right w:val="nil"/>
            </w:tcBorders>
          </w:tcPr>
          <w:p w14:paraId="2962AFE8"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.22</w:t>
            </w:r>
          </w:p>
        </w:tc>
        <w:tc>
          <w:tcPr>
            <w:tcW w:w="1350" w:type="pct"/>
            <w:tcBorders>
              <w:left w:val="nil"/>
              <w:bottom w:val="nil"/>
              <w:right w:val="nil"/>
            </w:tcBorders>
          </w:tcPr>
          <w:p w14:paraId="4A031CBD"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-0.00687</w:t>
            </w:r>
          </w:p>
        </w:tc>
      </w:tr>
      <w:tr w:rsidR="0000694B" w:rsidRPr="001845F3" w14:paraId="74672A76" w14:textId="77777777" w:rsidTr="000F6A00">
        <w:trPr>
          <w:trHeight w:val="232"/>
        </w:trPr>
        <w:tc>
          <w:tcPr>
            <w:tcW w:w="2171" w:type="pct"/>
            <w:tcBorders>
              <w:left w:val="nil"/>
              <w:bottom w:val="nil"/>
              <w:right w:val="nil"/>
            </w:tcBorders>
          </w:tcPr>
          <w:p w14:paraId="63EA7EF4"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left w:val="nil"/>
              <w:bottom w:val="nil"/>
              <w:right w:val="nil"/>
            </w:tcBorders>
          </w:tcPr>
          <w:p w14:paraId="36153221"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left w:val="nil"/>
              <w:bottom w:val="nil"/>
              <w:right w:val="nil"/>
            </w:tcBorders>
          </w:tcPr>
          <w:p w14:paraId="6630ED8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.23</w:t>
            </w:r>
          </w:p>
        </w:tc>
        <w:tc>
          <w:tcPr>
            <w:tcW w:w="1350" w:type="pct"/>
            <w:tcBorders>
              <w:left w:val="nil"/>
              <w:bottom w:val="nil"/>
              <w:right w:val="nil"/>
            </w:tcBorders>
          </w:tcPr>
          <w:p w14:paraId="7E14860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3A92C846" w14:textId="77777777" w:rsidTr="000F6A00">
        <w:trPr>
          <w:trHeight w:val="232"/>
        </w:trPr>
        <w:tc>
          <w:tcPr>
            <w:tcW w:w="2171" w:type="pct"/>
            <w:tcBorders>
              <w:left w:val="nil"/>
              <w:bottom w:val="nil"/>
              <w:right w:val="nil"/>
            </w:tcBorders>
          </w:tcPr>
          <w:p w14:paraId="34D4E262" w14:textId="3FE7640A"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 xml:space="preserve">Total </w:t>
            </w:r>
            <w:r w:rsidR="003A6769">
              <w:rPr>
                <w:rFonts w:cs="Times New Roman"/>
                <w:sz w:val="20"/>
                <w:szCs w:val="20"/>
              </w:rPr>
              <w:t>w</w:t>
            </w:r>
            <w:r w:rsidRPr="001845F3">
              <w:rPr>
                <w:rFonts w:cs="Times New Roman"/>
                <w:sz w:val="20"/>
                <w:szCs w:val="20"/>
              </w:rPr>
              <w:t>orkers</w:t>
            </w:r>
          </w:p>
        </w:tc>
        <w:tc>
          <w:tcPr>
            <w:tcW w:w="658" w:type="pct"/>
            <w:tcBorders>
              <w:left w:val="nil"/>
              <w:bottom w:val="nil"/>
              <w:right w:val="nil"/>
            </w:tcBorders>
          </w:tcPr>
          <w:p w14:paraId="65FDAAA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left w:val="nil"/>
              <w:bottom w:val="nil"/>
              <w:right w:val="nil"/>
            </w:tcBorders>
          </w:tcPr>
          <w:p w14:paraId="4F87EB4F"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1.29</w:t>
            </w:r>
          </w:p>
        </w:tc>
        <w:tc>
          <w:tcPr>
            <w:tcW w:w="1350" w:type="pct"/>
            <w:tcBorders>
              <w:left w:val="nil"/>
              <w:bottom w:val="nil"/>
              <w:right w:val="nil"/>
            </w:tcBorders>
          </w:tcPr>
          <w:p w14:paraId="2C5B031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-1.801</w:t>
            </w:r>
            <w:r w:rsidRPr="001845F3">
              <w:rPr>
                <w:rFonts w:cs="Times New Roman"/>
                <w:sz w:val="20"/>
                <w:szCs w:val="20"/>
                <w:vertAlign w:val="superscript"/>
              </w:rPr>
              <w:t>***</w:t>
            </w:r>
          </w:p>
        </w:tc>
      </w:tr>
      <w:tr w:rsidR="0000694B" w:rsidRPr="001845F3" w14:paraId="3897F2F4" w14:textId="77777777" w:rsidTr="000F6A00">
        <w:trPr>
          <w:trHeight w:val="233"/>
        </w:trPr>
        <w:tc>
          <w:tcPr>
            <w:tcW w:w="2171" w:type="pct"/>
            <w:tcBorders>
              <w:top w:val="nil"/>
              <w:left w:val="nil"/>
              <w:bottom w:val="nil"/>
              <w:right w:val="nil"/>
            </w:tcBorders>
          </w:tcPr>
          <w:p w14:paraId="2C19F860"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nil"/>
              <w:right w:val="nil"/>
            </w:tcBorders>
          </w:tcPr>
          <w:p w14:paraId="7B5A57A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nil"/>
              <w:right w:val="nil"/>
            </w:tcBorders>
          </w:tcPr>
          <w:p w14:paraId="53E0DD1C"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3.09</w:t>
            </w:r>
          </w:p>
        </w:tc>
        <w:tc>
          <w:tcPr>
            <w:tcW w:w="1350" w:type="pct"/>
            <w:tcBorders>
              <w:top w:val="nil"/>
              <w:left w:val="nil"/>
              <w:bottom w:val="nil"/>
              <w:right w:val="nil"/>
            </w:tcBorders>
          </w:tcPr>
          <w:p w14:paraId="748F4D5E"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073215A9" w14:textId="77777777" w:rsidTr="000F6A00">
        <w:trPr>
          <w:trHeight w:val="232"/>
        </w:trPr>
        <w:tc>
          <w:tcPr>
            <w:tcW w:w="2171" w:type="pct"/>
            <w:tcBorders>
              <w:top w:val="nil"/>
              <w:left w:val="nil"/>
              <w:bottom w:val="nil"/>
              <w:right w:val="nil"/>
            </w:tcBorders>
          </w:tcPr>
          <w:p w14:paraId="38505262" w14:textId="2AF5A4C8"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Workers (</w:t>
            </w:r>
            <w:r w:rsidR="003A6769">
              <w:rPr>
                <w:rFonts w:cs="Times New Roman"/>
                <w:sz w:val="20"/>
                <w:szCs w:val="20"/>
              </w:rPr>
              <w:t>p</w:t>
            </w:r>
            <w:r w:rsidRPr="001845F3">
              <w:rPr>
                <w:rFonts w:cs="Times New Roman"/>
                <w:sz w:val="20"/>
                <w:szCs w:val="20"/>
              </w:rPr>
              <w:t>aid only)</w:t>
            </w:r>
          </w:p>
        </w:tc>
        <w:tc>
          <w:tcPr>
            <w:tcW w:w="658" w:type="pct"/>
            <w:tcBorders>
              <w:top w:val="nil"/>
              <w:left w:val="nil"/>
              <w:bottom w:val="nil"/>
              <w:right w:val="nil"/>
            </w:tcBorders>
          </w:tcPr>
          <w:p w14:paraId="7C7547F9"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bottom w:val="nil"/>
              <w:right w:val="nil"/>
            </w:tcBorders>
          </w:tcPr>
          <w:p w14:paraId="3A571B83"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1.05</w:t>
            </w:r>
          </w:p>
        </w:tc>
        <w:tc>
          <w:tcPr>
            <w:tcW w:w="1350" w:type="pct"/>
            <w:tcBorders>
              <w:top w:val="nil"/>
              <w:left w:val="nil"/>
              <w:bottom w:val="nil"/>
              <w:right w:val="nil"/>
            </w:tcBorders>
          </w:tcPr>
          <w:p w14:paraId="3AC73467"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-1.789</w:t>
            </w:r>
            <w:r w:rsidRPr="001845F3">
              <w:rPr>
                <w:rFonts w:cs="Times New Roman"/>
                <w:sz w:val="20"/>
                <w:szCs w:val="20"/>
                <w:vertAlign w:val="superscript"/>
              </w:rPr>
              <w:t>***</w:t>
            </w:r>
          </w:p>
        </w:tc>
      </w:tr>
      <w:tr w:rsidR="0000694B" w:rsidRPr="001845F3" w14:paraId="4F13FF94" w14:textId="77777777" w:rsidTr="000F6A00">
        <w:trPr>
          <w:trHeight w:val="232"/>
        </w:trPr>
        <w:tc>
          <w:tcPr>
            <w:tcW w:w="2171" w:type="pct"/>
            <w:tcBorders>
              <w:top w:val="nil"/>
              <w:left w:val="nil"/>
              <w:bottom w:val="nil"/>
              <w:right w:val="nil"/>
            </w:tcBorders>
          </w:tcPr>
          <w:p w14:paraId="27759763"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nil"/>
              <w:right w:val="nil"/>
            </w:tcBorders>
          </w:tcPr>
          <w:p w14:paraId="653D842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nil"/>
              <w:right w:val="nil"/>
            </w:tcBorders>
          </w:tcPr>
          <w:p w14:paraId="0402FE06"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2.84</w:t>
            </w:r>
          </w:p>
        </w:tc>
        <w:tc>
          <w:tcPr>
            <w:tcW w:w="1350" w:type="pct"/>
            <w:tcBorders>
              <w:top w:val="nil"/>
              <w:left w:val="nil"/>
              <w:bottom w:val="nil"/>
              <w:right w:val="nil"/>
            </w:tcBorders>
          </w:tcPr>
          <w:p w14:paraId="01D7CE5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36B32A39" w14:textId="77777777" w:rsidTr="000F6A00">
        <w:trPr>
          <w:trHeight w:val="232"/>
        </w:trPr>
        <w:tc>
          <w:tcPr>
            <w:tcW w:w="2171" w:type="pct"/>
            <w:tcBorders>
              <w:top w:val="nil"/>
              <w:left w:val="nil"/>
              <w:bottom w:val="nil"/>
              <w:right w:val="nil"/>
            </w:tcBorders>
          </w:tcPr>
          <w:p w14:paraId="4D40A30A" w14:textId="2CBF5BA2"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 xml:space="preserve">Monthly </w:t>
            </w:r>
            <w:r w:rsidR="003A6769">
              <w:rPr>
                <w:rFonts w:cs="Times New Roman"/>
                <w:sz w:val="20"/>
                <w:szCs w:val="20"/>
              </w:rPr>
              <w:t>s</w:t>
            </w:r>
            <w:r w:rsidRPr="001845F3">
              <w:rPr>
                <w:rFonts w:cs="Times New Roman"/>
                <w:sz w:val="20"/>
                <w:szCs w:val="20"/>
              </w:rPr>
              <w:t>ales (deflated)</w:t>
            </w:r>
          </w:p>
        </w:tc>
        <w:tc>
          <w:tcPr>
            <w:tcW w:w="658" w:type="pct"/>
            <w:tcBorders>
              <w:top w:val="nil"/>
              <w:left w:val="nil"/>
              <w:bottom w:val="nil"/>
              <w:right w:val="nil"/>
            </w:tcBorders>
          </w:tcPr>
          <w:p w14:paraId="43BB920C"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bottom w:val="nil"/>
              <w:right w:val="nil"/>
            </w:tcBorders>
          </w:tcPr>
          <w:p w14:paraId="0DDEA0EB"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39804</w:t>
            </w:r>
          </w:p>
        </w:tc>
        <w:tc>
          <w:tcPr>
            <w:tcW w:w="1350" w:type="pct"/>
            <w:tcBorders>
              <w:top w:val="nil"/>
              <w:left w:val="nil"/>
              <w:bottom w:val="nil"/>
              <w:right w:val="nil"/>
            </w:tcBorders>
          </w:tcPr>
          <w:p w14:paraId="30D00095"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-240005</w:t>
            </w:r>
            <w:r w:rsidRPr="001845F3">
              <w:rPr>
                <w:rFonts w:cs="Times New Roman"/>
                <w:sz w:val="20"/>
                <w:szCs w:val="20"/>
                <w:vertAlign w:val="superscript"/>
              </w:rPr>
              <w:t>***</w:t>
            </w:r>
          </w:p>
        </w:tc>
      </w:tr>
      <w:tr w:rsidR="0000694B" w:rsidRPr="001845F3" w14:paraId="29969247" w14:textId="77777777" w:rsidTr="000F6A00">
        <w:trPr>
          <w:trHeight w:val="232"/>
        </w:trPr>
        <w:tc>
          <w:tcPr>
            <w:tcW w:w="2171" w:type="pct"/>
            <w:tcBorders>
              <w:top w:val="nil"/>
              <w:left w:val="nil"/>
              <w:bottom w:val="nil"/>
              <w:right w:val="nil"/>
            </w:tcBorders>
          </w:tcPr>
          <w:p w14:paraId="12679B3C"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nil"/>
              <w:right w:val="nil"/>
            </w:tcBorders>
          </w:tcPr>
          <w:p w14:paraId="2BBB0E10"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nil"/>
              <w:right w:val="nil"/>
            </w:tcBorders>
          </w:tcPr>
          <w:p w14:paraId="4217374E"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279809</w:t>
            </w:r>
          </w:p>
        </w:tc>
        <w:tc>
          <w:tcPr>
            <w:tcW w:w="1350" w:type="pct"/>
            <w:tcBorders>
              <w:top w:val="nil"/>
              <w:left w:val="nil"/>
              <w:bottom w:val="nil"/>
              <w:right w:val="nil"/>
            </w:tcBorders>
          </w:tcPr>
          <w:p w14:paraId="0FB18DB8"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4BFC2B3F" w14:textId="77777777" w:rsidTr="000F6A00">
        <w:trPr>
          <w:trHeight w:val="233"/>
        </w:trPr>
        <w:tc>
          <w:tcPr>
            <w:tcW w:w="2171" w:type="pct"/>
            <w:tcBorders>
              <w:top w:val="nil"/>
              <w:left w:val="nil"/>
              <w:bottom w:val="nil"/>
              <w:right w:val="nil"/>
            </w:tcBorders>
          </w:tcPr>
          <w:p w14:paraId="10767DBF" w14:textId="44A6CF71"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 xml:space="preserve">Monthly </w:t>
            </w:r>
            <w:r w:rsidR="003A6769">
              <w:rPr>
                <w:rFonts w:cs="Times New Roman"/>
                <w:sz w:val="20"/>
                <w:szCs w:val="20"/>
              </w:rPr>
              <w:t>s</w:t>
            </w:r>
            <w:r w:rsidRPr="001845F3">
              <w:rPr>
                <w:rFonts w:cs="Times New Roman"/>
                <w:sz w:val="20"/>
                <w:szCs w:val="20"/>
              </w:rPr>
              <w:t xml:space="preserve">ales per </w:t>
            </w:r>
            <w:r w:rsidR="003A6769">
              <w:rPr>
                <w:rFonts w:cs="Times New Roman"/>
                <w:sz w:val="20"/>
                <w:szCs w:val="20"/>
              </w:rPr>
              <w:t>p</w:t>
            </w:r>
            <w:r w:rsidRPr="001845F3">
              <w:rPr>
                <w:rFonts w:cs="Times New Roman"/>
                <w:sz w:val="20"/>
                <w:szCs w:val="20"/>
              </w:rPr>
              <w:t>aid worker (deflated)</w:t>
            </w:r>
          </w:p>
        </w:tc>
        <w:tc>
          <w:tcPr>
            <w:tcW w:w="658" w:type="pct"/>
            <w:tcBorders>
              <w:top w:val="nil"/>
              <w:left w:val="nil"/>
              <w:bottom w:val="nil"/>
              <w:right w:val="nil"/>
            </w:tcBorders>
          </w:tcPr>
          <w:p w14:paraId="2CC2B499"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bottom w:val="nil"/>
              <w:right w:val="nil"/>
            </w:tcBorders>
          </w:tcPr>
          <w:p w14:paraId="44970B80"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42216</w:t>
            </w:r>
          </w:p>
        </w:tc>
        <w:tc>
          <w:tcPr>
            <w:tcW w:w="1350" w:type="pct"/>
            <w:tcBorders>
              <w:top w:val="nil"/>
              <w:left w:val="nil"/>
              <w:bottom w:val="nil"/>
              <w:right w:val="nil"/>
            </w:tcBorders>
          </w:tcPr>
          <w:p w14:paraId="71A116FF"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-96693</w:t>
            </w:r>
            <w:r w:rsidRPr="001845F3">
              <w:rPr>
                <w:rFonts w:cs="Times New Roman"/>
                <w:sz w:val="20"/>
                <w:szCs w:val="20"/>
                <w:vertAlign w:val="superscript"/>
              </w:rPr>
              <w:t>***</w:t>
            </w:r>
          </w:p>
        </w:tc>
      </w:tr>
      <w:tr w:rsidR="0000694B" w:rsidRPr="001845F3" w14:paraId="41482764" w14:textId="77777777" w:rsidTr="000F6A00">
        <w:trPr>
          <w:trHeight w:val="232"/>
        </w:trPr>
        <w:tc>
          <w:tcPr>
            <w:tcW w:w="2171" w:type="pct"/>
            <w:tcBorders>
              <w:top w:val="nil"/>
              <w:left w:val="nil"/>
              <w:bottom w:val="nil"/>
              <w:right w:val="nil"/>
            </w:tcBorders>
          </w:tcPr>
          <w:p w14:paraId="2413FE68"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nil"/>
              <w:right w:val="nil"/>
            </w:tcBorders>
          </w:tcPr>
          <w:p w14:paraId="2E13B28D"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nil"/>
              <w:right w:val="nil"/>
            </w:tcBorders>
          </w:tcPr>
          <w:p w14:paraId="44B58BBC"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138909</w:t>
            </w:r>
          </w:p>
        </w:tc>
        <w:tc>
          <w:tcPr>
            <w:tcW w:w="1350" w:type="pct"/>
            <w:tcBorders>
              <w:top w:val="nil"/>
              <w:left w:val="nil"/>
              <w:bottom w:val="nil"/>
              <w:right w:val="nil"/>
            </w:tcBorders>
          </w:tcPr>
          <w:p w14:paraId="03BE9433"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081457B7" w14:textId="77777777" w:rsidTr="000F6A00">
        <w:trPr>
          <w:trHeight w:val="232"/>
        </w:trPr>
        <w:tc>
          <w:tcPr>
            <w:tcW w:w="2171" w:type="pct"/>
            <w:tcBorders>
              <w:top w:val="nil"/>
              <w:left w:val="nil"/>
              <w:bottom w:val="nil"/>
              <w:right w:val="nil"/>
            </w:tcBorders>
          </w:tcPr>
          <w:p w14:paraId="081C1062" w14:textId="4E7106AE"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 xml:space="preserve">Monthly </w:t>
            </w:r>
            <w:r w:rsidR="003A6769">
              <w:rPr>
                <w:rFonts w:cs="Times New Roman"/>
                <w:sz w:val="20"/>
                <w:szCs w:val="20"/>
              </w:rPr>
              <w:t>s</w:t>
            </w:r>
            <w:r w:rsidRPr="001845F3">
              <w:rPr>
                <w:rFonts w:cs="Times New Roman"/>
                <w:sz w:val="20"/>
                <w:szCs w:val="20"/>
              </w:rPr>
              <w:t>ales growth (deflated)</w:t>
            </w:r>
          </w:p>
        </w:tc>
        <w:tc>
          <w:tcPr>
            <w:tcW w:w="658" w:type="pct"/>
            <w:tcBorders>
              <w:top w:val="nil"/>
              <w:left w:val="nil"/>
              <w:bottom w:val="nil"/>
              <w:right w:val="nil"/>
            </w:tcBorders>
          </w:tcPr>
          <w:p w14:paraId="37AD260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bottom w:val="nil"/>
              <w:right w:val="nil"/>
            </w:tcBorders>
          </w:tcPr>
          <w:p w14:paraId="08992E7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.41</w:t>
            </w:r>
          </w:p>
        </w:tc>
        <w:tc>
          <w:tcPr>
            <w:tcW w:w="1350" w:type="pct"/>
            <w:tcBorders>
              <w:top w:val="nil"/>
              <w:left w:val="nil"/>
              <w:bottom w:val="nil"/>
              <w:right w:val="nil"/>
            </w:tcBorders>
          </w:tcPr>
          <w:p w14:paraId="77977299"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-0.0801</w:t>
            </w:r>
          </w:p>
        </w:tc>
      </w:tr>
      <w:tr w:rsidR="0000694B" w:rsidRPr="001845F3" w14:paraId="412241EC" w14:textId="77777777" w:rsidTr="000F6A00">
        <w:trPr>
          <w:trHeight w:val="232"/>
        </w:trPr>
        <w:tc>
          <w:tcPr>
            <w:tcW w:w="2171" w:type="pct"/>
            <w:tcBorders>
              <w:top w:val="nil"/>
              <w:left w:val="nil"/>
              <w:bottom w:val="nil"/>
              <w:right w:val="nil"/>
            </w:tcBorders>
          </w:tcPr>
          <w:p w14:paraId="0F75ABF9"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nil"/>
              <w:right w:val="nil"/>
            </w:tcBorders>
          </w:tcPr>
          <w:p w14:paraId="3053348B"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nil"/>
              <w:right w:val="nil"/>
            </w:tcBorders>
          </w:tcPr>
          <w:p w14:paraId="03137E1C"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.49</w:t>
            </w:r>
          </w:p>
        </w:tc>
        <w:tc>
          <w:tcPr>
            <w:tcW w:w="1350" w:type="pct"/>
            <w:tcBorders>
              <w:top w:val="nil"/>
              <w:left w:val="nil"/>
              <w:bottom w:val="nil"/>
              <w:right w:val="nil"/>
            </w:tcBorders>
          </w:tcPr>
          <w:p w14:paraId="1DD9A1D6"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5E0D9D81" w14:textId="77777777" w:rsidTr="000F6A00">
        <w:trPr>
          <w:trHeight w:val="233"/>
        </w:trPr>
        <w:tc>
          <w:tcPr>
            <w:tcW w:w="2171" w:type="pct"/>
            <w:tcBorders>
              <w:top w:val="nil"/>
              <w:left w:val="nil"/>
              <w:bottom w:val="nil"/>
              <w:right w:val="nil"/>
            </w:tcBorders>
          </w:tcPr>
          <w:p w14:paraId="5A47C789"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Employment growth</w:t>
            </w:r>
          </w:p>
        </w:tc>
        <w:tc>
          <w:tcPr>
            <w:tcW w:w="658" w:type="pct"/>
            <w:tcBorders>
              <w:top w:val="nil"/>
              <w:left w:val="nil"/>
              <w:bottom w:val="nil"/>
              <w:right w:val="nil"/>
            </w:tcBorders>
          </w:tcPr>
          <w:p w14:paraId="0EBEB395"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bottom w:val="nil"/>
              <w:right w:val="nil"/>
            </w:tcBorders>
          </w:tcPr>
          <w:p w14:paraId="44FC0251"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-.051</w:t>
            </w:r>
          </w:p>
        </w:tc>
        <w:tc>
          <w:tcPr>
            <w:tcW w:w="1350" w:type="pct"/>
            <w:tcBorders>
              <w:top w:val="nil"/>
              <w:left w:val="nil"/>
              <w:bottom w:val="nil"/>
              <w:right w:val="nil"/>
            </w:tcBorders>
          </w:tcPr>
          <w:p w14:paraId="12F1B731"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-0.193</w:t>
            </w:r>
            <w:r w:rsidRPr="001845F3">
              <w:rPr>
                <w:rFonts w:cs="Times New Roman"/>
                <w:sz w:val="20"/>
                <w:szCs w:val="20"/>
                <w:vertAlign w:val="superscript"/>
              </w:rPr>
              <w:t>***</w:t>
            </w:r>
          </w:p>
        </w:tc>
      </w:tr>
      <w:tr w:rsidR="0000694B" w:rsidRPr="001845F3" w14:paraId="55946DBB" w14:textId="77777777" w:rsidTr="000F6A00">
        <w:trPr>
          <w:trHeight w:val="232"/>
        </w:trPr>
        <w:tc>
          <w:tcPr>
            <w:tcW w:w="2171" w:type="pct"/>
            <w:tcBorders>
              <w:top w:val="nil"/>
              <w:left w:val="nil"/>
              <w:right w:val="nil"/>
            </w:tcBorders>
          </w:tcPr>
          <w:p w14:paraId="4B603B60"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right w:val="nil"/>
            </w:tcBorders>
          </w:tcPr>
          <w:p w14:paraId="45D29FB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right w:val="nil"/>
            </w:tcBorders>
          </w:tcPr>
          <w:p w14:paraId="3C4671D8"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.157</w:t>
            </w:r>
          </w:p>
        </w:tc>
        <w:tc>
          <w:tcPr>
            <w:tcW w:w="1350" w:type="pct"/>
            <w:tcBorders>
              <w:top w:val="nil"/>
              <w:left w:val="nil"/>
              <w:right w:val="nil"/>
            </w:tcBorders>
          </w:tcPr>
          <w:p w14:paraId="758A4C0C"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39FA8ADD" w14:textId="77777777" w:rsidTr="000F6A00">
        <w:trPr>
          <w:trHeight w:val="232"/>
        </w:trPr>
        <w:tc>
          <w:tcPr>
            <w:tcW w:w="2171" w:type="pct"/>
            <w:tcBorders>
              <w:top w:val="nil"/>
              <w:left w:val="nil"/>
              <w:right w:val="nil"/>
            </w:tcBorders>
          </w:tcPr>
          <w:p w14:paraId="3A428510"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Capital (deflated)</w:t>
            </w:r>
          </w:p>
        </w:tc>
        <w:tc>
          <w:tcPr>
            <w:tcW w:w="658" w:type="pct"/>
            <w:tcBorders>
              <w:top w:val="nil"/>
              <w:left w:val="nil"/>
              <w:right w:val="nil"/>
            </w:tcBorders>
          </w:tcPr>
          <w:p w14:paraId="24F78065"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HE</w:t>
            </w:r>
          </w:p>
        </w:tc>
        <w:tc>
          <w:tcPr>
            <w:tcW w:w="821" w:type="pct"/>
            <w:tcBorders>
              <w:top w:val="nil"/>
              <w:left w:val="nil"/>
              <w:right w:val="nil"/>
            </w:tcBorders>
          </w:tcPr>
          <w:p w14:paraId="46056467"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66229</w:t>
            </w:r>
          </w:p>
        </w:tc>
        <w:tc>
          <w:tcPr>
            <w:tcW w:w="1350" w:type="pct"/>
            <w:tcBorders>
              <w:top w:val="nil"/>
              <w:left w:val="nil"/>
              <w:right w:val="nil"/>
            </w:tcBorders>
          </w:tcPr>
          <w:p w14:paraId="57E9A8B8"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-533215.6</w:t>
            </w:r>
            <w:r w:rsidRPr="001845F3">
              <w:rPr>
                <w:rFonts w:cs="Times New Roman"/>
                <w:sz w:val="20"/>
                <w:szCs w:val="20"/>
                <w:vertAlign w:val="superscript"/>
              </w:rPr>
              <w:t>***</w:t>
            </w:r>
          </w:p>
        </w:tc>
      </w:tr>
      <w:tr w:rsidR="0000694B" w:rsidRPr="001845F3" w14:paraId="6C19DB52" w14:textId="77777777" w:rsidTr="000F6A00">
        <w:trPr>
          <w:trHeight w:val="232"/>
        </w:trPr>
        <w:tc>
          <w:tcPr>
            <w:tcW w:w="2171" w:type="pct"/>
            <w:tcBorders>
              <w:top w:val="nil"/>
              <w:left w:val="nil"/>
              <w:bottom w:val="single" w:sz="4" w:space="0" w:color="auto"/>
              <w:right w:val="nil"/>
            </w:tcBorders>
          </w:tcPr>
          <w:p w14:paraId="5BAE08F7"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658" w:type="pct"/>
            <w:tcBorders>
              <w:top w:val="nil"/>
              <w:left w:val="nil"/>
              <w:bottom w:val="single" w:sz="4" w:space="0" w:color="auto"/>
              <w:right w:val="nil"/>
            </w:tcBorders>
          </w:tcPr>
          <w:p w14:paraId="3E9ACCE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ME</w:t>
            </w:r>
          </w:p>
        </w:tc>
        <w:tc>
          <w:tcPr>
            <w:tcW w:w="821" w:type="pct"/>
            <w:tcBorders>
              <w:top w:val="nil"/>
              <w:left w:val="nil"/>
              <w:bottom w:val="single" w:sz="4" w:space="0" w:color="auto"/>
              <w:right w:val="nil"/>
            </w:tcBorders>
          </w:tcPr>
          <w:p w14:paraId="53B3F709"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599444</w:t>
            </w:r>
          </w:p>
        </w:tc>
        <w:tc>
          <w:tcPr>
            <w:tcW w:w="1350" w:type="pct"/>
            <w:tcBorders>
              <w:top w:val="nil"/>
              <w:left w:val="nil"/>
              <w:bottom w:val="single" w:sz="4" w:space="0" w:color="auto"/>
              <w:right w:val="nil"/>
            </w:tcBorders>
          </w:tcPr>
          <w:p w14:paraId="3A18FFCB"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r>
      <w:tr w:rsidR="0000694B" w:rsidRPr="001845F3" w14:paraId="18B27DA3" w14:textId="77777777" w:rsidTr="000F6A00">
        <w:trPr>
          <w:trHeight w:val="233"/>
        </w:trPr>
        <w:tc>
          <w:tcPr>
            <w:tcW w:w="2171" w:type="pct"/>
            <w:tcBorders>
              <w:top w:val="nil"/>
              <w:left w:val="nil"/>
              <w:bottom w:val="single" w:sz="4" w:space="0" w:color="auto"/>
              <w:right w:val="nil"/>
            </w:tcBorders>
          </w:tcPr>
          <w:p w14:paraId="36FFCB0E"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Observations</w:t>
            </w:r>
          </w:p>
        </w:tc>
        <w:tc>
          <w:tcPr>
            <w:tcW w:w="658" w:type="pct"/>
            <w:tcBorders>
              <w:top w:val="nil"/>
              <w:left w:val="nil"/>
              <w:bottom w:val="single" w:sz="4" w:space="0" w:color="auto"/>
              <w:right w:val="nil"/>
            </w:tcBorders>
          </w:tcPr>
          <w:p w14:paraId="0E1DB214"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821" w:type="pct"/>
            <w:tcBorders>
              <w:top w:val="nil"/>
              <w:left w:val="nil"/>
              <w:bottom w:val="single" w:sz="4" w:space="0" w:color="auto"/>
              <w:right w:val="nil"/>
            </w:tcBorders>
          </w:tcPr>
          <w:p w14:paraId="24456283"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p>
        </w:tc>
        <w:tc>
          <w:tcPr>
            <w:tcW w:w="1350" w:type="pct"/>
            <w:tcBorders>
              <w:top w:val="nil"/>
              <w:left w:val="nil"/>
              <w:bottom w:val="single" w:sz="4" w:space="0" w:color="auto"/>
              <w:right w:val="nil"/>
            </w:tcBorders>
          </w:tcPr>
          <w:p w14:paraId="14E10CBD"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8929</w:t>
            </w:r>
          </w:p>
        </w:tc>
      </w:tr>
    </w:tbl>
    <w:p w14:paraId="128A9AED" w14:textId="4B056440" w:rsidR="0000694B" w:rsidRPr="001845F3" w:rsidRDefault="0000694B" w:rsidP="00D727BF">
      <w:pPr>
        <w:tabs>
          <w:tab w:val="left" w:pos="720"/>
        </w:tabs>
        <w:spacing w:before="60" w:after="0"/>
        <w:rPr>
          <w:rFonts w:eastAsia="Times New Roman" w:cs="Times New Roman"/>
          <w:sz w:val="18"/>
          <w:szCs w:val="20"/>
        </w:rPr>
      </w:pPr>
      <w:r w:rsidRPr="001845F3">
        <w:rPr>
          <w:rFonts w:eastAsia="Times New Roman" w:cs="Times New Roman"/>
          <w:sz w:val="18"/>
          <w:szCs w:val="20"/>
        </w:rPr>
        <w:t>Source: Authors</w:t>
      </w:r>
      <w:r w:rsidR="00863D16">
        <w:rPr>
          <w:rFonts w:eastAsia="Times New Roman" w:cs="Times New Roman"/>
          <w:sz w:val="18"/>
          <w:szCs w:val="20"/>
        </w:rPr>
        <w:t>’</w:t>
      </w:r>
      <w:r w:rsidRPr="001845F3">
        <w:rPr>
          <w:rFonts w:eastAsia="Times New Roman" w:cs="Times New Roman"/>
          <w:sz w:val="18"/>
          <w:szCs w:val="20"/>
        </w:rPr>
        <w:t xml:space="preserve"> calculations based on GHS </w:t>
      </w:r>
      <w:r w:rsidR="000D056B" w:rsidRPr="001845F3">
        <w:rPr>
          <w:rFonts w:eastAsia="Times New Roman" w:cs="Times New Roman"/>
          <w:sz w:val="18"/>
          <w:szCs w:val="20"/>
        </w:rPr>
        <w:t>2010</w:t>
      </w:r>
      <w:r w:rsidR="003A6769">
        <w:rPr>
          <w:rFonts w:ascii="Calibri" w:eastAsia="Times New Roman" w:hAnsi="Calibri" w:cs="Times New Roman"/>
          <w:sz w:val="18"/>
          <w:szCs w:val="20"/>
        </w:rPr>
        <w:t>‒</w:t>
      </w:r>
      <w:r w:rsidR="000D056B" w:rsidRPr="001845F3">
        <w:rPr>
          <w:rFonts w:eastAsia="Times New Roman" w:cs="Times New Roman"/>
          <w:sz w:val="18"/>
          <w:szCs w:val="20"/>
        </w:rPr>
        <w:t xml:space="preserve">11 and </w:t>
      </w:r>
      <w:r w:rsidRPr="001845F3">
        <w:rPr>
          <w:rFonts w:eastAsia="Times New Roman" w:cs="Times New Roman"/>
          <w:sz w:val="18"/>
          <w:szCs w:val="20"/>
        </w:rPr>
        <w:t>2012</w:t>
      </w:r>
      <w:r w:rsidR="003A6769">
        <w:rPr>
          <w:rFonts w:ascii="Calibri" w:eastAsia="Times New Roman" w:hAnsi="Calibri" w:cs="Times New Roman"/>
          <w:sz w:val="18"/>
          <w:szCs w:val="20"/>
        </w:rPr>
        <w:t>‒</w:t>
      </w:r>
      <w:r w:rsidRPr="001845F3">
        <w:rPr>
          <w:rFonts w:eastAsia="Times New Roman" w:cs="Times New Roman"/>
          <w:sz w:val="18"/>
          <w:szCs w:val="20"/>
        </w:rPr>
        <w:t>13</w:t>
      </w:r>
    </w:p>
    <w:p w14:paraId="6A663F3A" w14:textId="28E3D4FA" w:rsidR="0000694B" w:rsidRPr="001845F3" w:rsidRDefault="0000694B" w:rsidP="00D727BF">
      <w:pPr>
        <w:tabs>
          <w:tab w:val="left" w:pos="720"/>
        </w:tabs>
        <w:spacing w:before="60" w:after="0"/>
        <w:rPr>
          <w:rFonts w:eastAsia="Times New Roman" w:cs="Times New Roman"/>
          <w:sz w:val="18"/>
          <w:szCs w:val="20"/>
        </w:rPr>
      </w:pPr>
      <w:r w:rsidRPr="001845F3">
        <w:rPr>
          <w:rFonts w:eastAsia="Times New Roman" w:cs="Times New Roman"/>
          <w:iCs/>
          <w:sz w:val="18"/>
          <w:szCs w:val="20"/>
        </w:rPr>
        <w:t>Note:</w:t>
      </w:r>
      <w:r w:rsidRPr="001845F3">
        <w:rPr>
          <w:rFonts w:eastAsia="Times New Roman" w:cs="Times New Roman"/>
          <w:i/>
          <w:iCs/>
          <w:sz w:val="18"/>
          <w:szCs w:val="20"/>
        </w:rPr>
        <w:t xml:space="preserve"> t</w:t>
      </w:r>
      <w:r w:rsidRPr="001845F3">
        <w:rPr>
          <w:rFonts w:eastAsia="Times New Roman" w:cs="Times New Roman"/>
          <w:sz w:val="18"/>
          <w:szCs w:val="20"/>
        </w:rPr>
        <w:t xml:space="preserve"> statistics in parentheses </w:t>
      </w:r>
      <w:r w:rsidRPr="001845F3">
        <w:rPr>
          <w:rFonts w:eastAsia="Times New Roman" w:cs="Times New Roman"/>
          <w:sz w:val="18"/>
          <w:szCs w:val="20"/>
          <w:vertAlign w:val="superscript"/>
        </w:rPr>
        <w:t>*</w:t>
      </w:r>
      <w:r w:rsidRPr="001845F3">
        <w:rPr>
          <w:rFonts w:eastAsia="Times New Roman" w:cs="Times New Roman"/>
          <w:sz w:val="18"/>
          <w:szCs w:val="20"/>
        </w:rPr>
        <w:t xml:space="preserve"> </w:t>
      </w:r>
      <w:r w:rsidRPr="001845F3">
        <w:rPr>
          <w:rFonts w:eastAsia="Times New Roman" w:cs="Times New Roman"/>
          <w:i/>
          <w:iCs/>
          <w:sz w:val="18"/>
          <w:szCs w:val="20"/>
        </w:rPr>
        <w:t>p</w:t>
      </w:r>
      <w:r w:rsidRPr="001845F3">
        <w:rPr>
          <w:rFonts w:eastAsia="Times New Roman" w:cs="Times New Roman"/>
          <w:sz w:val="18"/>
          <w:szCs w:val="20"/>
        </w:rPr>
        <w:t xml:space="preserve"> &lt; 0.05, </w:t>
      </w:r>
      <w:r w:rsidRPr="001845F3">
        <w:rPr>
          <w:rFonts w:eastAsia="Times New Roman" w:cs="Times New Roman"/>
          <w:sz w:val="18"/>
          <w:szCs w:val="20"/>
          <w:vertAlign w:val="superscript"/>
        </w:rPr>
        <w:t>**</w:t>
      </w:r>
      <w:r w:rsidRPr="001845F3">
        <w:rPr>
          <w:rFonts w:eastAsia="Times New Roman" w:cs="Times New Roman"/>
          <w:sz w:val="18"/>
          <w:szCs w:val="20"/>
        </w:rPr>
        <w:t xml:space="preserve"> </w:t>
      </w:r>
      <w:r w:rsidRPr="001845F3">
        <w:rPr>
          <w:rFonts w:eastAsia="Times New Roman" w:cs="Times New Roman"/>
          <w:i/>
          <w:iCs/>
          <w:sz w:val="18"/>
          <w:szCs w:val="20"/>
        </w:rPr>
        <w:t>p</w:t>
      </w:r>
      <w:r w:rsidRPr="001845F3">
        <w:rPr>
          <w:rFonts w:eastAsia="Times New Roman" w:cs="Times New Roman"/>
          <w:sz w:val="18"/>
          <w:szCs w:val="20"/>
        </w:rPr>
        <w:t xml:space="preserve"> &lt; 0.01, </w:t>
      </w:r>
      <w:r w:rsidRPr="001845F3">
        <w:rPr>
          <w:rFonts w:eastAsia="Times New Roman" w:cs="Times New Roman"/>
          <w:sz w:val="18"/>
          <w:szCs w:val="20"/>
          <w:vertAlign w:val="superscript"/>
        </w:rPr>
        <w:t>***</w:t>
      </w:r>
      <w:r w:rsidRPr="001845F3">
        <w:rPr>
          <w:rFonts w:eastAsia="Times New Roman" w:cs="Times New Roman"/>
          <w:sz w:val="18"/>
          <w:szCs w:val="20"/>
        </w:rPr>
        <w:t xml:space="preserve"> </w:t>
      </w:r>
      <w:r w:rsidRPr="001845F3">
        <w:rPr>
          <w:rFonts w:eastAsia="Times New Roman" w:cs="Times New Roman"/>
          <w:i/>
          <w:iCs/>
          <w:sz w:val="18"/>
          <w:szCs w:val="20"/>
        </w:rPr>
        <w:t>p</w:t>
      </w:r>
      <w:r w:rsidRPr="001845F3">
        <w:rPr>
          <w:rFonts w:eastAsia="Times New Roman" w:cs="Times New Roman"/>
          <w:sz w:val="18"/>
          <w:szCs w:val="20"/>
        </w:rPr>
        <w:t xml:space="preserve"> &lt; 0.001</w:t>
      </w:r>
    </w:p>
    <w:p w14:paraId="62B7BFB6" w14:textId="77777777" w:rsidR="00623742" w:rsidRPr="0000694B" w:rsidRDefault="00623742" w:rsidP="00D727BF">
      <w:pPr>
        <w:tabs>
          <w:tab w:val="left" w:pos="720"/>
        </w:tabs>
        <w:spacing w:after="0"/>
      </w:pPr>
    </w:p>
    <w:p w14:paraId="6F9478B2" w14:textId="7A26D1B3" w:rsidR="0000694B" w:rsidRDefault="004E78E7" w:rsidP="00D727BF">
      <w:pPr>
        <w:pStyle w:val="ParagraphNumbering"/>
        <w:numPr>
          <w:ilvl w:val="0"/>
          <w:numId w:val="0"/>
        </w:numPr>
        <w:tabs>
          <w:tab w:val="left" w:pos="720"/>
        </w:tabs>
        <w:spacing w:after="240"/>
      </w:pPr>
      <w:r>
        <w:rPr>
          <w:b/>
        </w:rPr>
        <w:tab/>
      </w:r>
      <w:r w:rsidR="0000694B" w:rsidRPr="00BA4126">
        <w:rPr>
          <w:b/>
        </w:rPr>
        <w:t xml:space="preserve">Is it common for </w:t>
      </w:r>
      <w:r w:rsidR="00BA4126">
        <w:rPr>
          <w:b/>
        </w:rPr>
        <w:t xml:space="preserve">HEs to transition to MEs? </w:t>
      </w:r>
      <w:r w:rsidR="0000694B" w:rsidRPr="0000694B">
        <w:t>The analysis here focuses on the firms that were operating in both 2011 and 2013. It indicates that 46 percent of the ME</w:t>
      </w:r>
      <w:r w:rsidR="00BA4126">
        <w:t>s</w:t>
      </w:r>
      <w:r w:rsidR="0000694B" w:rsidRPr="0000694B">
        <w:t xml:space="preserve"> in 2013 were already ME</w:t>
      </w:r>
      <w:r w:rsidR="003E1754">
        <w:t>s</w:t>
      </w:r>
      <w:r w:rsidR="0000694B" w:rsidRPr="0000694B">
        <w:t xml:space="preserve"> in 2011, while 54 percent were operated as HE</w:t>
      </w:r>
      <w:r w:rsidR="003E1754">
        <w:t>s</w:t>
      </w:r>
      <w:r w:rsidR="0000694B" w:rsidRPr="0000694B">
        <w:t>. On the other hand, the vast majority of HE</w:t>
      </w:r>
      <w:r w:rsidR="003E1754">
        <w:t>s</w:t>
      </w:r>
      <w:r w:rsidR="0000694B" w:rsidRPr="0000694B">
        <w:t xml:space="preserve"> (86 percent) operating in 2013 were already HE</w:t>
      </w:r>
      <w:r w:rsidR="003E1754">
        <w:t>s</w:t>
      </w:r>
      <w:r w:rsidR="0000694B" w:rsidRPr="0000694B">
        <w:t xml:space="preserve"> in 2011</w:t>
      </w:r>
      <w:r w:rsidR="003E1754">
        <w:t>,</w:t>
      </w:r>
      <w:r w:rsidR="0000694B" w:rsidRPr="0000694B">
        <w:t xml:space="preserve"> while only 14 percent were ME</w:t>
      </w:r>
      <w:r w:rsidR="003E1754">
        <w:t>s</w:t>
      </w:r>
      <w:r w:rsidR="0000694B" w:rsidRPr="0000694B">
        <w:t xml:space="preserve"> in 2011. </w:t>
      </w:r>
      <w:r w:rsidR="00BB33C5">
        <w:t xml:space="preserve">The data </w:t>
      </w:r>
      <w:r w:rsidR="00591853">
        <w:t>implies</w:t>
      </w:r>
      <w:r w:rsidR="00591853" w:rsidRPr="00591853">
        <w:t xml:space="preserve"> that HE owners work hard to become MEs</w:t>
      </w:r>
      <w:r w:rsidR="003A6769">
        <w:t>—</w:t>
      </w:r>
      <w:r w:rsidR="00591853" w:rsidRPr="00591853">
        <w:t>more than half were able to transition during the period</w:t>
      </w:r>
      <w:r w:rsidR="003A6769">
        <w:t>—</w:t>
      </w:r>
      <w:r w:rsidR="00540CB2">
        <w:t>but</w:t>
      </w:r>
      <w:r w:rsidR="00BB33C5">
        <w:t xml:space="preserve">, given the large amount of firms </w:t>
      </w:r>
      <w:r w:rsidR="003A6769">
        <w:t xml:space="preserve">that </w:t>
      </w:r>
      <w:r w:rsidR="00BB33C5">
        <w:t xml:space="preserve">remain as HEs, </w:t>
      </w:r>
      <w:r w:rsidR="00540CB2">
        <w:t>this transition is not</w:t>
      </w:r>
      <w:r w:rsidR="00591853">
        <w:t xml:space="preserve"> </w:t>
      </w:r>
      <w:r w:rsidR="00540CB2">
        <w:t>straightforward</w:t>
      </w:r>
      <w:r w:rsidR="00BB33C5">
        <w:t xml:space="preserve">. </w:t>
      </w:r>
      <w:r w:rsidR="0000694B" w:rsidRPr="0000694B">
        <w:t xml:space="preserve">This </w:t>
      </w:r>
      <w:r w:rsidR="00BB33C5">
        <w:t xml:space="preserve">finding </w:t>
      </w:r>
      <w:r w:rsidR="0000694B" w:rsidRPr="0000694B">
        <w:t xml:space="preserve">has important implications for </w:t>
      </w:r>
      <w:r w:rsidR="0000694B" w:rsidRPr="0000694B">
        <w:lastRenderedPageBreak/>
        <w:t>policymakers</w:t>
      </w:r>
      <w:r w:rsidR="00BB33C5">
        <w:t>,</w:t>
      </w:r>
      <w:r w:rsidR="003E1754">
        <w:t xml:space="preserve"> </w:t>
      </w:r>
      <w:r w:rsidR="0000694B" w:rsidRPr="0000694B">
        <w:t>suggest</w:t>
      </w:r>
      <w:r w:rsidR="00BB33C5">
        <w:t xml:space="preserve">ing </w:t>
      </w:r>
      <w:r w:rsidR="0000694B" w:rsidRPr="0000694B">
        <w:t>that investing in th</w:t>
      </w:r>
      <w:r w:rsidR="003E1754">
        <w:t>e</w:t>
      </w:r>
      <w:r w:rsidR="0000694B" w:rsidRPr="0000694B">
        <w:t xml:space="preserve"> transition from HE to ME will pay off in the long term and will lead to more revenues and wage jobs. </w:t>
      </w:r>
    </w:p>
    <w:p w14:paraId="1BF66E39" w14:textId="7C9D8DB1" w:rsidR="0000694B" w:rsidRPr="0000694B" w:rsidRDefault="004E78E7" w:rsidP="00D727BF">
      <w:pPr>
        <w:pStyle w:val="ParagraphNumbering"/>
        <w:numPr>
          <w:ilvl w:val="0"/>
          <w:numId w:val="0"/>
        </w:numPr>
        <w:tabs>
          <w:tab w:val="left" w:pos="720"/>
        </w:tabs>
        <w:spacing w:after="240"/>
      </w:pPr>
      <w:r>
        <w:rPr>
          <w:b/>
        </w:rPr>
        <w:tab/>
      </w:r>
      <w:r w:rsidR="003E1754" w:rsidRPr="00AE6F13">
        <w:rPr>
          <w:b/>
        </w:rPr>
        <w:t xml:space="preserve">It </w:t>
      </w:r>
      <w:r w:rsidR="003E1754">
        <w:rPr>
          <w:b/>
        </w:rPr>
        <w:t>is d</w:t>
      </w:r>
      <w:r w:rsidR="0000694B" w:rsidRPr="003E1754">
        <w:rPr>
          <w:b/>
        </w:rPr>
        <w:t>ifficult to predict which household enterprise</w:t>
      </w:r>
      <w:r w:rsidR="003E1754">
        <w:rPr>
          <w:b/>
        </w:rPr>
        <w:t>s</w:t>
      </w:r>
      <w:r w:rsidR="0000694B" w:rsidRPr="003E1754">
        <w:rPr>
          <w:b/>
        </w:rPr>
        <w:t xml:space="preserve"> </w:t>
      </w:r>
      <w:r w:rsidR="003E1754">
        <w:rPr>
          <w:b/>
        </w:rPr>
        <w:t xml:space="preserve">will be able to transition to </w:t>
      </w:r>
      <w:r w:rsidR="0000694B" w:rsidRPr="003E1754">
        <w:rPr>
          <w:b/>
        </w:rPr>
        <w:t>microenterprise</w:t>
      </w:r>
      <w:r w:rsidR="003E1754">
        <w:rPr>
          <w:b/>
        </w:rPr>
        <w:t>s</w:t>
      </w:r>
      <w:r w:rsidR="0000694B" w:rsidRPr="003E1754">
        <w:rPr>
          <w:b/>
        </w:rPr>
        <w:t>.</w:t>
      </w:r>
      <w:r w:rsidR="00F428F9">
        <w:rPr>
          <w:b/>
        </w:rPr>
        <w:t xml:space="preserve"> </w:t>
      </w:r>
      <w:r w:rsidR="0000694B" w:rsidRPr="0000694B">
        <w:t xml:space="preserve">The </w:t>
      </w:r>
      <w:r w:rsidR="00BB33C5">
        <w:t xml:space="preserve">policy </w:t>
      </w:r>
      <w:r w:rsidR="0000694B" w:rsidRPr="0000694B">
        <w:t xml:space="preserve">question </w:t>
      </w:r>
      <w:r w:rsidR="00BB33C5">
        <w:t xml:space="preserve">at hand </w:t>
      </w:r>
      <w:r w:rsidR="0000694B" w:rsidRPr="0000694B">
        <w:t xml:space="preserve">is whether there </w:t>
      </w:r>
      <w:r w:rsidR="00BB33C5">
        <w:t>exist</w:t>
      </w:r>
      <w:r w:rsidR="00BB33C5" w:rsidRPr="0000694B">
        <w:t xml:space="preserve"> </w:t>
      </w:r>
      <w:r w:rsidR="0000694B" w:rsidRPr="0000694B">
        <w:t xml:space="preserve">factors that can encourage </w:t>
      </w:r>
      <w:r w:rsidR="00BB33C5">
        <w:t xml:space="preserve">HEs </w:t>
      </w:r>
      <w:r w:rsidR="0000694B" w:rsidRPr="0000694B">
        <w:t>to change their practices</w:t>
      </w:r>
      <w:r w:rsidR="003E1754">
        <w:t xml:space="preserve"> to become </w:t>
      </w:r>
      <w:r w:rsidR="00BB33C5">
        <w:t>MEs</w:t>
      </w:r>
      <w:r w:rsidR="003E1754">
        <w:t xml:space="preserve">. </w:t>
      </w:r>
      <w:r w:rsidR="0000694B" w:rsidRPr="00FC4AF5">
        <w:fldChar w:fldCharType="begin"/>
      </w:r>
      <w:r w:rsidR="0000694B" w:rsidRPr="0000694B">
        <w:instrText xml:space="preserve"> REF _Ref430619381 \h </w:instrText>
      </w:r>
      <w:r w:rsidR="0000694B" w:rsidRPr="000F6A00">
        <w:instrText xml:space="preserve"> \* MERGEFORMAT </w:instrText>
      </w:r>
      <w:r w:rsidR="0000694B" w:rsidRPr="00FC4AF5">
        <w:fldChar w:fldCharType="separate"/>
      </w:r>
      <w:r w:rsidR="008A3BBD" w:rsidRPr="00D727BF">
        <w:t>Table 5</w:t>
      </w:r>
      <w:r w:rsidR="0000694B" w:rsidRPr="00FC4AF5">
        <w:fldChar w:fldCharType="end"/>
      </w:r>
      <w:r w:rsidR="0000694B" w:rsidRPr="0000694B">
        <w:t xml:space="preserve"> presents the results from an econometric model looking at the drivers of enterprise status. The results suggest that experiencing a death or an injury in the household increases the probability of going from ME status to HE status. On the other hand, we find that HE</w:t>
      </w:r>
      <w:r w:rsidR="00D17D5D">
        <w:t>s</w:t>
      </w:r>
      <w:r w:rsidR="0000694B" w:rsidRPr="0000694B">
        <w:t xml:space="preserve"> that suffer a shock </w:t>
      </w:r>
      <w:r w:rsidR="00D17D5D">
        <w:t>to</w:t>
      </w:r>
      <w:r w:rsidR="0000694B" w:rsidRPr="0000694B">
        <w:t xml:space="preserve"> livestock or crop</w:t>
      </w:r>
      <w:r w:rsidR="00D17D5D">
        <w:t>s</w:t>
      </w:r>
      <w:r w:rsidR="0000694B" w:rsidRPr="0000694B">
        <w:t xml:space="preserve"> (flooding, pest invasion, poor rains) are more likely to </w:t>
      </w:r>
      <w:r w:rsidR="00D17D5D">
        <w:t xml:space="preserve">transition to an </w:t>
      </w:r>
      <w:r w:rsidR="0000694B" w:rsidRPr="0000694B">
        <w:t>ME.</w:t>
      </w:r>
      <w:r w:rsidR="00F428F9">
        <w:t xml:space="preserve"> </w:t>
      </w:r>
      <w:r w:rsidR="009C1C03">
        <w:t xml:space="preserve">Accessing a loan </w:t>
      </w:r>
      <w:r w:rsidR="00540CB2">
        <w:t xml:space="preserve">can </w:t>
      </w:r>
      <w:r w:rsidR="009C1C03">
        <w:t>ease the transition</w:t>
      </w:r>
      <w:r w:rsidR="00F01EA2">
        <w:t>,</w:t>
      </w:r>
      <w:r w:rsidR="009C1C03">
        <w:t xml:space="preserve"> as </w:t>
      </w:r>
      <w:r w:rsidR="0000694B" w:rsidRPr="0000694B">
        <w:t>HE</w:t>
      </w:r>
      <w:r w:rsidR="00D17D5D">
        <w:t>s</w:t>
      </w:r>
      <w:r w:rsidR="0000694B" w:rsidRPr="0000694B">
        <w:t xml:space="preserve"> with access to loan</w:t>
      </w:r>
      <w:r w:rsidR="00D17D5D">
        <w:t>s</w:t>
      </w:r>
      <w:r w:rsidR="0000694B" w:rsidRPr="0000694B">
        <w:t xml:space="preserve"> from </w:t>
      </w:r>
      <w:r w:rsidR="00D17D5D">
        <w:t xml:space="preserve">a </w:t>
      </w:r>
      <w:r w:rsidR="0000694B" w:rsidRPr="0000694B">
        <w:t>financial institution are 12 percent more likely to become ME</w:t>
      </w:r>
      <w:r w:rsidR="00D17D5D">
        <w:t>s</w:t>
      </w:r>
      <w:r w:rsidR="0000694B" w:rsidRPr="0000694B">
        <w:t>.</w:t>
      </w:r>
      <w:r w:rsidR="00F428F9">
        <w:t xml:space="preserve"> </w:t>
      </w:r>
      <w:r w:rsidR="0000694B" w:rsidRPr="0000694B">
        <w:t>However</w:t>
      </w:r>
      <w:r w:rsidR="00D17D5D">
        <w:t>,</w:t>
      </w:r>
      <w:r w:rsidR="0000694B" w:rsidRPr="0000694B">
        <w:t xml:space="preserve"> </w:t>
      </w:r>
      <w:r w:rsidR="00BB33C5">
        <w:t>it is worth noting</w:t>
      </w:r>
      <w:r w:rsidR="0000694B" w:rsidRPr="0000694B">
        <w:t xml:space="preserve"> that the explanatory power </w:t>
      </w:r>
      <w:r w:rsidR="00D17D5D">
        <w:t xml:space="preserve">of the model </w:t>
      </w:r>
      <w:r w:rsidR="0000694B" w:rsidRPr="0000694B">
        <w:t>is very low</w:t>
      </w:r>
      <w:r w:rsidR="00D17D5D">
        <w:t>; t</w:t>
      </w:r>
      <w:r w:rsidR="0000694B" w:rsidRPr="0000694B">
        <w:t xml:space="preserve">he model only explains </w:t>
      </w:r>
      <w:r w:rsidR="00F01EA2">
        <w:t>4</w:t>
      </w:r>
      <w:r w:rsidR="00F01EA2" w:rsidRPr="0000694B">
        <w:t xml:space="preserve"> </w:t>
      </w:r>
      <w:r w:rsidR="0000694B" w:rsidRPr="0000694B">
        <w:t>percent of the status change. These results suggest that external shocks explain only a fraction of the switch</w:t>
      </w:r>
      <w:r w:rsidR="00D17D5D">
        <w:t>,</w:t>
      </w:r>
      <w:r w:rsidR="0000694B" w:rsidRPr="0000694B">
        <w:t xml:space="preserve"> and other factors not captured in th</w:t>
      </w:r>
      <w:r w:rsidR="00D17D5D">
        <w:t>e</w:t>
      </w:r>
      <w:r w:rsidR="0000694B" w:rsidRPr="0000694B">
        <w:t xml:space="preserve"> model </w:t>
      </w:r>
      <w:r w:rsidR="00D17D5D">
        <w:t xml:space="preserve">may be more </w:t>
      </w:r>
      <w:r w:rsidR="0000694B" w:rsidRPr="0000694B">
        <w:t xml:space="preserve">important. A new </w:t>
      </w:r>
      <w:r w:rsidR="00CA6C1D">
        <w:t xml:space="preserve">piece of </w:t>
      </w:r>
      <w:r w:rsidR="0000694B" w:rsidRPr="0000694B">
        <w:t>literature considers that the character traits of the entrepreneurs</w:t>
      </w:r>
      <w:r w:rsidR="0075599D">
        <w:t xml:space="preserve">, which </w:t>
      </w:r>
      <w:r w:rsidR="009C1C03">
        <w:t xml:space="preserve">are intrinsically hard to </w:t>
      </w:r>
      <w:r w:rsidR="0075599D">
        <w:t xml:space="preserve">capture </w:t>
      </w:r>
      <w:r w:rsidR="00CA6C1D">
        <w:t>in this analysis</w:t>
      </w:r>
      <w:r w:rsidR="0075599D">
        <w:t>,</w:t>
      </w:r>
      <w:r w:rsidR="0000694B" w:rsidRPr="0000694B">
        <w:t xml:space="preserve"> </w:t>
      </w:r>
      <w:r w:rsidR="00CA6C1D">
        <w:t xml:space="preserve">may hold significant weight in </w:t>
      </w:r>
      <w:r w:rsidR="0000694B" w:rsidRPr="0000694B">
        <w:t>predicting success.</w:t>
      </w:r>
      <w:r w:rsidR="005416B0">
        <w:rPr>
          <w:rStyle w:val="FootnoteReference"/>
        </w:rPr>
        <w:footnoteReference w:id="26"/>
      </w:r>
      <w:r w:rsidR="0000694B" w:rsidRPr="0000694B">
        <w:t xml:space="preserve"> Further work is needed to better understand the role of entrepreneurs</w:t>
      </w:r>
      <w:r w:rsidR="00863D16">
        <w:t>’</w:t>
      </w:r>
      <w:r w:rsidR="0000694B" w:rsidRPr="0000694B">
        <w:t xml:space="preserve"> traits vis-à-vis other external factors.</w:t>
      </w:r>
    </w:p>
    <w:p w14:paraId="57EF4617" w14:textId="057C50A6" w:rsidR="0000694B" w:rsidRPr="0000694B" w:rsidRDefault="0000694B" w:rsidP="00D727BF">
      <w:pPr>
        <w:keepNext/>
        <w:tabs>
          <w:tab w:val="left" w:pos="720"/>
        </w:tabs>
        <w:spacing w:after="0"/>
        <w:jc w:val="center"/>
        <w:rPr>
          <w:rFonts w:ascii="Trebuchet MS" w:eastAsia="Calibri" w:hAnsi="Trebuchet MS" w:cs="Times New Roman"/>
          <w:b/>
          <w:bCs/>
          <w:color w:val="0B73B6" w:themeColor="background2" w:themeShade="BF"/>
          <w:sz w:val="20"/>
          <w:szCs w:val="18"/>
        </w:rPr>
      </w:pPr>
      <w:bookmarkStart w:id="136" w:name="_Ref430619381"/>
      <w:bookmarkStart w:id="137" w:name="_Toc445449526"/>
      <w:r w:rsidRPr="0000694B">
        <w:rPr>
          <w:rFonts w:ascii="Trebuchet MS" w:eastAsia="Calibri" w:hAnsi="Trebuchet MS" w:cs="Times New Roman"/>
          <w:b/>
          <w:bCs/>
          <w:color w:val="0B73B6" w:themeColor="background2" w:themeShade="BF"/>
          <w:sz w:val="20"/>
          <w:szCs w:val="18"/>
        </w:rPr>
        <w:t xml:space="preserve">Table </w:t>
      </w:r>
      <w:r w:rsidRPr="0000694B">
        <w:rPr>
          <w:rFonts w:ascii="Trebuchet MS" w:eastAsia="Calibri" w:hAnsi="Trebuchet MS" w:cs="Times New Roman"/>
          <w:b/>
          <w:bCs/>
          <w:color w:val="0B73B6" w:themeColor="background2" w:themeShade="BF"/>
          <w:sz w:val="20"/>
          <w:szCs w:val="18"/>
        </w:rPr>
        <w:fldChar w:fldCharType="begin"/>
      </w:r>
      <w:r w:rsidRPr="0000694B">
        <w:rPr>
          <w:rFonts w:ascii="Trebuchet MS" w:eastAsia="Calibri" w:hAnsi="Trebuchet MS" w:cs="Times New Roman"/>
          <w:b/>
          <w:bCs/>
          <w:color w:val="0B73B6" w:themeColor="background2" w:themeShade="BF"/>
          <w:sz w:val="20"/>
          <w:szCs w:val="18"/>
        </w:rPr>
        <w:instrText xml:space="preserve"> SEQ Table \* ARABIC </w:instrText>
      </w:r>
      <w:r w:rsidRPr="0000694B">
        <w:rPr>
          <w:rFonts w:ascii="Trebuchet MS" w:eastAsia="Calibri" w:hAnsi="Trebuchet MS" w:cs="Times New Roman"/>
          <w:b/>
          <w:bCs/>
          <w:color w:val="0B73B6" w:themeColor="background2" w:themeShade="BF"/>
          <w:sz w:val="20"/>
          <w:szCs w:val="18"/>
        </w:rPr>
        <w:fldChar w:fldCharType="separate"/>
      </w:r>
      <w:r w:rsidR="008A3BBD">
        <w:rPr>
          <w:rFonts w:ascii="Trebuchet MS" w:eastAsia="Calibri" w:hAnsi="Trebuchet MS" w:cs="Times New Roman"/>
          <w:b/>
          <w:bCs/>
          <w:noProof/>
          <w:color w:val="0B73B6" w:themeColor="background2" w:themeShade="BF"/>
          <w:sz w:val="20"/>
          <w:szCs w:val="18"/>
        </w:rPr>
        <w:t>5</w:t>
      </w:r>
      <w:r w:rsidRPr="0000694B">
        <w:rPr>
          <w:rFonts w:ascii="Trebuchet MS" w:eastAsia="Calibri" w:hAnsi="Trebuchet MS" w:cs="Times New Roman"/>
          <w:b/>
          <w:bCs/>
          <w:noProof/>
          <w:color w:val="0B73B6" w:themeColor="background2" w:themeShade="BF"/>
          <w:sz w:val="20"/>
          <w:szCs w:val="18"/>
        </w:rPr>
        <w:fldChar w:fldCharType="end"/>
      </w:r>
      <w:bookmarkEnd w:id="136"/>
      <w:r w:rsidRPr="0000694B">
        <w:rPr>
          <w:rFonts w:ascii="Trebuchet MS" w:eastAsia="Calibri" w:hAnsi="Trebuchet MS" w:cs="Times New Roman"/>
          <w:b/>
          <w:bCs/>
          <w:color w:val="0B73B6" w:themeColor="background2" w:themeShade="BF"/>
          <w:sz w:val="20"/>
          <w:szCs w:val="18"/>
        </w:rPr>
        <w:t xml:space="preserve">: </w:t>
      </w:r>
      <w:r w:rsidR="00593345">
        <w:rPr>
          <w:rFonts w:ascii="Trebuchet MS" w:eastAsia="Calibri" w:hAnsi="Trebuchet MS" w:cs="Times New Roman"/>
          <w:b/>
          <w:bCs/>
          <w:color w:val="0B73B6" w:themeColor="background2" w:themeShade="BF"/>
          <w:sz w:val="20"/>
          <w:szCs w:val="18"/>
        </w:rPr>
        <w:t>Transitioning</w:t>
      </w:r>
      <w:r w:rsidRPr="0000694B">
        <w:rPr>
          <w:rFonts w:ascii="Trebuchet MS" w:eastAsia="Calibri" w:hAnsi="Trebuchet MS" w:cs="Times New Roman"/>
          <w:b/>
          <w:bCs/>
          <w:color w:val="0B73B6" w:themeColor="background2" w:themeShade="BF"/>
          <w:sz w:val="20"/>
          <w:szCs w:val="18"/>
        </w:rPr>
        <w:t xml:space="preserve"> from </w:t>
      </w:r>
      <w:r w:rsidR="003E1754">
        <w:rPr>
          <w:rFonts w:ascii="Trebuchet MS" w:eastAsia="Calibri" w:hAnsi="Trebuchet MS" w:cs="Times New Roman"/>
          <w:b/>
          <w:bCs/>
          <w:color w:val="0B73B6" w:themeColor="background2" w:themeShade="BF"/>
          <w:sz w:val="20"/>
          <w:szCs w:val="18"/>
        </w:rPr>
        <w:t>a Household Enterprise to a Microenterprise</w:t>
      </w:r>
      <w:bookmarkEnd w:id="137"/>
    </w:p>
    <w:tbl>
      <w:tblPr>
        <w:tblW w:w="0" w:type="auto"/>
        <w:jc w:val="center"/>
        <w:tblLayout w:type="fixed"/>
        <w:tblLook w:val="0000" w:firstRow="0" w:lastRow="0" w:firstColumn="0" w:lastColumn="0" w:noHBand="0" w:noVBand="0"/>
      </w:tblPr>
      <w:tblGrid>
        <w:gridCol w:w="5058"/>
        <w:gridCol w:w="2700"/>
      </w:tblGrid>
      <w:tr w:rsidR="0000694B" w:rsidRPr="00C62663" w14:paraId="3999D8FB" w14:textId="77777777" w:rsidTr="0000694B">
        <w:trPr>
          <w:jc w:val="center"/>
        </w:trPr>
        <w:tc>
          <w:tcPr>
            <w:tcW w:w="5058" w:type="dxa"/>
            <w:tcBorders>
              <w:top w:val="single" w:sz="4" w:space="0" w:color="auto"/>
              <w:left w:val="nil"/>
              <w:bottom w:val="nil"/>
              <w:right w:val="nil"/>
            </w:tcBorders>
          </w:tcPr>
          <w:p w14:paraId="1160C1D7" w14:textId="77777777" w:rsidR="0000694B" w:rsidRPr="001845F3" w:rsidRDefault="0000694B" w:rsidP="00D727BF">
            <w:pPr>
              <w:tabs>
                <w:tab w:val="left" w:pos="720"/>
              </w:tabs>
              <w:autoSpaceDE w:val="0"/>
              <w:autoSpaceDN w:val="0"/>
              <w:adjustRightInd w:val="0"/>
              <w:spacing w:after="0"/>
              <w:rPr>
                <w:rFonts w:cs="Times New Roman"/>
                <w:sz w:val="20"/>
                <w:szCs w:val="20"/>
              </w:rPr>
            </w:pPr>
          </w:p>
        </w:tc>
        <w:tc>
          <w:tcPr>
            <w:tcW w:w="2700" w:type="dxa"/>
            <w:tcBorders>
              <w:top w:val="single" w:sz="4" w:space="0" w:color="auto"/>
              <w:left w:val="nil"/>
              <w:bottom w:val="nil"/>
              <w:right w:val="nil"/>
            </w:tcBorders>
          </w:tcPr>
          <w:p w14:paraId="47F914A5"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 xml:space="preserve">Probability of </w:t>
            </w:r>
            <w:r w:rsidR="00593345" w:rsidRPr="001845F3">
              <w:rPr>
                <w:rFonts w:cs="Times New Roman"/>
                <w:sz w:val="20"/>
                <w:szCs w:val="20"/>
              </w:rPr>
              <w:t xml:space="preserve">transitioning </w:t>
            </w:r>
            <w:r w:rsidRPr="001845F3">
              <w:rPr>
                <w:rFonts w:cs="Times New Roman"/>
                <w:sz w:val="20"/>
                <w:szCs w:val="20"/>
              </w:rPr>
              <w:t>from HE to ME</w:t>
            </w:r>
          </w:p>
        </w:tc>
      </w:tr>
      <w:tr w:rsidR="0000694B" w:rsidRPr="00C62663" w14:paraId="155FB5C1" w14:textId="77777777" w:rsidTr="0000694B">
        <w:trPr>
          <w:jc w:val="center"/>
        </w:trPr>
        <w:tc>
          <w:tcPr>
            <w:tcW w:w="5058" w:type="dxa"/>
            <w:tcBorders>
              <w:top w:val="single" w:sz="4" w:space="0" w:color="auto"/>
              <w:left w:val="nil"/>
              <w:bottom w:val="nil"/>
              <w:right w:val="nil"/>
            </w:tcBorders>
          </w:tcPr>
          <w:p w14:paraId="5E25E342"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Married</w:t>
            </w:r>
          </w:p>
        </w:tc>
        <w:tc>
          <w:tcPr>
            <w:tcW w:w="2700" w:type="dxa"/>
            <w:tcBorders>
              <w:top w:val="single" w:sz="4" w:space="0" w:color="auto"/>
              <w:left w:val="nil"/>
              <w:bottom w:val="nil"/>
              <w:right w:val="nil"/>
            </w:tcBorders>
          </w:tcPr>
          <w:p w14:paraId="6E8C3F27"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-0.00364</w:t>
            </w:r>
          </w:p>
        </w:tc>
      </w:tr>
      <w:tr w:rsidR="0000694B" w:rsidRPr="00C62663" w14:paraId="775F9D3F" w14:textId="77777777" w:rsidTr="0000694B">
        <w:trPr>
          <w:jc w:val="center"/>
        </w:trPr>
        <w:tc>
          <w:tcPr>
            <w:tcW w:w="5058" w:type="dxa"/>
            <w:tcBorders>
              <w:top w:val="nil"/>
              <w:left w:val="nil"/>
              <w:bottom w:val="nil"/>
              <w:right w:val="nil"/>
            </w:tcBorders>
          </w:tcPr>
          <w:p w14:paraId="13CC66E3" w14:textId="2F2FEC03"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 xml:space="preserve">Log </w:t>
            </w:r>
            <w:r w:rsidR="00F01EA2">
              <w:rPr>
                <w:rFonts w:cs="Times New Roman"/>
                <w:sz w:val="20"/>
                <w:szCs w:val="20"/>
              </w:rPr>
              <w:t>n</w:t>
            </w:r>
            <w:r w:rsidRPr="001845F3">
              <w:rPr>
                <w:rFonts w:cs="Times New Roman"/>
                <w:sz w:val="20"/>
                <w:szCs w:val="20"/>
              </w:rPr>
              <w:t xml:space="preserve">umber of children below </w:t>
            </w:r>
            <w:r w:rsidR="00F01EA2">
              <w:rPr>
                <w:rFonts w:cs="Times New Roman"/>
                <w:sz w:val="20"/>
                <w:szCs w:val="20"/>
              </w:rPr>
              <w:t>five</w:t>
            </w:r>
          </w:p>
        </w:tc>
        <w:tc>
          <w:tcPr>
            <w:tcW w:w="2700" w:type="dxa"/>
            <w:tcBorders>
              <w:top w:val="nil"/>
              <w:left w:val="nil"/>
              <w:bottom w:val="nil"/>
              <w:right w:val="nil"/>
            </w:tcBorders>
          </w:tcPr>
          <w:p w14:paraId="2393C7A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0.000474</w:t>
            </w:r>
          </w:p>
        </w:tc>
      </w:tr>
      <w:tr w:rsidR="0000694B" w:rsidRPr="00C62663" w14:paraId="07B038F1" w14:textId="77777777" w:rsidTr="0000694B">
        <w:trPr>
          <w:jc w:val="center"/>
        </w:trPr>
        <w:tc>
          <w:tcPr>
            <w:tcW w:w="5058" w:type="dxa"/>
            <w:tcBorders>
              <w:top w:val="nil"/>
              <w:left w:val="nil"/>
              <w:bottom w:val="nil"/>
              <w:right w:val="nil"/>
            </w:tcBorders>
          </w:tcPr>
          <w:p w14:paraId="2A206795" w14:textId="5C7DFF1D"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 xml:space="preserve">Log </w:t>
            </w:r>
            <w:r w:rsidR="00F01EA2">
              <w:rPr>
                <w:rFonts w:cs="Times New Roman"/>
                <w:sz w:val="20"/>
                <w:szCs w:val="20"/>
              </w:rPr>
              <w:t>s</w:t>
            </w:r>
            <w:r w:rsidRPr="001845F3">
              <w:rPr>
                <w:rFonts w:cs="Times New Roman"/>
                <w:sz w:val="20"/>
                <w:szCs w:val="20"/>
              </w:rPr>
              <w:t>ales</w:t>
            </w:r>
          </w:p>
        </w:tc>
        <w:tc>
          <w:tcPr>
            <w:tcW w:w="2700" w:type="dxa"/>
            <w:tcBorders>
              <w:top w:val="nil"/>
              <w:left w:val="nil"/>
              <w:bottom w:val="nil"/>
              <w:right w:val="nil"/>
            </w:tcBorders>
          </w:tcPr>
          <w:p w14:paraId="383295F9"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0.00195</w:t>
            </w:r>
          </w:p>
        </w:tc>
      </w:tr>
      <w:tr w:rsidR="0000694B" w:rsidRPr="00C62663" w14:paraId="2F0D5268" w14:textId="77777777" w:rsidTr="0000694B">
        <w:trPr>
          <w:jc w:val="center"/>
        </w:trPr>
        <w:tc>
          <w:tcPr>
            <w:tcW w:w="5058" w:type="dxa"/>
            <w:tcBorders>
              <w:top w:val="nil"/>
              <w:left w:val="nil"/>
              <w:bottom w:val="nil"/>
              <w:right w:val="nil"/>
            </w:tcBorders>
          </w:tcPr>
          <w:p w14:paraId="0E8533F8"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Does household own a mobile telephone?</w:t>
            </w:r>
          </w:p>
        </w:tc>
        <w:tc>
          <w:tcPr>
            <w:tcW w:w="2700" w:type="dxa"/>
            <w:tcBorders>
              <w:top w:val="nil"/>
              <w:left w:val="nil"/>
              <w:bottom w:val="nil"/>
              <w:right w:val="nil"/>
            </w:tcBorders>
          </w:tcPr>
          <w:p w14:paraId="27277056"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0.0304</w:t>
            </w:r>
          </w:p>
        </w:tc>
      </w:tr>
      <w:tr w:rsidR="0000694B" w:rsidRPr="00C62663" w14:paraId="0CD83CD4" w14:textId="77777777" w:rsidTr="0000694B">
        <w:trPr>
          <w:jc w:val="center"/>
        </w:trPr>
        <w:tc>
          <w:tcPr>
            <w:tcW w:w="5058" w:type="dxa"/>
            <w:tcBorders>
              <w:top w:val="nil"/>
              <w:left w:val="nil"/>
              <w:bottom w:val="nil"/>
              <w:right w:val="nil"/>
            </w:tcBorders>
          </w:tcPr>
          <w:p w14:paraId="2D1F3E58"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HH suffered health/death shock</w:t>
            </w:r>
          </w:p>
        </w:tc>
        <w:tc>
          <w:tcPr>
            <w:tcW w:w="2700" w:type="dxa"/>
            <w:tcBorders>
              <w:top w:val="nil"/>
              <w:left w:val="nil"/>
              <w:bottom w:val="nil"/>
              <w:right w:val="nil"/>
            </w:tcBorders>
          </w:tcPr>
          <w:p w14:paraId="22A7724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-0.0566</w:t>
            </w:r>
            <w:r w:rsidRPr="001845F3">
              <w:rPr>
                <w:rFonts w:cs="Times New Roman"/>
                <w:sz w:val="20"/>
                <w:szCs w:val="20"/>
                <w:vertAlign w:val="superscript"/>
              </w:rPr>
              <w:t>***</w:t>
            </w:r>
          </w:p>
        </w:tc>
      </w:tr>
      <w:tr w:rsidR="0000694B" w:rsidRPr="00C62663" w14:paraId="6BD1884F" w14:textId="77777777" w:rsidTr="0000694B">
        <w:trPr>
          <w:jc w:val="center"/>
        </w:trPr>
        <w:tc>
          <w:tcPr>
            <w:tcW w:w="5058" w:type="dxa"/>
            <w:tcBorders>
              <w:top w:val="nil"/>
              <w:left w:val="nil"/>
              <w:bottom w:val="nil"/>
              <w:right w:val="nil"/>
            </w:tcBorders>
          </w:tcPr>
          <w:p w14:paraId="5EA2507A"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HH suffered economic shock</w:t>
            </w:r>
          </w:p>
        </w:tc>
        <w:tc>
          <w:tcPr>
            <w:tcW w:w="2700" w:type="dxa"/>
            <w:tcBorders>
              <w:top w:val="nil"/>
              <w:left w:val="nil"/>
              <w:bottom w:val="nil"/>
              <w:right w:val="nil"/>
            </w:tcBorders>
          </w:tcPr>
          <w:p w14:paraId="13F652C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-0.0294</w:t>
            </w:r>
          </w:p>
        </w:tc>
      </w:tr>
      <w:tr w:rsidR="0000694B" w:rsidRPr="00C62663" w14:paraId="6F6FB6AE" w14:textId="77777777" w:rsidTr="0000694B">
        <w:trPr>
          <w:jc w:val="center"/>
        </w:trPr>
        <w:tc>
          <w:tcPr>
            <w:tcW w:w="5058" w:type="dxa"/>
            <w:tcBorders>
              <w:top w:val="nil"/>
              <w:left w:val="nil"/>
              <w:bottom w:val="nil"/>
              <w:right w:val="nil"/>
            </w:tcBorders>
          </w:tcPr>
          <w:p w14:paraId="60672281" w14:textId="62EB1610"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 xml:space="preserve">HH suffered from </w:t>
            </w:r>
            <w:r w:rsidR="00F01EA2">
              <w:rPr>
                <w:rFonts w:cs="Times New Roman"/>
                <w:sz w:val="20"/>
                <w:szCs w:val="20"/>
              </w:rPr>
              <w:t>d</w:t>
            </w:r>
            <w:r w:rsidRPr="001845F3">
              <w:rPr>
                <w:rFonts w:cs="Times New Roman"/>
                <w:sz w:val="20"/>
                <w:szCs w:val="20"/>
              </w:rPr>
              <w:t xml:space="preserve">welling, livestock, and </w:t>
            </w:r>
            <w:r w:rsidR="00F01EA2">
              <w:rPr>
                <w:rFonts w:cs="Times New Roman"/>
                <w:sz w:val="20"/>
                <w:szCs w:val="20"/>
              </w:rPr>
              <w:t>c</w:t>
            </w:r>
            <w:r w:rsidRPr="001845F3">
              <w:rPr>
                <w:rFonts w:cs="Times New Roman"/>
                <w:sz w:val="20"/>
                <w:szCs w:val="20"/>
              </w:rPr>
              <w:t>rop shock</w:t>
            </w:r>
          </w:p>
        </w:tc>
        <w:tc>
          <w:tcPr>
            <w:tcW w:w="2700" w:type="dxa"/>
            <w:tcBorders>
              <w:top w:val="nil"/>
              <w:left w:val="nil"/>
              <w:bottom w:val="nil"/>
              <w:right w:val="nil"/>
            </w:tcBorders>
          </w:tcPr>
          <w:p w14:paraId="6FA3869A"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0.0426</w:t>
            </w:r>
            <w:r w:rsidRPr="001845F3">
              <w:rPr>
                <w:rFonts w:cs="Times New Roman"/>
                <w:sz w:val="20"/>
                <w:szCs w:val="20"/>
                <w:vertAlign w:val="superscript"/>
              </w:rPr>
              <w:t>*</w:t>
            </w:r>
          </w:p>
        </w:tc>
      </w:tr>
      <w:tr w:rsidR="0000694B" w:rsidRPr="00C62663" w14:paraId="044F7AFA" w14:textId="77777777" w:rsidTr="0000694B">
        <w:trPr>
          <w:jc w:val="center"/>
        </w:trPr>
        <w:tc>
          <w:tcPr>
            <w:tcW w:w="5058" w:type="dxa"/>
            <w:tcBorders>
              <w:top w:val="nil"/>
              <w:left w:val="nil"/>
              <w:bottom w:val="nil"/>
              <w:right w:val="nil"/>
            </w:tcBorders>
          </w:tcPr>
          <w:p w14:paraId="2BC0316A"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EA has a bank</w:t>
            </w:r>
          </w:p>
        </w:tc>
        <w:tc>
          <w:tcPr>
            <w:tcW w:w="2700" w:type="dxa"/>
            <w:tcBorders>
              <w:top w:val="nil"/>
              <w:left w:val="nil"/>
              <w:bottom w:val="nil"/>
              <w:right w:val="nil"/>
            </w:tcBorders>
          </w:tcPr>
          <w:p w14:paraId="0734814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-0.00860</w:t>
            </w:r>
          </w:p>
        </w:tc>
      </w:tr>
      <w:tr w:rsidR="0000694B" w:rsidRPr="00C62663" w14:paraId="09406383" w14:textId="77777777" w:rsidTr="0000694B">
        <w:trPr>
          <w:jc w:val="center"/>
        </w:trPr>
        <w:tc>
          <w:tcPr>
            <w:tcW w:w="5058" w:type="dxa"/>
            <w:tcBorders>
              <w:top w:val="nil"/>
              <w:left w:val="nil"/>
              <w:bottom w:val="nil"/>
              <w:right w:val="nil"/>
            </w:tcBorders>
          </w:tcPr>
          <w:p w14:paraId="782D6C8F" w14:textId="6FBA4DAF"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 xml:space="preserve">Dummy for </w:t>
            </w:r>
            <w:r w:rsidR="00F01EA2">
              <w:rPr>
                <w:rFonts w:cs="Times New Roman"/>
                <w:sz w:val="20"/>
                <w:szCs w:val="20"/>
              </w:rPr>
              <w:t>h</w:t>
            </w:r>
            <w:r w:rsidRPr="001845F3">
              <w:rPr>
                <w:rFonts w:cs="Times New Roman"/>
                <w:sz w:val="20"/>
                <w:szCs w:val="20"/>
              </w:rPr>
              <w:t>aving a loan from a formal institution</w:t>
            </w:r>
          </w:p>
        </w:tc>
        <w:tc>
          <w:tcPr>
            <w:tcW w:w="2700" w:type="dxa"/>
            <w:tcBorders>
              <w:top w:val="nil"/>
              <w:left w:val="nil"/>
              <w:bottom w:val="nil"/>
              <w:right w:val="nil"/>
            </w:tcBorders>
          </w:tcPr>
          <w:p w14:paraId="01AA9C72"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0.128</w:t>
            </w:r>
            <w:r w:rsidRPr="001845F3">
              <w:rPr>
                <w:rFonts w:cs="Times New Roman"/>
                <w:sz w:val="20"/>
                <w:szCs w:val="20"/>
                <w:vertAlign w:val="superscript"/>
              </w:rPr>
              <w:t>*</w:t>
            </w:r>
          </w:p>
        </w:tc>
      </w:tr>
      <w:tr w:rsidR="0000694B" w:rsidRPr="00C62663" w14:paraId="6DF71152" w14:textId="77777777" w:rsidTr="0000694B">
        <w:trPr>
          <w:jc w:val="center"/>
        </w:trPr>
        <w:tc>
          <w:tcPr>
            <w:tcW w:w="5058" w:type="dxa"/>
            <w:tcBorders>
              <w:top w:val="single" w:sz="4" w:space="0" w:color="auto"/>
              <w:left w:val="nil"/>
              <w:bottom w:val="nil"/>
              <w:right w:val="nil"/>
            </w:tcBorders>
          </w:tcPr>
          <w:p w14:paraId="06363E82"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r2</w:t>
            </w:r>
          </w:p>
        </w:tc>
        <w:tc>
          <w:tcPr>
            <w:tcW w:w="2700" w:type="dxa"/>
            <w:tcBorders>
              <w:top w:val="single" w:sz="4" w:space="0" w:color="auto"/>
              <w:left w:val="nil"/>
              <w:bottom w:val="nil"/>
              <w:right w:val="nil"/>
            </w:tcBorders>
          </w:tcPr>
          <w:p w14:paraId="6A08C83F"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0.0364</w:t>
            </w:r>
          </w:p>
        </w:tc>
      </w:tr>
      <w:tr w:rsidR="0000694B" w:rsidRPr="00C62663" w14:paraId="71976724" w14:textId="77777777" w:rsidTr="0000694B">
        <w:trPr>
          <w:jc w:val="center"/>
        </w:trPr>
        <w:tc>
          <w:tcPr>
            <w:tcW w:w="5058" w:type="dxa"/>
            <w:tcBorders>
              <w:top w:val="nil"/>
              <w:left w:val="nil"/>
              <w:bottom w:val="single" w:sz="4" w:space="0" w:color="auto"/>
              <w:right w:val="nil"/>
            </w:tcBorders>
          </w:tcPr>
          <w:p w14:paraId="3A607A70" w14:textId="77777777" w:rsidR="0000694B" w:rsidRPr="001845F3" w:rsidRDefault="0000694B" w:rsidP="00D727BF">
            <w:pPr>
              <w:tabs>
                <w:tab w:val="left" w:pos="720"/>
              </w:tabs>
              <w:autoSpaceDE w:val="0"/>
              <w:autoSpaceDN w:val="0"/>
              <w:adjustRightInd w:val="0"/>
              <w:spacing w:after="0"/>
              <w:rPr>
                <w:rFonts w:cs="Times New Roman"/>
                <w:sz w:val="20"/>
                <w:szCs w:val="20"/>
              </w:rPr>
            </w:pPr>
            <w:r w:rsidRPr="001845F3">
              <w:rPr>
                <w:rFonts w:cs="Times New Roman"/>
                <w:sz w:val="20"/>
                <w:szCs w:val="20"/>
              </w:rPr>
              <w:t>N</w:t>
            </w:r>
          </w:p>
        </w:tc>
        <w:tc>
          <w:tcPr>
            <w:tcW w:w="2700" w:type="dxa"/>
            <w:tcBorders>
              <w:top w:val="nil"/>
              <w:left w:val="nil"/>
              <w:bottom w:val="single" w:sz="4" w:space="0" w:color="auto"/>
              <w:right w:val="nil"/>
            </w:tcBorders>
          </w:tcPr>
          <w:p w14:paraId="2245FA13" w14:textId="77777777" w:rsidR="0000694B" w:rsidRPr="001845F3" w:rsidRDefault="0000694B" w:rsidP="00D727BF">
            <w:pPr>
              <w:tabs>
                <w:tab w:val="left" w:pos="720"/>
              </w:tabs>
              <w:autoSpaceDE w:val="0"/>
              <w:autoSpaceDN w:val="0"/>
              <w:adjustRightInd w:val="0"/>
              <w:spacing w:after="0"/>
              <w:jc w:val="center"/>
              <w:rPr>
                <w:rFonts w:cs="Times New Roman"/>
                <w:sz w:val="20"/>
                <w:szCs w:val="20"/>
              </w:rPr>
            </w:pPr>
            <w:r w:rsidRPr="001845F3">
              <w:rPr>
                <w:rFonts w:cs="Times New Roman"/>
                <w:sz w:val="20"/>
                <w:szCs w:val="20"/>
              </w:rPr>
              <w:t>5501</w:t>
            </w:r>
          </w:p>
        </w:tc>
      </w:tr>
    </w:tbl>
    <w:p w14:paraId="585CD1C7" w14:textId="77777777" w:rsidR="0000694B" w:rsidRPr="001845F3" w:rsidRDefault="0000694B" w:rsidP="00D727BF">
      <w:pPr>
        <w:tabs>
          <w:tab w:val="left" w:pos="720"/>
        </w:tabs>
        <w:spacing w:before="60" w:after="0"/>
        <w:rPr>
          <w:rFonts w:eastAsia="Times New Roman" w:cs="Times New Roman"/>
          <w:sz w:val="18"/>
          <w:szCs w:val="20"/>
        </w:rPr>
      </w:pPr>
      <w:r w:rsidRPr="001845F3">
        <w:rPr>
          <w:rFonts w:eastAsia="Times New Roman" w:cs="Times New Roman"/>
          <w:sz w:val="18"/>
          <w:szCs w:val="20"/>
        </w:rPr>
        <w:t>Source: The results correspond to an OLS with fixed effect. Regressions are weighted. Standard errors are robust and clustered at the enumeration area level.</w:t>
      </w:r>
    </w:p>
    <w:p w14:paraId="7BE8A950" w14:textId="0008C49A" w:rsidR="0000694B" w:rsidRPr="001845F3" w:rsidRDefault="0000694B" w:rsidP="00D727BF">
      <w:pPr>
        <w:tabs>
          <w:tab w:val="left" w:pos="720"/>
        </w:tabs>
        <w:spacing w:before="60" w:after="0"/>
        <w:rPr>
          <w:rFonts w:eastAsia="Times New Roman" w:cs="Times New Roman"/>
          <w:sz w:val="18"/>
          <w:szCs w:val="20"/>
        </w:rPr>
      </w:pPr>
      <w:r w:rsidRPr="001845F3">
        <w:rPr>
          <w:rFonts w:eastAsia="Times New Roman" w:cs="Times New Roman"/>
          <w:iCs/>
          <w:sz w:val="18"/>
          <w:szCs w:val="20"/>
        </w:rPr>
        <w:t>Note:</w:t>
      </w:r>
      <w:r w:rsidRPr="001845F3">
        <w:rPr>
          <w:rFonts w:eastAsia="Times New Roman" w:cs="Times New Roman"/>
          <w:i/>
          <w:iCs/>
          <w:sz w:val="18"/>
          <w:szCs w:val="20"/>
        </w:rPr>
        <w:t xml:space="preserve"> t</w:t>
      </w:r>
      <w:r w:rsidRPr="001845F3">
        <w:rPr>
          <w:rFonts w:eastAsia="Times New Roman" w:cs="Times New Roman"/>
          <w:sz w:val="18"/>
          <w:szCs w:val="20"/>
        </w:rPr>
        <w:t xml:space="preserve"> statistics in parentheses </w:t>
      </w:r>
      <w:r w:rsidRPr="001845F3">
        <w:rPr>
          <w:rFonts w:eastAsia="Times New Roman" w:cs="Times New Roman"/>
          <w:sz w:val="18"/>
          <w:szCs w:val="20"/>
          <w:vertAlign w:val="superscript"/>
        </w:rPr>
        <w:t>*</w:t>
      </w:r>
      <w:r w:rsidRPr="001845F3">
        <w:rPr>
          <w:rFonts w:eastAsia="Times New Roman" w:cs="Times New Roman"/>
          <w:sz w:val="18"/>
          <w:szCs w:val="20"/>
        </w:rPr>
        <w:t xml:space="preserve"> </w:t>
      </w:r>
      <w:r w:rsidRPr="001845F3">
        <w:rPr>
          <w:rFonts w:eastAsia="Times New Roman" w:cs="Times New Roman"/>
          <w:i/>
          <w:iCs/>
          <w:sz w:val="18"/>
          <w:szCs w:val="20"/>
        </w:rPr>
        <w:t>p</w:t>
      </w:r>
      <w:r w:rsidRPr="001845F3">
        <w:rPr>
          <w:rFonts w:eastAsia="Times New Roman" w:cs="Times New Roman"/>
          <w:sz w:val="18"/>
          <w:szCs w:val="20"/>
        </w:rPr>
        <w:t xml:space="preserve"> &lt; 0.05, </w:t>
      </w:r>
      <w:r w:rsidRPr="001845F3">
        <w:rPr>
          <w:rFonts w:eastAsia="Times New Roman" w:cs="Times New Roman"/>
          <w:sz w:val="18"/>
          <w:szCs w:val="20"/>
          <w:vertAlign w:val="superscript"/>
        </w:rPr>
        <w:t>**</w:t>
      </w:r>
      <w:r w:rsidRPr="001845F3">
        <w:rPr>
          <w:rFonts w:eastAsia="Times New Roman" w:cs="Times New Roman"/>
          <w:sz w:val="18"/>
          <w:szCs w:val="20"/>
        </w:rPr>
        <w:t xml:space="preserve"> </w:t>
      </w:r>
      <w:r w:rsidRPr="001845F3">
        <w:rPr>
          <w:rFonts w:eastAsia="Times New Roman" w:cs="Times New Roman"/>
          <w:i/>
          <w:iCs/>
          <w:sz w:val="18"/>
          <w:szCs w:val="20"/>
        </w:rPr>
        <w:t>p</w:t>
      </w:r>
      <w:r w:rsidRPr="001845F3">
        <w:rPr>
          <w:rFonts w:eastAsia="Times New Roman" w:cs="Times New Roman"/>
          <w:sz w:val="18"/>
          <w:szCs w:val="20"/>
        </w:rPr>
        <w:t xml:space="preserve"> &lt; 0.01, </w:t>
      </w:r>
      <w:r w:rsidRPr="001845F3">
        <w:rPr>
          <w:rFonts w:eastAsia="Times New Roman" w:cs="Times New Roman"/>
          <w:sz w:val="18"/>
          <w:szCs w:val="20"/>
          <w:vertAlign w:val="superscript"/>
        </w:rPr>
        <w:t>***</w:t>
      </w:r>
      <w:r w:rsidRPr="001845F3">
        <w:rPr>
          <w:rFonts w:eastAsia="Times New Roman" w:cs="Times New Roman"/>
          <w:sz w:val="18"/>
          <w:szCs w:val="20"/>
        </w:rPr>
        <w:t xml:space="preserve"> </w:t>
      </w:r>
      <w:r w:rsidRPr="001845F3">
        <w:rPr>
          <w:rFonts w:eastAsia="Times New Roman" w:cs="Times New Roman"/>
          <w:i/>
          <w:iCs/>
          <w:sz w:val="18"/>
          <w:szCs w:val="20"/>
        </w:rPr>
        <w:t>p</w:t>
      </w:r>
      <w:r w:rsidRPr="001845F3">
        <w:rPr>
          <w:rFonts w:eastAsia="Times New Roman" w:cs="Times New Roman"/>
          <w:sz w:val="18"/>
          <w:szCs w:val="20"/>
        </w:rPr>
        <w:t xml:space="preserve"> &lt; 0.001</w:t>
      </w:r>
      <w:r w:rsidR="00F428F9" w:rsidRPr="001845F3">
        <w:rPr>
          <w:rFonts w:eastAsia="Times New Roman" w:cs="Times New Roman"/>
          <w:sz w:val="18"/>
          <w:szCs w:val="20"/>
        </w:rPr>
        <w:t xml:space="preserve"> </w:t>
      </w:r>
      <w:r w:rsidR="00D17D5D" w:rsidRPr="001845F3">
        <w:rPr>
          <w:rFonts w:eastAsia="Times New Roman" w:cs="Times New Roman"/>
          <w:sz w:val="18"/>
          <w:szCs w:val="20"/>
        </w:rPr>
        <w:t xml:space="preserve">Model explains only </w:t>
      </w:r>
      <w:r w:rsidR="00F01EA2">
        <w:rPr>
          <w:rFonts w:eastAsia="Times New Roman" w:cs="Times New Roman"/>
          <w:sz w:val="18"/>
          <w:szCs w:val="20"/>
        </w:rPr>
        <w:t>4</w:t>
      </w:r>
      <w:r w:rsidR="00F01EA2" w:rsidRPr="001845F3">
        <w:rPr>
          <w:rFonts w:eastAsia="Times New Roman" w:cs="Times New Roman"/>
          <w:sz w:val="18"/>
          <w:szCs w:val="20"/>
        </w:rPr>
        <w:t xml:space="preserve"> </w:t>
      </w:r>
      <w:r w:rsidR="00D17D5D" w:rsidRPr="001845F3">
        <w:rPr>
          <w:rFonts w:eastAsia="Times New Roman" w:cs="Times New Roman"/>
          <w:sz w:val="18"/>
          <w:szCs w:val="20"/>
        </w:rPr>
        <w:t>percent of status change.</w:t>
      </w:r>
    </w:p>
    <w:p w14:paraId="27B46317" w14:textId="77777777" w:rsidR="0000694B" w:rsidRPr="00C62663" w:rsidRDefault="0000694B" w:rsidP="00D727BF">
      <w:pPr>
        <w:tabs>
          <w:tab w:val="left" w:pos="720"/>
        </w:tabs>
        <w:spacing w:after="0"/>
        <w:rPr>
          <w:rFonts w:eastAsia="Times New Roman" w:cs="Times New Roman"/>
          <w:bCs/>
          <w:szCs w:val="24"/>
        </w:rPr>
      </w:pPr>
    </w:p>
    <w:p w14:paraId="4E4A3B1A" w14:textId="6B6AF340" w:rsidR="0000694B" w:rsidRDefault="004E78E7" w:rsidP="00D727BF">
      <w:pPr>
        <w:pStyle w:val="ParagraphNumbering"/>
        <w:numPr>
          <w:ilvl w:val="0"/>
          <w:numId w:val="0"/>
        </w:numPr>
        <w:tabs>
          <w:tab w:val="left" w:pos="720"/>
        </w:tabs>
        <w:spacing w:after="0"/>
      </w:pPr>
      <w:r>
        <w:tab/>
      </w:r>
      <w:r w:rsidR="0000694B" w:rsidRPr="000F6A00">
        <w:t>Overall</w:t>
      </w:r>
      <w:r w:rsidR="0075599D" w:rsidRPr="000F6A00">
        <w:t>,</w:t>
      </w:r>
      <w:r w:rsidR="0000694B" w:rsidRPr="000F6A00">
        <w:t xml:space="preserve"> ou</w:t>
      </w:r>
      <w:r w:rsidR="0075599D" w:rsidRPr="000F6A00">
        <w:t>r</w:t>
      </w:r>
      <w:r w:rsidR="0000694B" w:rsidRPr="000F6A00">
        <w:t xml:space="preserve"> findings suggest th</w:t>
      </w:r>
      <w:r w:rsidR="00593345" w:rsidRPr="000F6A00">
        <w:t>at</w:t>
      </w:r>
      <w:r w:rsidR="00593345">
        <w:rPr>
          <w:b/>
        </w:rPr>
        <w:t xml:space="preserve"> </w:t>
      </w:r>
      <w:r w:rsidR="00CA6C1D">
        <w:t>HEs</w:t>
      </w:r>
      <w:r w:rsidR="0000694B" w:rsidRPr="0000694B">
        <w:t xml:space="preserve"> </w:t>
      </w:r>
      <w:r w:rsidR="00593345">
        <w:t xml:space="preserve">are </w:t>
      </w:r>
      <w:r w:rsidR="0000694B" w:rsidRPr="0000694B">
        <w:t>operated by the owner</w:t>
      </w:r>
      <w:r w:rsidR="00593345">
        <w:t xml:space="preserve"> alone or</w:t>
      </w:r>
      <w:r w:rsidR="00F01EA2">
        <w:t>,</w:t>
      </w:r>
      <w:r w:rsidR="00593345">
        <w:t xml:space="preserve"> </w:t>
      </w:r>
      <w:r w:rsidR="0000694B" w:rsidRPr="0000694B">
        <w:t>in some cases</w:t>
      </w:r>
      <w:r w:rsidR="00F01EA2">
        <w:t>,</w:t>
      </w:r>
      <w:r w:rsidR="0000694B" w:rsidRPr="0000694B">
        <w:t xml:space="preserve"> </w:t>
      </w:r>
      <w:r w:rsidR="00593345">
        <w:t xml:space="preserve">with </w:t>
      </w:r>
      <w:r w:rsidR="0000694B" w:rsidRPr="0000694B">
        <w:t xml:space="preserve">unpaid household members. </w:t>
      </w:r>
      <w:r w:rsidR="00593345">
        <w:t xml:space="preserve">Their </w:t>
      </w:r>
      <w:r w:rsidR="00CA6C1D">
        <w:t xml:space="preserve">primary </w:t>
      </w:r>
      <w:r w:rsidR="00593345">
        <w:t xml:space="preserve">growth strategy is to </w:t>
      </w:r>
      <w:r w:rsidR="0000694B" w:rsidRPr="0000694B">
        <w:t>increase sales</w:t>
      </w:r>
      <w:r w:rsidR="00593345">
        <w:t xml:space="preserve"> in order to raise household income, not </w:t>
      </w:r>
      <w:r w:rsidR="00CA6C1D">
        <w:t xml:space="preserve">necessarily </w:t>
      </w:r>
      <w:r w:rsidR="00593345">
        <w:t xml:space="preserve">to hire </w:t>
      </w:r>
      <w:r w:rsidR="0000694B" w:rsidRPr="0000694B">
        <w:t>more employees. From a policy perspective,</w:t>
      </w:r>
      <w:r w:rsidR="005416B0">
        <w:t xml:space="preserve"> </w:t>
      </w:r>
      <w:r w:rsidR="005416B0">
        <w:lastRenderedPageBreak/>
        <w:t>supporting these firms will lead to an increase in revenues for the household</w:t>
      </w:r>
      <w:r w:rsidR="0000694B" w:rsidRPr="0000694B">
        <w:t>.</w:t>
      </w:r>
      <w:r w:rsidR="00F428F9">
        <w:t xml:space="preserve"> </w:t>
      </w:r>
      <w:r w:rsidR="00567128">
        <w:t>S</w:t>
      </w:r>
      <w:r w:rsidR="005416B0">
        <w:t xml:space="preserve">upporting </w:t>
      </w:r>
      <w:r w:rsidR="00CA6C1D">
        <w:t>MEs</w:t>
      </w:r>
      <w:r w:rsidR="00567128">
        <w:t>, on the other hand,</w:t>
      </w:r>
      <w:r w:rsidR="005416B0">
        <w:t xml:space="preserve"> may lead to higher return on</w:t>
      </w:r>
      <w:r w:rsidR="00567128">
        <w:t xml:space="preserve"> investment as these firms will not only increase revenues for the owner but also generate new jobs. </w:t>
      </w:r>
      <w:r w:rsidR="00CA6C1D">
        <w:t xml:space="preserve">MEs </w:t>
      </w:r>
      <w:r w:rsidR="0000694B" w:rsidRPr="0000694B">
        <w:t>do contribute to wage jobs</w:t>
      </w:r>
      <w:r w:rsidR="00593345">
        <w:t xml:space="preserve">, as increased sales </w:t>
      </w:r>
      <w:r w:rsidR="00E71902">
        <w:t>are</w:t>
      </w:r>
      <w:r w:rsidR="0000694B" w:rsidRPr="0000694B">
        <w:t xml:space="preserve"> more likely to translate into an increase in employment. From a policy perspective, the objective here is to increase their productivity and </w:t>
      </w:r>
      <w:r w:rsidR="00593345">
        <w:t xml:space="preserve">help them to </w:t>
      </w:r>
      <w:r w:rsidR="0000694B" w:rsidRPr="0000694B">
        <w:t>grow.</w:t>
      </w:r>
    </w:p>
    <w:p w14:paraId="22FBA761" w14:textId="77777777" w:rsidR="00623742" w:rsidRPr="0000694B" w:rsidRDefault="00623742" w:rsidP="00D727BF">
      <w:pPr>
        <w:pStyle w:val="ParagraphNumbering"/>
        <w:numPr>
          <w:ilvl w:val="0"/>
          <w:numId w:val="0"/>
        </w:numPr>
        <w:tabs>
          <w:tab w:val="left" w:pos="720"/>
        </w:tabs>
        <w:spacing w:after="0"/>
      </w:pPr>
    </w:p>
    <w:p w14:paraId="10CA34CE" w14:textId="0102DE02" w:rsidR="0000694B" w:rsidRPr="0000694B" w:rsidRDefault="0000694B" w:rsidP="00D727BF">
      <w:pPr>
        <w:pStyle w:val="Heading2"/>
        <w:tabs>
          <w:tab w:val="left" w:pos="720"/>
        </w:tabs>
      </w:pPr>
      <w:bookmarkStart w:id="138" w:name="_Toc430263211"/>
      <w:bookmarkStart w:id="139" w:name="_Toc444877508"/>
      <w:bookmarkStart w:id="140" w:name="_Toc445450282"/>
      <w:r w:rsidRPr="0000694B">
        <w:t>Explaining Firm-</w:t>
      </w:r>
      <w:r w:rsidR="00B20E09">
        <w:t>L</w:t>
      </w:r>
      <w:r w:rsidRPr="0000694B">
        <w:t>evel Performance</w:t>
      </w:r>
      <w:bookmarkEnd w:id="138"/>
      <w:bookmarkEnd w:id="139"/>
      <w:bookmarkEnd w:id="140"/>
    </w:p>
    <w:p w14:paraId="38588CF1" w14:textId="77777777" w:rsidR="0000694B" w:rsidRPr="0000694B" w:rsidRDefault="0000694B" w:rsidP="00D727BF">
      <w:pPr>
        <w:tabs>
          <w:tab w:val="left" w:pos="720"/>
        </w:tabs>
        <w:spacing w:before="29"/>
        <w:jc w:val="center"/>
        <w:outlineLvl w:val="2"/>
        <w:rPr>
          <w:rFonts w:ascii="AndesExtraLight"/>
          <w:color w:val="00AEEF"/>
          <w:sz w:val="26"/>
        </w:rPr>
      </w:pPr>
      <w:r w:rsidRPr="0000694B">
        <w:rPr>
          <w:rFonts w:ascii="AndesExtraLight"/>
          <w:color w:val="00AEEF"/>
          <w:sz w:val="26"/>
        </w:rPr>
        <w:t>An overview of the NFE performance</w:t>
      </w:r>
    </w:p>
    <w:p w14:paraId="3823C5AE" w14:textId="684466F1" w:rsidR="0000694B" w:rsidRPr="0000694B" w:rsidRDefault="004E78E7" w:rsidP="00D727BF">
      <w:pPr>
        <w:pStyle w:val="ParagraphNumbering"/>
        <w:numPr>
          <w:ilvl w:val="0"/>
          <w:numId w:val="0"/>
        </w:numPr>
        <w:tabs>
          <w:tab w:val="left" w:pos="720"/>
        </w:tabs>
        <w:spacing w:after="0"/>
        <w:rPr>
          <w:sz w:val="22"/>
        </w:rPr>
      </w:pPr>
      <w:r>
        <w:rPr>
          <w:b/>
        </w:rPr>
        <w:tab/>
      </w:r>
      <w:r w:rsidR="0000694B" w:rsidRPr="000F6A00">
        <w:rPr>
          <w:b/>
        </w:rPr>
        <w:t xml:space="preserve">Firm-level performance can be measured in several ways. </w:t>
      </w:r>
      <w:r w:rsidR="0000694B" w:rsidRPr="0000694B">
        <w:t>In this section, results are presented for two performance measures</w:t>
      </w:r>
      <w:r w:rsidR="00B20E09">
        <w:t xml:space="preserve">: </w:t>
      </w:r>
      <w:r w:rsidR="0000694B" w:rsidRPr="0000694B">
        <w:t xml:space="preserve">labor productivity (revenues per worker) and total factor productivity (TFP). Box 1 provides detailed information on the definition of </w:t>
      </w:r>
      <w:r w:rsidR="00B20E09" w:rsidRPr="0000694B">
        <w:t xml:space="preserve">labor productivity </w:t>
      </w:r>
      <w:r w:rsidR="00B20E09">
        <w:t xml:space="preserve">and </w:t>
      </w:r>
      <w:r w:rsidR="0000694B" w:rsidRPr="0000694B">
        <w:t xml:space="preserve">total factor productivity. </w:t>
      </w:r>
    </w:p>
    <w:p w14:paraId="4F636CAA" w14:textId="77777777" w:rsidR="00E02253" w:rsidRPr="001845F3" w:rsidRDefault="00E02253" w:rsidP="00D727BF">
      <w:pPr>
        <w:tabs>
          <w:tab w:val="left" w:pos="720"/>
        </w:tabs>
        <w:spacing w:after="0"/>
        <w:ind w:left="20" w:hanging="20"/>
        <w:rPr>
          <w:szCs w:val="24"/>
        </w:rPr>
      </w:pPr>
    </w:p>
    <w:p w14:paraId="344CA866" w14:textId="508EA4D4" w:rsidR="00E02253" w:rsidRPr="00DD3B62" w:rsidRDefault="00E02253"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line="22" w:lineRule="atLeast"/>
        <w:ind w:left="14" w:hanging="14"/>
        <w:jc w:val="center"/>
        <w:rPr>
          <w:rFonts w:eastAsia="Calibri"/>
          <w:b/>
          <w:color w:val="920016" w:themeColor="accent4"/>
          <w:sz w:val="22"/>
        </w:rPr>
      </w:pPr>
      <w:r w:rsidRPr="00DD3B62">
        <w:rPr>
          <w:rFonts w:eastAsia="Calibri"/>
          <w:b/>
          <w:color w:val="920016" w:themeColor="accent4"/>
          <w:sz w:val="22"/>
        </w:rPr>
        <w:t>Box 1:</w:t>
      </w:r>
      <w:r w:rsidR="00F428F9">
        <w:rPr>
          <w:rFonts w:eastAsia="Calibri"/>
          <w:b/>
          <w:color w:val="920016" w:themeColor="accent4"/>
          <w:sz w:val="22"/>
        </w:rPr>
        <w:t xml:space="preserve"> </w:t>
      </w:r>
      <w:r w:rsidRPr="00DD3B62">
        <w:rPr>
          <w:rFonts w:eastAsia="Calibri"/>
          <w:b/>
          <w:color w:val="920016" w:themeColor="accent4"/>
          <w:sz w:val="22"/>
        </w:rPr>
        <w:t>Measures of Firm Performance</w:t>
      </w:r>
    </w:p>
    <w:p w14:paraId="7BE52772" w14:textId="77777777" w:rsidR="002360D0" w:rsidRPr="00DD3B62" w:rsidRDefault="00E02253"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20" w:line="276" w:lineRule="auto"/>
        <w:ind w:left="14" w:hanging="14"/>
        <w:rPr>
          <w:rFonts w:eastAsia="Calibri"/>
          <w:sz w:val="22"/>
        </w:rPr>
      </w:pPr>
      <w:r w:rsidRPr="00DD3B62">
        <w:rPr>
          <w:rFonts w:eastAsia="Calibri"/>
          <w:b/>
          <w:sz w:val="22"/>
        </w:rPr>
        <w:t xml:space="preserve">Labor Productivity: </w:t>
      </w:r>
      <w:r w:rsidRPr="00DD3B62">
        <w:rPr>
          <w:rFonts w:eastAsia="Calibri"/>
          <w:sz w:val="22"/>
        </w:rPr>
        <w:t xml:space="preserve">Value added per worker is a basic measure of labor productivity. It is the value of the goods and services that the firm produces less the cost of the raw materials (such as iron or wood) and intermediate inputs (such as engine parts or textiles) used to produce the output, divided by the number of </w:t>
      </w:r>
      <w:r w:rsidR="002360D0" w:rsidRPr="00DD3B62">
        <w:rPr>
          <w:rFonts w:eastAsia="Calibri"/>
          <w:sz w:val="22"/>
        </w:rPr>
        <w:t xml:space="preserve">paid </w:t>
      </w:r>
      <w:r w:rsidRPr="00DD3B62">
        <w:rPr>
          <w:rFonts w:eastAsia="Calibri"/>
          <w:sz w:val="22"/>
        </w:rPr>
        <w:t>workers in the firm</w:t>
      </w:r>
      <w:r w:rsidR="002360D0" w:rsidRPr="00DD3B62">
        <w:rPr>
          <w:rFonts w:eastAsia="Calibri"/>
          <w:sz w:val="22"/>
        </w:rPr>
        <w:t>, including paid</w:t>
      </w:r>
      <w:r w:rsidRPr="00DD3B62">
        <w:rPr>
          <w:rFonts w:eastAsia="Calibri"/>
          <w:sz w:val="22"/>
        </w:rPr>
        <w:t xml:space="preserve"> household members. </w:t>
      </w:r>
    </w:p>
    <w:p w14:paraId="21272AD0" w14:textId="232E101B" w:rsidR="00E02253" w:rsidRPr="00DD3B62" w:rsidRDefault="00E02253"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20" w:line="276" w:lineRule="auto"/>
        <w:ind w:left="14" w:hanging="14"/>
        <w:rPr>
          <w:rFonts w:eastAsia="Calibri"/>
          <w:sz w:val="22"/>
        </w:rPr>
      </w:pPr>
      <w:r w:rsidRPr="00DD3B62">
        <w:rPr>
          <w:rFonts w:eastAsia="Calibri"/>
          <w:sz w:val="22"/>
        </w:rPr>
        <w:t>Labor productivity is higher for firms that produce more output with less raw material and fewer workers. Differences in labor productivity can result from differences in technology, organizational structure, worker skills, management ability, or the amount of capital that the firm uses. Because labor productivity does not take the use of capital (machinery and equipment) into account, it will generally be higher in firms that use capital in place of labor (firms that are capital intensive).</w:t>
      </w:r>
    </w:p>
    <w:p w14:paraId="76A244B3" w14:textId="4877FF70" w:rsidR="002360D0" w:rsidRPr="00DD3B62" w:rsidRDefault="00E02253"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0" w:line="276" w:lineRule="auto"/>
        <w:ind w:left="14" w:hanging="14"/>
        <w:rPr>
          <w:sz w:val="22"/>
        </w:rPr>
      </w:pPr>
      <w:r w:rsidRPr="00DD3B62">
        <w:rPr>
          <w:rFonts w:eastAsia="Calibri"/>
          <w:b/>
          <w:sz w:val="22"/>
        </w:rPr>
        <w:t xml:space="preserve">Total Factor Productivity: </w:t>
      </w:r>
      <w:r w:rsidRPr="00DD3B62">
        <w:rPr>
          <w:sz w:val="22"/>
        </w:rPr>
        <w:t xml:space="preserve">Total factor productivity is calculated </w:t>
      </w:r>
      <w:r w:rsidR="007B2A15" w:rsidRPr="00DD3B62">
        <w:rPr>
          <w:sz w:val="22"/>
        </w:rPr>
        <w:t xml:space="preserve">here </w:t>
      </w:r>
      <w:r w:rsidRPr="00DD3B62">
        <w:rPr>
          <w:sz w:val="22"/>
        </w:rPr>
        <w:t>based on the Levinsohn and Petrin (2003)</w:t>
      </w:r>
      <w:r w:rsidR="00567128" w:rsidRPr="00DD3B62">
        <w:rPr>
          <w:rStyle w:val="FootnoteReference"/>
          <w:sz w:val="22"/>
        </w:rPr>
        <w:footnoteReference w:id="27"/>
      </w:r>
      <w:r w:rsidRPr="00DD3B62">
        <w:rPr>
          <w:sz w:val="22"/>
        </w:rPr>
        <w:t xml:space="preserve"> model</w:t>
      </w:r>
      <w:r w:rsidR="002360D0" w:rsidRPr="00DD3B62">
        <w:rPr>
          <w:sz w:val="22"/>
        </w:rPr>
        <w:t>,</w:t>
      </w:r>
      <w:r w:rsidRPr="00DD3B62">
        <w:rPr>
          <w:sz w:val="22"/>
        </w:rPr>
        <w:t xml:space="preserve"> with the value of transport costs used as </w:t>
      </w:r>
      <w:r w:rsidR="002360D0" w:rsidRPr="00DD3B62">
        <w:rPr>
          <w:sz w:val="22"/>
        </w:rPr>
        <w:t>a</w:t>
      </w:r>
      <w:r w:rsidRPr="00DD3B62">
        <w:rPr>
          <w:sz w:val="22"/>
        </w:rPr>
        <w:t xml:space="preserve"> proxy for unobserved productivity shocks. The production function is estimated for </w:t>
      </w:r>
      <w:r w:rsidR="00BF432F" w:rsidRPr="00DD3B62">
        <w:rPr>
          <w:sz w:val="22"/>
        </w:rPr>
        <w:t xml:space="preserve">relevant </w:t>
      </w:r>
      <w:r w:rsidRPr="00DD3B62">
        <w:rPr>
          <w:sz w:val="22"/>
        </w:rPr>
        <w:t>sector</w:t>
      </w:r>
      <w:r w:rsidR="00BF432F" w:rsidRPr="00DD3B62">
        <w:rPr>
          <w:sz w:val="22"/>
        </w:rPr>
        <w:t xml:space="preserve"> (</w:t>
      </w:r>
      <w:r w:rsidRPr="00DD3B62">
        <w:rPr>
          <w:sz w:val="22"/>
        </w:rPr>
        <w:t xml:space="preserve">manufacturing </w:t>
      </w:r>
      <w:r w:rsidR="00BF432F" w:rsidRPr="00DD3B62">
        <w:rPr>
          <w:sz w:val="22"/>
        </w:rPr>
        <w:t xml:space="preserve">or </w:t>
      </w:r>
      <w:r w:rsidRPr="00DD3B62">
        <w:rPr>
          <w:sz w:val="22"/>
        </w:rPr>
        <w:t>services</w:t>
      </w:r>
      <w:r w:rsidR="00BF432F" w:rsidRPr="00DD3B62">
        <w:rPr>
          <w:sz w:val="22"/>
        </w:rPr>
        <w:t>), and e</w:t>
      </w:r>
      <w:r w:rsidRPr="00DD3B62">
        <w:rPr>
          <w:sz w:val="22"/>
        </w:rPr>
        <w:t>stimations using a stochastic frontier model are used for robustness checks. In th</w:t>
      </w:r>
      <w:r w:rsidR="00BF432F" w:rsidRPr="00DD3B62">
        <w:rPr>
          <w:sz w:val="22"/>
        </w:rPr>
        <w:t xml:space="preserve">e equation below, </w:t>
      </w:r>
      <w:r w:rsidRPr="00DD3B62">
        <w:rPr>
          <w:sz w:val="22"/>
        </w:rPr>
        <w:t xml:space="preserve">we use production function estimates to construct measures of plant-level productivity. </w:t>
      </w:r>
      <w:r w:rsidR="002360D0" w:rsidRPr="00DD3B62">
        <w:rPr>
          <w:sz w:val="22"/>
        </w:rPr>
        <w:t>P</w:t>
      </w:r>
      <w:r w:rsidRPr="00DD3B62">
        <w:rPr>
          <w:sz w:val="22"/>
        </w:rPr>
        <w:t xml:space="preserve">roductivity for a firm </w:t>
      </w:r>
      <m:oMath>
        <m:r>
          <w:rPr>
            <w:rFonts w:ascii="Cambria Math" w:hAnsi="Cambria Math"/>
            <w:sz w:val="22"/>
          </w:rPr>
          <m:t>i</m:t>
        </m:r>
      </m:oMath>
      <w:r w:rsidRPr="00DD3B62">
        <w:rPr>
          <w:sz w:val="22"/>
        </w:rPr>
        <w:t xml:space="preserve"> in the sector </w:t>
      </w:r>
      <m:oMath>
        <m:r>
          <w:rPr>
            <w:rFonts w:ascii="Cambria Math" w:hAnsi="Cambria Math"/>
            <w:sz w:val="22"/>
          </w:rPr>
          <m:t>j</m:t>
        </m:r>
      </m:oMath>
      <w:r w:rsidRPr="00DD3B62">
        <w:rPr>
          <w:sz w:val="22"/>
        </w:rPr>
        <w:t xml:space="preserve"> is calculated as</w:t>
      </w:r>
    </w:p>
    <w:p w14:paraId="4A3290BF" w14:textId="77777777" w:rsidR="002360D0" w:rsidRPr="00DD3B62" w:rsidRDefault="00E02253"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0" w:line="276" w:lineRule="auto"/>
        <w:ind w:left="14" w:hanging="14"/>
        <w:jc w:val="center"/>
        <w:rPr>
          <w:sz w:val="22"/>
        </w:rPr>
      </w:pPr>
      <w:r w:rsidRPr="00DD3B62">
        <w:rPr>
          <w:noProof/>
          <w:sz w:val="22"/>
        </w:rPr>
        <w:drawing>
          <wp:inline distT="0" distB="0" distL="0" distR="0" wp14:anchorId="33CC5CB9" wp14:editId="420DEA11">
            <wp:extent cx="1541721" cy="186665"/>
            <wp:effectExtent l="0" t="0" r="190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41721" cy="186665"/>
                    </a:xfrm>
                    <a:prstGeom prst="rect">
                      <a:avLst/>
                    </a:prstGeom>
                  </pic:spPr>
                </pic:pic>
              </a:graphicData>
            </a:graphic>
          </wp:inline>
        </w:drawing>
      </w:r>
      <w:r w:rsidRPr="00DD3B62">
        <w:rPr>
          <w:sz w:val="22"/>
        </w:rPr>
        <w:t>,</w:t>
      </w:r>
    </w:p>
    <w:p w14:paraId="10E7C3D6" w14:textId="594BB064" w:rsidR="00E02253" w:rsidRPr="00DD3B62" w:rsidRDefault="00342802"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0" w:line="276" w:lineRule="auto"/>
        <w:ind w:left="14" w:hanging="14"/>
        <w:rPr>
          <w:sz w:val="22"/>
        </w:rPr>
      </w:pPr>
      <w:r w:rsidRPr="00DD3B62">
        <w:rPr>
          <w:sz w:val="22"/>
        </w:rPr>
        <w:t xml:space="preserve">Where </w:t>
      </w:r>
      <w:r w:rsidR="00E02253" w:rsidRPr="00DD3B62">
        <w:rPr>
          <w:sz w:val="22"/>
        </w:rPr>
        <w:t xml:space="preserve">the parameter estimates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lj</m:t>
            </m:r>
          </m:sub>
        </m:sSub>
      </m:oMath>
      <w:r w:rsidR="00E02253" w:rsidRPr="00DD3B62">
        <w:rPr>
          <w:sz w:val="22"/>
        </w:rPr>
        <w:t xml:space="preserve"> and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kj</m:t>
            </m:r>
          </m:sub>
        </m:sSub>
      </m:oMath>
      <w:r w:rsidR="00E02253" w:rsidRPr="00DD3B62">
        <w:rPr>
          <w:sz w:val="22"/>
        </w:rPr>
        <w:t xml:space="preserve"> are taken from the production function estimates. </w:t>
      </w:r>
    </w:p>
    <w:p w14:paraId="2650910E" w14:textId="77777777" w:rsidR="00E02253" w:rsidRPr="00C759C4" w:rsidRDefault="00E02253" w:rsidP="00D727BF">
      <w:pPr>
        <w:tabs>
          <w:tab w:val="left" w:pos="720"/>
        </w:tabs>
        <w:spacing w:after="0"/>
        <w:ind w:left="20" w:hanging="20"/>
        <w:rPr>
          <w:szCs w:val="24"/>
        </w:rPr>
      </w:pPr>
    </w:p>
    <w:p w14:paraId="6540EB22" w14:textId="7356438C" w:rsidR="0000694B" w:rsidRPr="0000694B" w:rsidRDefault="004E78E7" w:rsidP="00D727BF">
      <w:pPr>
        <w:pStyle w:val="ParagraphNumbering"/>
        <w:numPr>
          <w:ilvl w:val="0"/>
          <w:numId w:val="0"/>
        </w:numPr>
        <w:tabs>
          <w:tab w:val="left" w:pos="720"/>
        </w:tabs>
        <w:spacing w:after="0"/>
      </w:pPr>
      <w:r>
        <w:rPr>
          <w:b/>
        </w:rPr>
        <w:tab/>
      </w:r>
      <w:r w:rsidR="0000694B" w:rsidRPr="00AE6F13">
        <w:rPr>
          <w:b/>
        </w:rPr>
        <w:t xml:space="preserve">Firms located in Lagos and in the </w:t>
      </w:r>
      <w:r w:rsidR="007B2A15">
        <w:rPr>
          <w:b/>
        </w:rPr>
        <w:t>S</w:t>
      </w:r>
      <w:r w:rsidR="00004526">
        <w:rPr>
          <w:b/>
        </w:rPr>
        <w:t>S</w:t>
      </w:r>
      <w:r w:rsidR="0000694B" w:rsidRPr="00AE6F13">
        <w:rPr>
          <w:b/>
        </w:rPr>
        <w:t xml:space="preserve"> zone are far</w:t>
      </w:r>
      <w:r w:rsidR="002360D0" w:rsidRPr="00FC4AF5">
        <w:rPr>
          <w:b/>
        </w:rPr>
        <w:t xml:space="preserve"> more productive than </w:t>
      </w:r>
      <w:r w:rsidR="00885D08">
        <w:rPr>
          <w:b/>
        </w:rPr>
        <w:t>other regions</w:t>
      </w:r>
      <w:r w:rsidR="001B60F1" w:rsidRPr="00C57ECD">
        <w:rPr>
          <w:b/>
        </w:rPr>
        <w:t xml:space="preserve"> in terms of both TFP and </w:t>
      </w:r>
      <w:r w:rsidR="001B60F1" w:rsidRPr="00B32A87">
        <w:rPr>
          <w:b/>
        </w:rPr>
        <w:t>labor productivity</w:t>
      </w:r>
      <w:r w:rsidR="002360D0" w:rsidRPr="007A3289">
        <w:rPr>
          <w:b/>
        </w:rPr>
        <w:t xml:space="preserve"> </w:t>
      </w:r>
      <w:r w:rsidR="002360D0" w:rsidRPr="000F6A00">
        <w:t>(</w:t>
      </w:r>
      <w:r w:rsidR="00A23A84" w:rsidRPr="004F4472">
        <w:fldChar w:fldCharType="begin"/>
      </w:r>
      <w:r w:rsidR="00A23A84" w:rsidRPr="00086B78">
        <w:instrText xml:space="preserve"> REF _Ref445131490 \h  \* MERGEFORMAT </w:instrText>
      </w:r>
      <w:r w:rsidR="00A23A84" w:rsidRPr="004F4472">
        <w:fldChar w:fldCharType="separate"/>
      </w:r>
      <w:r w:rsidR="00B20E09">
        <w:rPr>
          <w:bCs w:val="0"/>
        </w:rPr>
        <w:t>figure</w:t>
      </w:r>
      <w:r w:rsidR="008A3BBD" w:rsidRPr="00C759C4">
        <w:rPr>
          <w:bCs w:val="0"/>
        </w:rPr>
        <w:t xml:space="preserve"> </w:t>
      </w:r>
      <w:r w:rsidR="008A3BBD" w:rsidRPr="00D727BF">
        <w:rPr>
          <w:bCs w:val="0"/>
          <w:noProof/>
        </w:rPr>
        <w:t>24</w:t>
      </w:r>
      <w:r w:rsidR="00A23A84" w:rsidRPr="004F4472">
        <w:fldChar w:fldCharType="end"/>
      </w:r>
      <w:r w:rsidR="001B60F1">
        <w:t>).</w:t>
      </w:r>
      <w:r w:rsidR="0000694B" w:rsidRPr="0000694B">
        <w:t xml:space="preserve"> </w:t>
      </w:r>
      <w:r w:rsidR="001B60F1">
        <w:t>T</w:t>
      </w:r>
      <w:r w:rsidR="0000694B" w:rsidRPr="0000694B">
        <w:t xml:space="preserve">he NW zone exhibits by far the lowest productivity (about 50 percent </w:t>
      </w:r>
      <w:r w:rsidR="00B20E09">
        <w:t xml:space="preserve">of </w:t>
      </w:r>
      <w:r w:rsidR="001B60F1">
        <w:t xml:space="preserve">that of the median firm in Lagos), while </w:t>
      </w:r>
      <w:r w:rsidR="007B2A15">
        <w:t>t</w:t>
      </w:r>
      <w:r w:rsidR="0000694B" w:rsidRPr="0000694B">
        <w:t>he SE, NC</w:t>
      </w:r>
      <w:r w:rsidR="00B20E09">
        <w:t>,</w:t>
      </w:r>
      <w:r w:rsidR="0000694B" w:rsidRPr="0000694B">
        <w:t xml:space="preserve"> and NE zones </w:t>
      </w:r>
      <w:r w:rsidR="00885D08">
        <w:t xml:space="preserve">all possess </w:t>
      </w:r>
      <w:r w:rsidR="0000694B" w:rsidRPr="0000694B">
        <w:t>similar levels of productivity</w:t>
      </w:r>
      <w:r w:rsidR="00885D08">
        <w:t xml:space="preserve"> below that of the median firm in Lagos</w:t>
      </w:r>
      <w:r w:rsidR="0000694B" w:rsidRPr="0000694B">
        <w:t>.</w:t>
      </w:r>
    </w:p>
    <w:p w14:paraId="260E4AA8" w14:textId="4D1B2114" w:rsidR="0068477C" w:rsidRDefault="0068477C" w:rsidP="00D727BF">
      <w:pPr>
        <w:tabs>
          <w:tab w:val="left" w:pos="720"/>
        </w:tabs>
      </w:pPr>
      <w:bookmarkStart w:id="141" w:name="_Ref430108714"/>
      <w:r>
        <w:lastRenderedPageBreak/>
        <w:br w:type="page"/>
      </w:r>
    </w:p>
    <w:p w14:paraId="4605DF34" w14:textId="77777777" w:rsidR="0068477C" w:rsidRDefault="0068477C" w:rsidP="00D727BF">
      <w:pPr>
        <w:tabs>
          <w:tab w:val="left" w:pos="720"/>
        </w:tabs>
        <w:spacing w:after="0"/>
      </w:pPr>
    </w:p>
    <w:p w14:paraId="06895A7C" w14:textId="3ED60DE5" w:rsidR="0000694B" w:rsidRPr="0000694B" w:rsidRDefault="0068477C" w:rsidP="00D727BF">
      <w:pPr>
        <w:pStyle w:val="Caption"/>
        <w:tabs>
          <w:tab w:val="left" w:pos="720"/>
        </w:tabs>
        <w:jc w:val="center"/>
      </w:pPr>
      <w:bookmarkStart w:id="142" w:name="_Ref445131490"/>
      <w:bookmarkStart w:id="143" w:name="_Toc445449642"/>
      <w:bookmarkEnd w:id="141"/>
      <w:r w:rsidRPr="00C759C4">
        <w:rPr>
          <w:b w:val="0"/>
          <w:bCs w:val="0"/>
        </w:rPr>
        <w:t xml:space="preserve">Figure </w:t>
      </w:r>
      <w:r w:rsidR="00D92B55">
        <w:rPr>
          <w:b w:val="0"/>
          <w:bCs w:val="0"/>
        </w:rPr>
        <w:fldChar w:fldCharType="begin"/>
      </w:r>
      <w:r w:rsidR="00D92B55">
        <w:rPr>
          <w:b w:val="0"/>
          <w:bCs w:val="0"/>
        </w:rPr>
        <w:instrText xml:space="preserve"> SEQ Figure \* ARABIC </w:instrText>
      </w:r>
      <w:r w:rsidR="00D92B55">
        <w:rPr>
          <w:b w:val="0"/>
          <w:bCs w:val="0"/>
        </w:rPr>
        <w:fldChar w:fldCharType="separate"/>
      </w:r>
      <w:r w:rsidR="008A3BBD">
        <w:rPr>
          <w:b w:val="0"/>
          <w:bCs w:val="0"/>
          <w:noProof/>
        </w:rPr>
        <w:t>24</w:t>
      </w:r>
      <w:r w:rsidR="00D92B55">
        <w:rPr>
          <w:b w:val="0"/>
          <w:bCs w:val="0"/>
        </w:rPr>
        <w:fldChar w:fldCharType="end"/>
      </w:r>
      <w:bookmarkEnd w:id="142"/>
      <w:r w:rsidR="0000694B" w:rsidRPr="0000694B">
        <w:rPr>
          <w:b w:val="0"/>
          <w:bCs w:val="0"/>
        </w:rPr>
        <w:t xml:space="preserve">: TFP and Labor </w:t>
      </w:r>
      <w:r w:rsidR="001B60F1">
        <w:rPr>
          <w:b w:val="0"/>
          <w:bCs w:val="0"/>
        </w:rPr>
        <w:t>P</w:t>
      </w:r>
      <w:r w:rsidR="0000694B" w:rsidRPr="0000694B">
        <w:rPr>
          <w:b w:val="0"/>
          <w:bCs w:val="0"/>
        </w:rPr>
        <w:t>roductivity</w:t>
      </w:r>
      <w:r w:rsidR="001B60F1">
        <w:rPr>
          <w:b w:val="0"/>
          <w:bCs w:val="0"/>
        </w:rPr>
        <w:t xml:space="preserve"> in Nigerian Zones,</w:t>
      </w:r>
      <w:r w:rsidR="0000694B" w:rsidRPr="0000694B">
        <w:rPr>
          <w:b w:val="0"/>
          <w:bCs w:val="0"/>
        </w:rPr>
        <w:t xml:space="preserve"> Compared to a </w:t>
      </w:r>
      <w:r w:rsidR="001B60F1">
        <w:rPr>
          <w:b w:val="0"/>
          <w:bCs w:val="0"/>
        </w:rPr>
        <w:t>M</w:t>
      </w:r>
      <w:r w:rsidR="0000694B" w:rsidRPr="0000694B">
        <w:rPr>
          <w:b w:val="0"/>
          <w:bCs w:val="0"/>
        </w:rPr>
        <w:t xml:space="preserve">edian </w:t>
      </w:r>
      <w:r w:rsidR="001B60F1">
        <w:rPr>
          <w:b w:val="0"/>
          <w:bCs w:val="0"/>
        </w:rPr>
        <w:t>F</w:t>
      </w:r>
      <w:r w:rsidR="0000694B" w:rsidRPr="0000694B">
        <w:rPr>
          <w:b w:val="0"/>
          <w:bCs w:val="0"/>
        </w:rPr>
        <w:t>irm in Lagos</w:t>
      </w:r>
      <w:bookmarkEnd w:id="143"/>
    </w:p>
    <w:p w14:paraId="5E61066F" w14:textId="77777777" w:rsidR="0000694B" w:rsidRPr="0000694B" w:rsidRDefault="0000694B" w:rsidP="00D727BF">
      <w:pPr>
        <w:tabs>
          <w:tab w:val="left" w:pos="720"/>
        </w:tabs>
        <w:jc w:val="center"/>
        <w:rPr>
          <w:rFonts w:eastAsia="Times New Roman" w:cs="Times New Roman"/>
          <w:bCs/>
          <w:szCs w:val="24"/>
        </w:rPr>
      </w:pPr>
      <w:r w:rsidRPr="0000694B">
        <w:rPr>
          <w:rFonts w:eastAsia="Times New Roman" w:cs="Times New Roman"/>
          <w:bCs/>
          <w:noProof/>
          <w:szCs w:val="24"/>
        </w:rPr>
        <w:drawing>
          <wp:inline distT="0" distB="0" distL="0" distR="0" wp14:anchorId="2AD9653E" wp14:editId="710DD7E8">
            <wp:extent cx="4238625" cy="214312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EA3F2B4" w14:textId="3A03D922" w:rsidR="00004526" w:rsidRPr="001845F3" w:rsidRDefault="0000694B" w:rsidP="00D727BF">
      <w:pPr>
        <w:tabs>
          <w:tab w:val="left" w:pos="720"/>
        </w:tabs>
        <w:spacing w:after="120"/>
        <w:rPr>
          <w:rFonts w:eastAsia="Times New Roman" w:cs="Times New Roman"/>
          <w:sz w:val="18"/>
          <w:szCs w:val="20"/>
        </w:rPr>
      </w:pPr>
      <w:r w:rsidRPr="001845F3">
        <w:rPr>
          <w:rFonts w:eastAsia="Times New Roman" w:cs="Times New Roman"/>
          <w:sz w:val="18"/>
          <w:szCs w:val="20"/>
        </w:rPr>
        <w:t>Source: Authors</w:t>
      </w:r>
      <w:r w:rsidR="00863D16">
        <w:rPr>
          <w:rFonts w:eastAsia="Times New Roman" w:cs="Times New Roman"/>
          <w:sz w:val="18"/>
          <w:szCs w:val="20"/>
        </w:rPr>
        <w:t>’</w:t>
      </w:r>
      <w:r w:rsidRPr="001845F3">
        <w:rPr>
          <w:rFonts w:eastAsia="Times New Roman" w:cs="Times New Roman"/>
          <w:sz w:val="18"/>
          <w:szCs w:val="20"/>
        </w:rPr>
        <w:t xml:space="preserve"> calculations based on GHS 2012</w:t>
      </w:r>
      <w:r w:rsidR="001F32CA">
        <w:rPr>
          <w:rFonts w:ascii="Calibri" w:eastAsia="Times New Roman" w:hAnsi="Calibri" w:cs="Times New Roman"/>
          <w:sz w:val="18"/>
          <w:szCs w:val="20"/>
        </w:rPr>
        <w:t>‒</w:t>
      </w:r>
      <w:r w:rsidRPr="001845F3">
        <w:rPr>
          <w:rFonts w:eastAsia="Times New Roman" w:cs="Times New Roman"/>
          <w:sz w:val="18"/>
          <w:szCs w:val="20"/>
        </w:rPr>
        <w:t>13</w:t>
      </w:r>
    </w:p>
    <w:p w14:paraId="78CCD155" w14:textId="77777777" w:rsidR="0068477C" w:rsidRPr="00C759C4" w:rsidRDefault="0068477C" w:rsidP="00D727BF">
      <w:pPr>
        <w:tabs>
          <w:tab w:val="left" w:pos="720"/>
        </w:tabs>
        <w:spacing w:after="0"/>
        <w:rPr>
          <w:rFonts w:eastAsia="Times New Roman" w:cs="Times New Roman"/>
          <w:szCs w:val="24"/>
        </w:rPr>
      </w:pPr>
    </w:p>
    <w:p w14:paraId="73F283C4" w14:textId="18EC1E2E" w:rsidR="00E56782" w:rsidRPr="00C62663" w:rsidRDefault="004E78E7" w:rsidP="00D727BF">
      <w:pPr>
        <w:pStyle w:val="ParagraphNumbering"/>
        <w:numPr>
          <w:ilvl w:val="0"/>
          <w:numId w:val="0"/>
        </w:numPr>
        <w:tabs>
          <w:tab w:val="left" w:pos="720"/>
        </w:tabs>
        <w:spacing w:after="0"/>
        <w:rPr>
          <w:bCs w:val="0"/>
        </w:rPr>
      </w:pPr>
      <w:r>
        <w:rPr>
          <w:b/>
        </w:rPr>
        <w:tab/>
      </w:r>
      <w:r w:rsidR="0000694B" w:rsidRPr="0000694B">
        <w:rPr>
          <w:b/>
        </w:rPr>
        <w:t xml:space="preserve">Labor productivity in NFEs is fairly similar </w:t>
      </w:r>
      <w:r w:rsidR="00BF432F">
        <w:rPr>
          <w:b/>
        </w:rPr>
        <w:t xml:space="preserve">for manufacturing and services </w:t>
      </w:r>
      <w:r w:rsidR="0000694B" w:rsidRPr="0000694B">
        <w:rPr>
          <w:b/>
        </w:rPr>
        <w:t xml:space="preserve">and has increased substantially over time. </w:t>
      </w:r>
      <w:r w:rsidR="00A23A84" w:rsidRPr="00086B78">
        <w:rPr>
          <w:rStyle w:val="ListParagraphChar"/>
          <w:rFonts w:eastAsia="Calibri"/>
        </w:rPr>
        <w:fldChar w:fldCharType="begin"/>
      </w:r>
      <w:r w:rsidR="00A23A84" w:rsidRPr="00086B78">
        <w:rPr>
          <w:rStyle w:val="ListParagraphChar"/>
          <w:rFonts w:eastAsia="Calibri"/>
        </w:rPr>
        <w:instrText xml:space="preserve"> REF _Ref445131519 \h </w:instrText>
      </w:r>
      <w:r w:rsidR="00A23A84">
        <w:rPr>
          <w:rStyle w:val="ListParagraphChar"/>
          <w:rFonts w:eastAsia="Calibri"/>
        </w:rPr>
        <w:instrText xml:space="preserve"> \* MERGEFORMAT </w:instrText>
      </w:r>
      <w:r w:rsidR="00A23A84" w:rsidRPr="00086B78">
        <w:rPr>
          <w:rStyle w:val="ListParagraphChar"/>
          <w:rFonts w:eastAsia="Calibri"/>
        </w:rPr>
      </w:r>
      <w:r w:rsidR="00A23A84" w:rsidRPr="00086B78">
        <w:rPr>
          <w:rStyle w:val="ListParagraphChar"/>
          <w:rFonts w:eastAsia="Calibri"/>
        </w:rPr>
        <w:fldChar w:fldCharType="separate"/>
      </w:r>
      <w:r w:rsidR="008A3BBD" w:rsidRPr="00D727BF">
        <w:rPr>
          <w:rStyle w:val="ListParagraphChar"/>
          <w:rFonts w:eastAsia="Calibri"/>
        </w:rPr>
        <w:t>Figure 25</w:t>
      </w:r>
      <w:r w:rsidR="00A23A84" w:rsidRPr="00086B78">
        <w:rPr>
          <w:rStyle w:val="ListParagraphChar"/>
          <w:rFonts w:eastAsia="Calibri"/>
        </w:rPr>
        <w:fldChar w:fldCharType="end"/>
      </w:r>
      <w:r w:rsidR="00A23A84">
        <w:rPr>
          <w:rStyle w:val="ListParagraphChar"/>
          <w:rFonts w:eastAsia="Calibri"/>
        </w:rPr>
        <w:t xml:space="preserve"> and </w:t>
      </w:r>
      <w:r w:rsidR="00A23A84" w:rsidRPr="00086B78">
        <w:rPr>
          <w:rStyle w:val="ListParagraphChar"/>
          <w:rFonts w:eastAsia="Calibri"/>
        </w:rPr>
        <w:fldChar w:fldCharType="begin"/>
      </w:r>
      <w:r w:rsidR="00A23A84" w:rsidRPr="00086B78">
        <w:rPr>
          <w:rStyle w:val="ListParagraphChar"/>
          <w:rFonts w:eastAsia="Calibri"/>
        </w:rPr>
        <w:instrText xml:space="preserve"> REF _Ref445131524 \h </w:instrText>
      </w:r>
      <w:r w:rsidR="00A23A84">
        <w:rPr>
          <w:rStyle w:val="ListParagraphChar"/>
          <w:rFonts w:eastAsia="Calibri"/>
        </w:rPr>
        <w:instrText xml:space="preserve"> \* MERGEFORMAT </w:instrText>
      </w:r>
      <w:r w:rsidR="00A23A84" w:rsidRPr="00086B78">
        <w:rPr>
          <w:rStyle w:val="ListParagraphChar"/>
          <w:rFonts w:eastAsia="Calibri"/>
        </w:rPr>
      </w:r>
      <w:r w:rsidR="00A23A84" w:rsidRPr="00086B78">
        <w:rPr>
          <w:rStyle w:val="ListParagraphChar"/>
          <w:rFonts w:eastAsia="Calibri"/>
        </w:rPr>
        <w:fldChar w:fldCharType="separate"/>
      </w:r>
      <w:r w:rsidR="00B20E09">
        <w:rPr>
          <w:rStyle w:val="ListParagraphChar"/>
          <w:rFonts w:eastAsia="Calibri"/>
        </w:rPr>
        <w:t>figure</w:t>
      </w:r>
      <w:r w:rsidR="008A3BBD" w:rsidRPr="00D727BF">
        <w:rPr>
          <w:rStyle w:val="ListParagraphChar"/>
          <w:rFonts w:eastAsia="Calibri"/>
        </w:rPr>
        <w:t xml:space="preserve"> 26</w:t>
      </w:r>
      <w:r w:rsidR="00A23A84" w:rsidRPr="00086B78">
        <w:rPr>
          <w:rStyle w:val="ListParagraphChar"/>
          <w:rFonts w:eastAsia="Calibri"/>
        </w:rPr>
        <w:fldChar w:fldCharType="end"/>
      </w:r>
      <w:r w:rsidR="00B67219">
        <w:rPr>
          <w:b/>
        </w:rPr>
        <w:t xml:space="preserve"> </w:t>
      </w:r>
      <w:r w:rsidR="0000694B" w:rsidRPr="0000694B">
        <w:t xml:space="preserve">depict the level of productivity in services and manufacturing </w:t>
      </w:r>
      <w:r w:rsidR="00885D08">
        <w:t xml:space="preserve">across </w:t>
      </w:r>
      <w:r w:rsidR="0000694B" w:rsidRPr="0000694B">
        <w:t>two survey rounds</w:t>
      </w:r>
      <w:r w:rsidR="00567128">
        <w:t xml:space="preserve"> (</w:t>
      </w:r>
      <w:r w:rsidR="00B20E09">
        <w:t>w</w:t>
      </w:r>
      <w:r w:rsidR="00567128">
        <w:t xml:space="preserve">ave 1 and </w:t>
      </w:r>
      <w:r w:rsidR="00B20E09">
        <w:t>w</w:t>
      </w:r>
      <w:r w:rsidR="00567128">
        <w:t>ave 2)</w:t>
      </w:r>
      <w:r w:rsidR="0000694B" w:rsidRPr="0000694B">
        <w:t xml:space="preserve">. The graph suggests that revenues per worker are higher in services than in manufacturing. </w:t>
      </w:r>
      <w:r w:rsidR="00885D08">
        <w:t>The opposite effect</w:t>
      </w:r>
      <w:r w:rsidR="0000694B" w:rsidRPr="0000694B">
        <w:t xml:space="preserve"> is observed for TFP, </w:t>
      </w:r>
      <w:r w:rsidR="00BF432F">
        <w:t>al</w:t>
      </w:r>
      <w:r w:rsidR="0000694B" w:rsidRPr="0000694B">
        <w:t xml:space="preserve">though firm performance appears much more dispersed in this sector than in </w:t>
      </w:r>
      <w:r w:rsidR="0000694B" w:rsidRPr="00C62663">
        <w:rPr>
          <w:bCs w:val="0"/>
        </w:rPr>
        <w:t xml:space="preserve">services. This graph also shows an increase in both labor and total factor productivity over time. </w:t>
      </w:r>
    </w:p>
    <w:tbl>
      <w:tblPr>
        <w:tblStyle w:val="TableGrid2"/>
        <w:tblpPr w:leftFromText="180" w:rightFromText="180"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753"/>
      </w:tblGrid>
      <w:tr w:rsidR="00892DE4" w:rsidRPr="0000694B" w14:paraId="51A3DED0" w14:textId="77777777" w:rsidTr="00892DE4">
        <w:tc>
          <w:tcPr>
            <w:tcW w:w="4823" w:type="dxa"/>
          </w:tcPr>
          <w:p w14:paraId="39B5D92F" w14:textId="77777777" w:rsidR="00892DE4" w:rsidRPr="001845F3" w:rsidRDefault="00892DE4" w:rsidP="00D727BF">
            <w:pPr>
              <w:keepNext/>
              <w:tabs>
                <w:tab w:val="left" w:pos="720"/>
              </w:tabs>
              <w:spacing w:after="0"/>
              <w:ind w:left="20" w:hanging="20"/>
              <w:rPr>
                <w:rFonts w:eastAsia="Calibri" w:cs="Times New Roman"/>
                <w:bCs/>
                <w:color w:val="0B73B6" w:themeColor="background2" w:themeShade="BF"/>
                <w:szCs w:val="24"/>
              </w:rPr>
            </w:pPr>
          </w:p>
          <w:p w14:paraId="1059B7F8" w14:textId="4E99B161" w:rsidR="00892DE4" w:rsidRPr="0000694B" w:rsidRDefault="0068477C" w:rsidP="00D727BF">
            <w:pPr>
              <w:keepNext/>
              <w:tabs>
                <w:tab w:val="left" w:pos="720"/>
              </w:tabs>
              <w:spacing w:after="0"/>
              <w:ind w:left="20" w:hanging="20"/>
              <w:jc w:val="center"/>
              <w:rPr>
                <w:rFonts w:ascii="Trebuchet MS" w:eastAsia="Calibri" w:hAnsi="Trebuchet MS" w:cs="Times New Roman"/>
                <w:b/>
                <w:bCs/>
                <w:color w:val="0B73B6" w:themeColor="background2" w:themeShade="BF"/>
                <w:sz w:val="20"/>
                <w:szCs w:val="18"/>
              </w:rPr>
            </w:pPr>
            <w:bookmarkStart w:id="144" w:name="_Ref445131519"/>
            <w:bookmarkStart w:id="145" w:name="_Toc445449643"/>
            <w:r w:rsidRPr="00C759C4">
              <w:rPr>
                <w:rFonts w:ascii="Trebuchet MS" w:eastAsia="Calibri" w:hAnsi="Trebuchet MS" w:cs="Times New Roman"/>
                <w:b/>
                <w:bCs/>
                <w:color w:val="0B73B6" w:themeColor="background2" w:themeShade="BF"/>
                <w:sz w:val="20"/>
                <w:szCs w:val="18"/>
              </w:rPr>
              <w:t>Figure</w:t>
            </w:r>
            <w:r w:rsidRPr="00C759C4">
              <w:rPr>
                <w:b/>
              </w:rPr>
              <w:t xml:space="preserve"> </w:t>
            </w:r>
            <w:r w:rsidR="00D92B55" w:rsidRPr="00086B78">
              <w:rPr>
                <w:rFonts w:ascii="Trebuchet MS" w:eastAsia="Calibri" w:hAnsi="Trebuchet MS" w:cs="Times New Roman"/>
                <w:b/>
                <w:bCs/>
                <w:color w:val="0B73B6" w:themeColor="background2" w:themeShade="BF"/>
                <w:sz w:val="20"/>
                <w:szCs w:val="18"/>
              </w:rPr>
              <w:fldChar w:fldCharType="begin"/>
            </w:r>
            <w:r w:rsidR="00D92B55" w:rsidRPr="00086B78">
              <w:rPr>
                <w:rFonts w:ascii="Trebuchet MS" w:eastAsia="Calibri" w:hAnsi="Trebuchet MS" w:cs="Times New Roman"/>
                <w:b/>
                <w:bCs/>
                <w:color w:val="0B73B6" w:themeColor="background2" w:themeShade="BF"/>
                <w:sz w:val="20"/>
                <w:szCs w:val="18"/>
              </w:rPr>
              <w:instrText xml:space="preserve"> SEQ Figure \* ARABIC </w:instrText>
            </w:r>
            <w:r w:rsidR="00D92B55" w:rsidRPr="00086B78">
              <w:rPr>
                <w:rFonts w:ascii="Trebuchet MS" w:eastAsia="Calibri" w:hAnsi="Trebuchet MS" w:cs="Times New Roman"/>
                <w:b/>
                <w:bCs/>
                <w:color w:val="0B73B6" w:themeColor="background2" w:themeShade="BF"/>
                <w:sz w:val="20"/>
                <w:szCs w:val="18"/>
              </w:rPr>
              <w:fldChar w:fldCharType="separate"/>
            </w:r>
            <w:r w:rsidR="008A3BBD">
              <w:rPr>
                <w:rFonts w:ascii="Trebuchet MS" w:eastAsia="Calibri" w:hAnsi="Trebuchet MS" w:cs="Times New Roman"/>
                <w:b/>
                <w:bCs/>
                <w:noProof/>
                <w:color w:val="0B73B6" w:themeColor="background2" w:themeShade="BF"/>
                <w:sz w:val="20"/>
                <w:szCs w:val="18"/>
              </w:rPr>
              <w:t>25</w:t>
            </w:r>
            <w:r w:rsidR="00D92B55" w:rsidRPr="00086B78">
              <w:rPr>
                <w:rFonts w:ascii="Trebuchet MS" w:eastAsia="Calibri" w:hAnsi="Trebuchet MS" w:cs="Times New Roman"/>
                <w:b/>
                <w:bCs/>
                <w:color w:val="0B73B6" w:themeColor="background2" w:themeShade="BF"/>
                <w:sz w:val="20"/>
                <w:szCs w:val="18"/>
              </w:rPr>
              <w:fldChar w:fldCharType="end"/>
            </w:r>
            <w:bookmarkEnd w:id="144"/>
            <w:r w:rsidR="00892DE4" w:rsidRPr="0000694B">
              <w:rPr>
                <w:rFonts w:ascii="Trebuchet MS" w:eastAsia="Calibri" w:hAnsi="Trebuchet MS" w:cs="Times New Roman"/>
                <w:b/>
                <w:bCs/>
                <w:color w:val="0B73B6" w:themeColor="background2" w:themeShade="BF"/>
                <w:sz w:val="20"/>
                <w:szCs w:val="18"/>
              </w:rPr>
              <w:t xml:space="preserve">: </w:t>
            </w:r>
            <w:r w:rsidR="00892DE4">
              <w:rPr>
                <w:rFonts w:ascii="Trebuchet MS" w:eastAsia="Calibri" w:hAnsi="Trebuchet MS" w:cs="Times New Roman"/>
                <w:b/>
                <w:bCs/>
                <w:color w:val="0B73B6" w:themeColor="background2" w:themeShade="BF"/>
                <w:sz w:val="20"/>
                <w:szCs w:val="18"/>
              </w:rPr>
              <w:t xml:space="preserve">Log of </w:t>
            </w:r>
            <w:r w:rsidR="00892DE4" w:rsidRPr="0000694B">
              <w:rPr>
                <w:rFonts w:ascii="Trebuchet MS" w:eastAsia="Calibri" w:hAnsi="Trebuchet MS" w:cs="Times New Roman"/>
                <w:b/>
                <w:bCs/>
                <w:color w:val="0B73B6" w:themeColor="background2" w:themeShade="BF"/>
                <w:sz w:val="20"/>
                <w:szCs w:val="18"/>
              </w:rPr>
              <w:t xml:space="preserve">Real Sales per </w:t>
            </w:r>
            <w:r w:rsidR="00892DE4">
              <w:rPr>
                <w:rFonts w:ascii="Trebuchet MS" w:eastAsia="Calibri" w:hAnsi="Trebuchet MS" w:cs="Times New Roman"/>
                <w:b/>
                <w:bCs/>
                <w:color w:val="0B73B6" w:themeColor="background2" w:themeShade="BF"/>
                <w:sz w:val="20"/>
                <w:szCs w:val="18"/>
              </w:rPr>
              <w:t>P</w:t>
            </w:r>
            <w:r w:rsidR="00892DE4" w:rsidRPr="0000694B">
              <w:rPr>
                <w:rFonts w:ascii="Trebuchet MS" w:eastAsia="Calibri" w:hAnsi="Trebuchet MS" w:cs="Times New Roman"/>
                <w:b/>
                <w:bCs/>
                <w:color w:val="0B73B6" w:themeColor="background2" w:themeShade="BF"/>
                <w:sz w:val="20"/>
                <w:szCs w:val="18"/>
              </w:rPr>
              <w:t xml:space="preserve">aid </w:t>
            </w:r>
            <w:r w:rsidR="00892DE4">
              <w:rPr>
                <w:rFonts w:ascii="Trebuchet MS" w:eastAsia="Calibri" w:hAnsi="Trebuchet MS" w:cs="Times New Roman"/>
                <w:b/>
                <w:bCs/>
                <w:color w:val="0B73B6" w:themeColor="background2" w:themeShade="BF"/>
                <w:sz w:val="20"/>
                <w:szCs w:val="18"/>
              </w:rPr>
              <w:t>W</w:t>
            </w:r>
            <w:r w:rsidR="00892DE4" w:rsidRPr="0000694B">
              <w:rPr>
                <w:rFonts w:ascii="Trebuchet MS" w:eastAsia="Calibri" w:hAnsi="Trebuchet MS" w:cs="Times New Roman"/>
                <w:b/>
                <w:bCs/>
                <w:color w:val="0B73B6" w:themeColor="background2" w:themeShade="BF"/>
                <w:sz w:val="20"/>
                <w:szCs w:val="18"/>
              </w:rPr>
              <w:t xml:space="preserve">orker </w:t>
            </w:r>
            <w:r w:rsidR="00892DE4">
              <w:rPr>
                <w:rFonts w:ascii="Trebuchet MS" w:eastAsia="Calibri" w:hAnsi="Trebuchet MS" w:cs="Times New Roman"/>
                <w:b/>
                <w:bCs/>
                <w:color w:val="0B73B6" w:themeColor="background2" w:themeShade="BF"/>
                <w:sz w:val="20"/>
                <w:szCs w:val="18"/>
              </w:rPr>
              <w:t>(US$)</w:t>
            </w:r>
            <w:bookmarkEnd w:id="145"/>
          </w:p>
          <w:p w14:paraId="5CF35B0A" w14:textId="77777777" w:rsidR="00892DE4" w:rsidRPr="0000694B" w:rsidRDefault="00892DE4" w:rsidP="00D727BF">
            <w:pPr>
              <w:tabs>
                <w:tab w:val="left" w:pos="720"/>
              </w:tabs>
              <w:spacing w:after="0"/>
              <w:ind w:left="20" w:hanging="20"/>
              <w:rPr>
                <w:rFonts w:eastAsia="Times New Roman" w:cs="Times New Roman"/>
                <w:bCs/>
                <w:szCs w:val="24"/>
              </w:rPr>
            </w:pPr>
            <w:r w:rsidRPr="0000694B">
              <w:rPr>
                <w:rFonts w:eastAsia="Times New Roman" w:cs="Times New Roman"/>
                <w:bCs/>
                <w:noProof/>
                <w:szCs w:val="24"/>
              </w:rPr>
              <w:drawing>
                <wp:inline distT="0" distB="0" distL="0" distR="0" wp14:anchorId="3B20DE0F" wp14:editId="76F3CC2C">
                  <wp:extent cx="3095625" cy="180908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95625" cy="1809089"/>
                          </a:xfrm>
                          <a:prstGeom prst="rect">
                            <a:avLst/>
                          </a:prstGeom>
                        </pic:spPr>
                      </pic:pic>
                    </a:graphicData>
                  </a:graphic>
                </wp:inline>
              </w:drawing>
            </w:r>
          </w:p>
        </w:tc>
        <w:tc>
          <w:tcPr>
            <w:tcW w:w="4753" w:type="dxa"/>
          </w:tcPr>
          <w:p w14:paraId="7EF88671" w14:textId="77777777" w:rsidR="00892DE4" w:rsidRPr="001845F3" w:rsidRDefault="00892DE4" w:rsidP="00D727BF">
            <w:pPr>
              <w:keepNext/>
              <w:tabs>
                <w:tab w:val="left" w:pos="720"/>
              </w:tabs>
              <w:spacing w:after="0"/>
              <w:ind w:left="20" w:hanging="20"/>
              <w:rPr>
                <w:rFonts w:eastAsia="Calibri" w:cs="Times New Roman"/>
                <w:bCs/>
                <w:color w:val="0B73B6" w:themeColor="background2" w:themeShade="BF"/>
                <w:szCs w:val="24"/>
              </w:rPr>
            </w:pPr>
          </w:p>
          <w:p w14:paraId="1F4A87E7" w14:textId="12426173" w:rsidR="00892DE4" w:rsidRPr="0000694B" w:rsidRDefault="00892DE4" w:rsidP="00D727BF">
            <w:pPr>
              <w:keepNext/>
              <w:tabs>
                <w:tab w:val="left" w:pos="720"/>
              </w:tabs>
              <w:spacing w:after="0"/>
              <w:ind w:left="20" w:hanging="20"/>
              <w:jc w:val="center"/>
              <w:rPr>
                <w:rFonts w:ascii="Trebuchet MS" w:eastAsia="Calibri" w:hAnsi="Trebuchet MS" w:cs="Times New Roman"/>
                <w:b/>
                <w:bCs/>
                <w:color w:val="0B73B6" w:themeColor="background2" w:themeShade="BF"/>
                <w:sz w:val="20"/>
                <w:szCs w:val="18"/>
              </w:rPr>
            </w:pPr>
            <w:bookmarkStart w:id="146" w:name="_Ref431669738"/>
            <w:bookmarkStart w:id="147" w:name="_Ref445131524"/>
            <w:bookmarkStart w:id="148" w:name="_Toc445449644"/>
            <w:r w:rsidRPr="0000694B">
              <w:rPr>
                <w:rFonts w:ascii="Trebuchet MS" w:eastAsia="Calibri" w:hAnsi="Trebuchet MS" w:cs="Times New Roman"/>
                <w:b/>
                <w:bCs/>
                <w:color w:val="0B73B6" w:themeColor="background2" w:themeShade="BF"/>
                <w:sz w:val="20"/>
                <w:szCs w:val="18"/>
              </w:rPr>
              <w:t xml:space="preserve">Figure </w:t>
            </w:r>
            <w:r w:rsidR="00D92B55">
              <w:rPr>
                <w:rFonts w:ascii="Trebuchet MS" w:eastAsia="Calibri" w:hAnsi="Trebuchet MS" w:cs="Times New Roman"/>
                <w:b/>
                <w:bCs/>
                <w:color w:val="0B73B6" w:themeColor="background2" w:themeShade="BF"/>
                <w:sz w:val="20"/>
                <w:szCs w:val="18"/>
              </w:rPr>
              <w:fldChar w:fldCharType="begin"/>
            </w:r>
            <w:r w:rsidR="00D92B55">
              <w:rPr>
                <w:rFonts w:ascii="Trebuchet MS" w:eastAsia="Calibri" w:hAnsi="Trebuchet MS" w:cs="Times New Roman"/>
                <w:b/>
                <w:bCs/>
                <w:color w:val="0B73B6" w:themeColor="background2" w:themeShade="BF"/>
                <w:sz w:val="20"/>
                <w:szCs w:val="18"/>
              </w:rPr>
              <w:instrText xml:space="preserve"> SEQ Figure \* ARABIC </w:instrText>
            </w:r>
            <w:r w:rsidR="00D92B55">
              <w:rPr>
                <w:rFonts w:ascii="Trebuchet MS" w:eastAsia="Calibri" w:hAnsi="Trebuchet MS" w:cs="Times New Roman"/>
                <w:b/>
                <w:bCs/>
                <w:color w:val="0B73B6" w:themeColor="background2" w:themeShade="BF"/>
                <w:sz w:val="20"/>
                <w:szCs w:val="18"/>
              </w:rPr>
              <w:fldChar w:fldCharType="separate"/>
            </w:r>
            <w:r w:rsidR="008A3BBD">
              <w:rPr>
                <w:rFonts w:ascii="Trebuchet MS" w:eastAsia="Calibri" w:hAnsi="Trebuchet MS" w:cs="Times New Roman"/>
                <w:b/>
                <w:bCs/>
                <w:noProof/>
                <w:color w:val="0B73B6" w:themeColor="background2" w:themeShade="BF"/>
                <w:sz w:val="20"/>
                <w:szCs w:val="18"/>
              </w:rPr>
              <w:t>26</w:t>
            </w:r>
            <w:r w:rsidR="00D92B55">
              <w:rPr>
                <w:rFonts w:ascii="Trebuchet MS" w:eastAsia="Calibri" w:hAnsi="Trebuchet MS" w:cs="Times New Roman"/>
                <w:b/>
                <w:bCs/>
                <w:color w:val="0B73B6" w:themeColor="background2" w:themeShade="BF"/>
                <w:sz w:val="20"/>
                <w:szCs w:val="18"/>
              </w:rPr>
              <w:fldChar w:fldCharType="end"/>
            </w:r>
            <w:bookmarkEnd w:id="146"/>
            <w:bookmarkEnd w:id="147"/>
            <w:r w:rsidRPr="0000694B">
              <w:rPr>
                <w:rFonts w:ascii="Trebuchet MS" w:eastAsia="Calibri" w:hAnsi="Trebuchet MS" w:cs="Times New Roman"/>
                <w:b/>
                <w:bCs/>
                <w:color w:val="0B73B6" w:themeColor="background2" w:themeShade="BF"/>
                <w:sz w:val="20"/>
                <w:szCs w:val="18"/>
              </w:rPr>
              <w:t xml:space="preserve">: </w:t>
            </w:r>
            <w:r>
              <w:rPr>
                <w:rFonts w:ascii="Trebuchet MS" w:eastAsia="Calibri" w:hAnsi="Trebuchet MS" w:cs="Times New Roman"/>
                <w:b/>
                <w:bCs/>
                <w:color w:val="0B73B6" w:themeColor="background2" w:themeShade="BF"/>
                <w:sz w:val="20"/>
                <w:szCs w:val="18"/>
              </w:rPr>
              <w:t xml:space="preserve">Log of </w:t>
            </w:r>
            <w:r w:rsidRPr="0000694B">
              <w:rPr>
                <w:rFonts w:ascii="Trebuchet MS" w:eastAsia="Calibri" w:hAnsi="Trebuchet MS" w:cs="Times New Roman"/>
                <w:b/>
                <w:bCs/>
                <w:color w:val="0B73B6" w:themeColor="background2" w:themeShade="BF"/>
                <w:sz w:val="20"/>
                <w:szCs w:val="18"/>
              </w:rPr>
              <w:t>Total Factor Productivity</w:t>
            </w:r>
            <w:bookmarkEnd w:id="148"/>
          </w:p>
          <w:p w14:paraId="094C5D4C" w14:textId="77777777" w:rsidR="00892DE4" w:rsidRPr="0000694B" w:rsidRDefault="00892DE4" w:rsidP="00D727BF">
            <w:pPr>
              <w:tabs>
                <w:tab w:val="left" w:pos="720"/>
              </w:tabs>
              <w:spacing w:after="0"/>
              <w:ind w:left="20" w:hanging="20"/>
              <w:rPr>
                <w:rFonts w:eastAsia="Times New Roman" w:cs="Times New Roman"/>
                <w:bCs/>
                <w:szCs w:val="24"/>
              </w:rPr>
            </w:pPr>
            <w:r w:rsidRPr="0000694B">
              <w:rPr>
                <w:rFonts w:eastAsia="Times New Roman" w:cs="Times New Roman"/>
                <w:bCs/>
                <w:noProof/>
                <w:szCs w:val="24"/>
              </w:rPr>
              <w:drawing>
                <wp:inline distT="0" distB="0" distL="0" distR="0" wp14:anchorId="01ECB551" wp14:editId="70F48551">
                  <wp:extent cx="3045050" cy="18478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48550" cy="1849974"/>
                          </a:xfrm>
                          <a:prstGeom prst="rect">
                            <a:avLst/>
                          </a:prstGeom>
                        </pic:spPr>
                      </pic:pic>
                    </a:graphicData>
                  </a:graphic>
                </wp:inline>
              </w:drawing>
            </w:r>
          </w:p>
        </w:tc>
      </w:tr>
      <w:tr w:rsidR="00892DE4" w:rsidRPr="0000694B" w14:paraId="37ACB402" w14:textId="77777777" w:rsidTr="00892DE4">
        <w:tc>
          <w:tcPr>
            <w:tcW w:w="9576" w:type="dxa"/>
            <w:gridSpan w:val="2"/>
          </w:tcPr>
          <w:p w14:paraId="16A79FDE" w14:textId="77777777" w:rsidR="00892DE4" w:rsidRPr="0000694B" w:rsidRDefault="00892DE4" w:rsidP="00D727BF">
            <w:pPr>
              <w:tabs>
                <w:tab w:val="left" w:pos="720"/>
              </w:tabs>
              <w:spacing w:after="0"/>
              <w:ind w:left="20" w:hanging="20"/>
              <w:jc w:val="center"/>
              <w:rPr>
                <w:rFonts w:ascii="Trebuchet MS" w:eastAsia="Times New Roman" w:hAnsi="Trebuchet MS" w:cs="Times New Roman"/>
                <w:bCs/>
                <w:szCs w:val="24"/>
              </w:rPr>
            </w:pPr>
            <w:r w:rsidRPr="0000694B">
              <w:rPr>
                <w:rFonts w:eastAsia="Times New Roman" w:cs="Times New Roman"/>
                <w:bCs/>
                <w:noProof/>
                <w:szCs w:val="24"/>
              </w:rPr>
              <w:drawing>
                <wp:inline distT="0" distB="0" distL="0" distR="0" wp14:anchorId="6FAB6AAA" wp14:editId="1E27DE71">
                  <wp:extent cx="3143250" cy="3445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11378" cy="352016"/>
                          </a:xfrm>
                          <a:prstGeom prst="rect">
                            <a:avLst/>
                          </a:prstGeom>
                        </pic:spPr>
                      </pic:pic>
                    </a:graphicData>
                  </a:graphic>
                </wp:inline>
              </w:drawing>
            </w:r>
          </w:p>
        </w:tc>
      </w:tr>
    </w:tbl>
    <w:p w14:paraId="77827894" w14:textId="6A8FD08C" w:rsidR="00BF432F" w:rsidRPr="001845F3" w:rsidRDefault="00BF432F" w:rsidP="00D727BF">
      <w:pPr>
        <w:tabs>
          <w:tab w:val="left" w:pos="720"/>
        </w:tabs>
        <w:spacing w:before="120" w:after="120"/>
        <w:rPr>
          <w:rFonts w:eastAsia="Times New Roman" w:cs="Times New Roman"/>
          <w:sz w:val="18"/>
          <w:szCs w:val="20"/>
        </w:rPr>
      </w:pPr>
      <w:r w:rsidRPr="001845F3">
        <w:rPr>
          <w:rFonts w:eastAsia="Times New Roman" w:cs="Times New Roman"/>
          <w:sz w:val="18"/>
          <w:szCs w:val="20"/>
        </w:rPr>
        <w:t>Source: Authors</w:t>
      </w:r>
      <w:r w:rsidR="00863D16">
        <w:rPr>
          <w:rFonts w:eastAsia="Times New Roman" w:cs="Times New Roman"/>
          <w:sz w:val="18"/>
          <w:szCs w:val="20"/>
        </w:rPr>
        <w:t>’</w:t>
      </w:r>
      <w:r w:rsidRPr="001845F3">
        <w:rPr>
          <w:rFonts w:eastAsia="Times New Roman" w:cs="Times New Roman"/>
          <w:sz w:val="18"/>
          <w:szCs w:val="20"/>
        </w:rPr>
        <w:t xml:space="preserve"> calculations based on GHS 2010</w:t>
      </w:r>
      <w:r w:rsidR="00B20E09">
        <w:rPr>
          <w:rFonts w:ascii="Calibri" w:eastAsia="Times New Roman" w:hAnsi="Calibri" w:cs="Times New Roman"/>
          <w:sz w:val="18"/>
          <w:szCs w:val="20"/>
        </w:rPr>
        <w:t>‒</w:t>
      </w:r>
      <w:r w:rsidRPr="001845F3">
        <w:rPr>
          <w:rFonts w:eastAsia="Times New Roman" w:cs="Times New Roman"/>
          <w:sz w:val="18"/>
          <w:szCs w:val="20"/>
        </w:rPr>
        <w:t>11 and 2012</w:t>
      </w:r>
      <w:r w:rsidR="00B20E09">
        <w:rPr>
          <w:rFonts w:ascii="Calibri" w:eastAsia="Times New Roman" w:hAnsi="Calibri" w:cs="Times New Roman"/>
          <w:sz w:val="18"/>
          <w:szCs w:val="20"/>
        </w:rPr>
        <w:t>‒</w:t>
      </w:r>
      <w:r w:rsidRPr="001845F3">
        <w:rPr>
          <w:rFonts w:eastAsia="Times New Roman" w:cs="Times New Roman"/>
          <w:sz w:val="18"/>
          <w:szCs w:val="20"/>
        </w:rPr>
        <w:t>13</w:t>
      </w:r>
    </w:p>
    <w:p w14:paraId="6358CD62" w14:textId="04BCE92F" w:rsidR="00BF432F" w:rsidRPr="001845F3" w:rsidRDefault="00BF432F" w:rsidP="00D727BF">
      <w:pPr>
        <w:tabs>
          <w:tab w:val="left" w:pos="720"/>
        </w:tabs>
        <w:spacing w:after="0"/>
        <w:rPr>
          <w:rFonts w:eastAsia="Times New Roman" w:cs="Times New Roman"/>
          <w:sz w:val="18"/>
          <w:szCs w:val="20"/>
        </w:rPr>
      </w:pPr>
      <w:r w:rsidRPr="001845F3">
        <w:rPr>
          <w:rFonts w:eastAsia="Times New Roman" w:cs="Times New Roman"/>
          <w:sz w:val="18"/>
          <w:szCs w:val="20"/>
        </w:rPr>
        <w:t>Note:</w:t>
      </w:r>
      <w:r w:rsidR="00F428F9" w:rsidRPr="001845F3">
        <w:rPr>
          <w:rFonts w:eastAsia="Times New Roman" w:cs="Times New Roman"/>
          <w:sz w:val="18"/>
          <w:szCs w:val="20"/>
        </w:rPr>
        <w:t xml:space="preserve"> </w:t>
      </w:r>
      <w:r w:rsidRPr="001845F3">
        <w:rPr>
          <w:rFonts w:eastAsia="Times New Roman" w:cs="Times New Roman"/>
          <w:sz w:val="18"/>
          <w:szCs w:val="20"/>
        </w:rPr>
        <w:t xml:space="preserve">Wave 1 represents GHS </w:t>
      </w:r>
      <w:r w:rsidR="000A5802" w:rsidRPr="001845F3">
        <w:rPr>
          <w:rFonts w:eastAsia="Times New Roman" w:cs="Times New Roman"/>
          <w:sz w:val="18"/>
          <w:szCs w:val="20"/>
        </w:rPr>
        <w:t>2010</w:t>
      </w:r>
      <w:r w:rsidR="000A5802">
        <w:rPr>
          <w:rFonts w:ascii="Calibri" w:eastAsia="Times New Roman" w:hAnsi="Calibri" w:cs="Times New Roman"/>
          <w:sz w:val="18"/>
          <w:szCs w:val="20"/>
        </w:rPr>
        <w:t>‒</w:t>
      </w:r>
      <w:r w:rsidR="000A5802" w:rsidRPr="001845F3">
        <w:rPr>
          <w:rFonts w:eastAsia="Times New Roman" w:cs="Times New Roman"/>
          <w:sz w:val="18"/>
          <w:szCs w:val="20"/>
        </w:rPr>
        <w:t>11</w:t>
      </w:r>
      <w:r w:rsidRPr="001845F3">
        <w:rPr>
          <w:rFonts w:eastAsia="Times New Roman" w:cs="Times New Roman"/>
          <w:sz w:val="18"/>
          <w:szCs w:val="20"/>
        </w:rPr>
        <w:t xml:space="preserve">; Wave 2 represents GHS </w:t>
      </w:r>
      <w:r w:rsidR="000A5802" w:rsidRPr="001845F3">
        <w:rPr>
          <w:rFonts w:eastAsia="Times New Roman" w:cs="Times New Roman"/>
          <w:sz w:val="18"/>
          <w:szCs w:val="20"/>
        </w:rPr>
        <w:t>2012</w:t>
      </w:r>
      <w:r w:rsidR="000A5802">
        <w:rPr>
          <w:rFonts w:ascii="Calibri" w:eastAsia="Times New Roman" w:hAnsi="Calibri" w:cs="Times New Roman"/>
          <w:sz w:val="18"/>
          <w:szCs w:val="20"/>
        </w:rPr>
        <w:t>‒</w:t>
      </w:r>
      <w:r w:rsidR="000A5802" w:rsidRPr="001845F3">
        <w:rPr>
          <w:rFonts w:eastAsia="Times New Roman" w:cs="Times New Roman"/>
          <w:sz w:val="18"/>
          <w:szCs w:val="20"/>
        </w:rPr>
        <w:t>13</w:t>
      </w:r>
    </w:p>
    <w:p w14:paraId="100AB14D" w14:textId="6769A36D" w:rsidR="00BF432F" w:rsidRPr="00B67219" w:rsidRDefault="004E78E7" w:rsidP="00D727BF">
      <w:pPr>
        <w:pStyle w:val="ParagraphNumbering"/>
        <w:numPr>
          <w:ilvl w:val="0"/>
          <w:numId w:val="0"/>
        </w:numPr>
        <w:tabs>
          <w:tab w:val="left" w:pos="720"/>
        </w:tabs>
        <w:spacing w:after="240"/>
        <w:rPr>
          <w:rFonts w:ascii="Trebuchet MS" w:eastAsia="Calibri" w:hAnsi="Trebuchet MS"/>
          <w:b/>
          <w:color w:val="0B73B6" w:themeColor="background2" w:themeShade="BF"/>
          <w:sz w:val="20"/>
          <w:szCs w:val="18"/>
        </w:rPr>
      </w:pPr>
      <w:r>
        <w:rPr>
          <w:b/>
        </w:rPr>
        <w:tab/>
      </w:r>
      <w:r w:rsidR="00892DE4" w:rsidRPr="00AE6F13">
        <w:rPr>
          <w:b/>
        </w:rPr>
        <w:t>Women</w:t>
      </w:r>
      <w:r w:rsidR="008465B0" w:rsidRPr="00FC4AF5">
        <w:rPr>
          <w:b/>
        </w:rPr>
        <w:t>-</w:t>
      </w:r>
      <w:r w:rsidR="00892DE4" w:rsidRPr="00C57ECD">
        <w:rPr>
          <w:b/>
        </w:rPr>
        <w:t>owned enterprises fare worse than male</w:t>
      </w:r>
      <w:r w:rsidR="008465B0" w:rsidRPr="00B32A87">
        <w:rPr>
          <w:b/>
        </w:rPr>
        <w:t>-</w:t>
      </w:r>
      <w:r w:rsidR="00892DE4" w:rsidRPr="007A3289">
        <w:rPr>
          <w:b/>
        </w:rPr>
        <w:t>owned enterprises.</w:t>
      </w:r>
      <w:r w:rsidR="00892DE4" w:rsidRPr="0000694B">
        <w:t xml:space="preserve"> There is a wide </w:t>
      </w:r>
      <w:r w:rsidR="00885D08">
        <w:t xml:space="preserve">array of </w:t>
      </w:r>
      <w:r w:rsidR="00892DE4" w:rsidRPr="0000694B">
        <w:t>literature o</w:t>
      </w:r>
      <w:r w:rsidR="008465B0">
        <w:t>n</w:t>
      </w:r>
      <w:r w:rsidR="00892DE4" w:rsidRPr="0000694B">
        <w:t xml:space="preserve"> the existence of a gender gap</w:t>
      </w:r>
      <w:r w:rsidR="008465B0">
        <w:t xml:space="preserve"> in NFEs</w:t>
      </w:r>
      <w:r w:rsidR="00892DE4" w:rsidRPr="0000694B">
        <w:t>, in particular in agriculture</w:t>
      </w:r>
      <w:r w:rsidR="00892DE4" w:rsidRPr="0000694B">
        <w:rPr>
          <w:vertAlign w:val="superscript"/>
        </w:rPr>
        <w:footnoteReference w:id="28"/>
      </w:r>
      <w:r w:rsidR="00892DE4" w:rsidRPr="0000694B">
        <w:t xml:space="preserve"> and </w:t>
      </w:r>
      <w:r w:rsidR="00892DE4" w:rsidRPr="0000694B">
        <w:lastRenderedPageBreak/>
        <w:t>entrepreneurship</w:t>
      </w:r>
      <w:r w:rsidR="00885D08">
        <w:t xml:space="preserve"> sectors</w:t>
      </w:r>
      <w:r w:rsidR="008465B0">
        <w:t>.</w:t>
      </w:r>
      <w:r w:rsidR="00892DE4" w:rsidRPr="0000694B">
        <w:rPr>
          <w:vertAlign w:val="superscript"/>
        </w:rPr>
        <w:footnoteReference w:id="29"/>
      </w:r>
      <w:r w:rsidR="00F428F9">
        <w:t xml:space="preserve"> </w:t>
      </w:r>
      <w:r w:rsidR="00892DE4" w:rsidRPr="0000694B">
        <w:t xml:space="preserve">In most countries, female-headed firms are smaller and less productive. </w:t>
      </w:r>
      <w:r w:rsidR="00A23A84" w:rsidRPr="00086B78">
        <w:rPr>
          <w:rStyle w:val="ListParagraphChar"/>
          <w:rFonts w:eastAsia="Calibri"/>
        </w:rPr>
        <w:fldChar w:fldCharType="begin"/>
      </w:r>
      <w:r w:rsidR="00A23A84" w:rsidRPr="00086B78">
        <w:rPr>
          <w:rStyle w:val="ListParagraphChar"/>
          <w:rFonts w:eastAsia="Calibri"/>
        </w:rPr>
        <w:instrText xml:space="preserve"> REF _Ref445131558 \h </w:instrText>
      </w:r>
      <w:r w:rsidR="00A23A84">
        <w:rPr>
          <w:rStyle w:val="ListParagraphChar"/>
          <w:rFonts w:eastAsia="Calibri"/>
        </w:rPr>
        <w:instrText xml:space="preserve"> \* MERGEFORMAT </w:instrText>
      </w:r>
      <w:r w:rsidR="00A23A84" w:rsidRPr="00086B78">
        <w:rPr>
          <w:rStyle w:val="ListParagraphChar"/>
          <w:rFonts w:eastAsia="Calibri"/>
        </w:rPr>
      </w:r>
      <w:r w:rsidR="00A23A84" w:rsidRPr="00086B78">
        <w:rPr>
          <w:rStyle w:val="ListParagraphChar"/>
          <w:rFonts w:eastAsia="Calibri"/>
        </w:rPr>
        <w:fldChar w:fldCharType="separate"/>
      </w:r>
      <w:r w:rsidR="008A3BBD" w:rsidRPr="00D727BF">
        <w:rPr>
          <w:rStyle w:val="ListParagraphChar"/>
          <w:rFonts w:eastAsia="Calibri"/>
        </w:rPr>
        <w:t>Figure 27</w:t>
      </w:r>
      <w:r w:rsidR="00A23A84" w:rsidRPr="00086B78">
        <w:rPr>
          <w:rStyle w:val="ListParagraphChar"/>
          <w:rFonts w:eastAsia="Calibri"/>
        </w:rPr>
        <w:fldChar w:fldCharType="end"/>
      </w:r>
      <w:r w:rsidR="00A23A84">
        <w:rPr>
          <w:rStyle w:val="ListParagraphChar"/>
          <w:rFonts w:eastAsia="Calibri"/>
        </w:rPr>
        <w:t xml:space="preserve"> and </w:t>
      </w:r>
      <w:r w:rsidR="000A5802">
        <w:rPr>
          <w:rStyle w:val="ListParagraphChar"/>
          <w:rFonts w:eastAsia="Calibri"/>
        </w:rPr>
        <w:t>figure 28</w:t>
      </w:r>
      <w:r w:rsidR="00892DE4" w:rsidRPr="0000694B">
        <w:t xml:space="preserve"> present the </w:t>
      </w:r>
      <w:r w:rsidR="00370A6A">
        <w:t xml:space="preserve">gender </w:t>
      </w:r>
      <w:r w:rsidR="00892DE4" w:rsidRPr="0000694B">
        <w:t>distribution of firm performance</w:t>
      </w:r>
      <w:r w:rsidR="008465B0">
        <w:t>.</w:t>
      </w:r>
      <w:r w:rsidR="00892DE4" w:rsidRPr="0000694B">
        <w:t xml:space="preserve"> Revenues per worker</w:t>
      </w:r>
      <w:r w:rsidR="00885D08">
        <w:t>,</w:t>
      </w:r>
      <w:r w:rsidR="00892DE4" w:rsidRPr="0000694B">
        <w:t xml:space="preserve"> as well as TFP</w:t>
      </w:r>
      <w:r w:rsidR="00885D08">
        <w:t>,</w:t>
      </w:r>
      <w:r w:rsidR="00892DE4" w:rsidRPr="0000694B">
        <w:t xml:space="preserve"> are lower for female-headed NFE</w:t>
      </w:r>
      <w:r w:rsidR="008465B0">
        <w:t>s</w:t>
      </w:r>
      <w:r w:rsidR="00892DE4" w:rsidRPr="0000694B">
        <w:t xml:space="preserve"> than for</w:t>
      </w:r>
      <w:r w:rsidR="008465B0">
        <w:t xml:space="preserve"> those headed by males. The</w:t>
      </w:r>
      <w:r w:rsidR="00892DE4" w:rsidRPr="0000694B">
        <w:t xml:space="preserve"> gap is more important in the manufacturing sector than in services.</w:t>
      </w:r>
      <w:r w:rsidR="00776436">
        <w:rPr>
          <w:rStyle w:val="FootnoteReference"/>
        </w:rPr>
        <w:footnoteReference w:id="30"/>
      </w:r>
      <w:r w:rsidR="00892DE4" w:rsidRPr="0000694B">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24"/>
      </w:tblGrid>
      <w:tr w:rsidR="0000694B" w:rsidRPr="0000694B" w14:paraId="71C6B7C7" w14:textId="77777777" w:rsidTr="00B67219">
        <w:tc>
          <w:tcPr>
            <w:tcW w:w="4644" w:type="dxa"/>
          </w:tcPr>
          <w:p w14:paraId="28641D6F" w14:textId="1985FF7F" w:rsidR="0000694B" w:rsidRPr="0000694B" w:rsidRDefault="0000694B" w:rsidP="00D727BF">
            <w:pPr>
              <w:keepNext/>
              <w:tabs>
                <w:tab w:val="left" w:pos="720"/>
              </w:tabs>
              <w:spacing w:after="0"/>
              <w:rPr>
                <w:rFonts w:ascii="Trebuchet MS" w:eastAsia="Calibri" w:hAnsi="Trebuchet MS" w:cs="Times New Roman"/>
                <w:b/>
                <w:bCs/>
                <w:color w:val="0B73B6" w:themeColor="background2" w:themeShade="BF"/>
                <w:sz w:val="20"/>
                <w:szCs w:val="18"/>
              </w:rPr>
            </w:pPr>
            <w:bookmarkStart w:id="149" w:name="_Ref430110424"/>
            <w:bookmarkStart w:id="150" w:name="_Ref445131558"/>
            <w:bookmarkStart w:id="151" w:name="_Toc445449645"/>
            <w:r w:rsidRPr="0000694B">
              <w:rPr>
                <w:rFonts w:ascii="Trebuchet MS" w:eastAsia="Calibri" w:hAnsi="Trebuchet MS" w:cs="Times New Roman"/>
                <w:b/>
                <w:bCs/>
                <w:color w:val="0B73B6" w:themeColor="background2" w:themeShade="BF"/>
                <w:sz w:val="20"/>
                <w:szCs w:val="18"/>
              </w:rPr>
              <w:t xml:space="preserve">Figure </w:t>
            </w:r>
            <w:r w:rsidR="00D92B55">
              <w:rPr>
                <w:rFonts w:ascii="Trebuchet MS" w:eastAsia="Calibri" w:hAnsi="Trebuchet MS" w:cs="Times New Roman"/>
                <w:b/>
                <w:bCs/>
                <w:color w:val="0B73B6" w:themeColor="background2" w:themeShade="BF"/>
                <w:sz w:val="20"/>
                <w:szCs w:val="18"/>
              </w:rPr>
              <w:fldChar w:fldCharType="begin"/>
            </w:r>
            <w:r w:rsidR="00D92B55">
              <w:rPr>
                <w:rFonts w:ascii="Trebuchet MS" w:eastAsia="Calibri" w:hAnsi="Trebuchet MS" w:cs="Times New Roman"/>
                <w:b/>
                <w:bCs/>
                <w:color w:val="0B73B6" w:themeColor="background2" w:themeShade="BF"/>
                <w:sz w:val="20"/>
                <w:szCs w:val="18"/>
              </w:rPr>
              <w:instrText xml:space="preserve"> SEQ Figure \* ARABIC </w:instrText>
            </w:r>
            <w:r w:rsidR="00D92B55">
              <w:rPr>
                <w:rFonts w:ascii="Trebuchet MS" w:eastAsia="Calibri" w:hAnsi="Trebuchet MS" w:cs="Times New Roman"/>
                <w:b/>
                <w:bCs/>
                <w:color w:val="0B73B6" w:themeColor="background2" w:themeShade="BF"/>
                <w:sz w:val="20"/>
                <w:szCs w:val="18"/>
              </w:rPr>
              <w:fldChar w:fldCharType="separate"/>
            </w:r>
            <w:r w:rsidR="008A3BBD">
              <w:rPr>
                <w:rFonts w:ascii="Trebuchet MS" w:eastAsia="Calibri" w:hAnsi="Trebuchet MS" w:cs="Times New Roman"/>
                <w:b/>
                <w:bCs/>
                <w:noProof/>
                <w:color w:val="0B73B6" w:themeColor="background2" w:themeShade="BF"/>
                <w:sz w:val="20"/>
                <w:szCs w:val="18"/>
              </w:rPr>
              <w:t>27</w:t>
            </w:r>
            <w:r w:rsidR="00D92B55">
              <w:rPr>
                <w:rFonts w:ascii="Trebuchet MS" w:eastAsia="Calibri" w:hAnsi="Trebuchet MS" w:cs="Times New Roman"/>
                <w:b/>
                <w:bCs/>
                <w:color w:val="0B73B6" w:themeColor="background2" w:themeShade="BF"/>
                <w:sz w:val="20"/>
                <w:szCs w:val="18"/>
              </w:rPr>
              <w:fldChar w:fldCharType="end"/>
            </w:r>
            <w:bookmarkEnd w:id="149"/>
            <w:bookmarkEnd w:id="150"/>
            <w:r w:rsidRPr="0000694B">
              <w:rPr>
                <w:rFonts w:ascii="Trebuchet MS" w:eastAsia="Calibri" w:hAnsi="Trebuchet MS" w:cs="Times New Roman"/>
                <w:b/>
                <w:bCs/>
                <w:color w:val="0B73B6" w:themeColor="background2" w:themeShade="BF"/>
                <w:sz w:val="20"/>
                <w:szCs w:val="18"/>
              </w:rPr>
              <w:t xml:space="preserve">: Log of Sales per </w:t>
            </w:r>
            <w:r w:rsidR="00892DE4">
              <w:rPr>
                <w:rFonts w:ascii="Trebuchet MS" w:eastAsia="Calibri" w:hAnsi="Trebuchet MS" w:cs="Times New Roman"/>
                <w:b/>
                <w:bCs/>
                <w:color w:val="0B73B6" w:themeColor="background2" w:themeShade="BF"/>
                <w:sz w:val="20"/>
                <w:szCs w:val="18"/>
              </w:rPr>
              <w:t>P</w:t>
            </w:r>
            <w:r w:rsidRPr="0000694B">
              <w:rPr>
                <w:rFonts w:ascii="Trebuchet MS" w:eastAsia="Calibri" w:hAnsi="Trebuchet MS" w:cs="Times New Roman"/>
                <w:b/>
                <w:bCs/>
                <w:color w:val="0B73B6" w:themeColor="background2" w:themeShade="BF"/>
                <w:sz w:val="20"/>
                <w:szCs w:val="18"/>
              </w:rPr>
              <w:t xml:space="preserve">aid </w:t>
            </w:r>
            <w:r w:rsidR="00892DE4">
              <w:rPr>
                <w:rFonts w:ascii="Trebuchet MS" w:eastAsia="Calibri" w:hAnsi="Trebuchet MS" w:cs="Times New Roman"/>
                <w:b/>
                <w:bCs/>
                <w:color w:val="0B73B6" w:themeColor="background2" w:themeShade="BF"/>
                <w:sz w:val="20"/>
                <w:szCs w:val="18"/>
              </w:rPr>
              <w:t>W</w:t>
            </w:r>
            <w:r w:rsidRPr="0000694B">
              <w:rPr>
                <w:rFonts w:ascii="Trebuchet MS" w:eastAsia="Calibri" w:hAnsi="Trebuchet MS" w:cs="Times New Roman"/>
                <w:b/>
                <w:bCs/>
                <w:color w:val="0B73B6" w:themeColor="background2" w:themeShade="BF"/>
                <w:sz w:val="20"/>
                <w:szCs w:val="18"/>
              </w:rPr>
              <w:t>orker</w:t>
            </w:r>
            <w:r w:rsidR="00892DE4">
              <w:rPr>
                <w:rFonts w:ascii="Trebuchet MS" w:eastAsia="Calibri" w:hAnsi="Trebuchet MS" w:cs="Times New Roman"/>
                <w:b/>
                <w:bCs/>
                <w:color w:val="0B73B6" w:themeColor="background2" w:themeShade="BF"/>
                <w:sz w:val="20"/>
                <w:szCs w:val="18"/>
              </w:rPr>
              <w:t xml:space="preserve">, </w:t>
            </w:r>
            <w:r w:rsidRPr="0000694B">
              <w:rPr>
                <w:rFonts w:ascii="Trebuchet MS" w:eastAsia="Calibri" w:hAnsi="Trebuchet MS" w:cs="Times New Roman"/>
                <w:b/>
                <w:bCs/>
                <w:color w:val="0B73B6" w:themeColor="background2" w:themeShade="BF"/>
                <w:sz w:val="20"/>
                <w:szCs w:val="18"/>
              </w:rPr>
              <w:t xml:space="preserve">by </w:t>
            </w:r>
            <w:r w:rsidR="00892DE4">
              <w:rPr>
                <w:rFonts w:ascii="Trebuchet MS" w:eastAsia="Calibri" w:hAnsi="Trebuchet MS" w:cs="Times New Roman"/>
                <w:b/>
                <w:bCs/>
                <w:color w:val="0B73B6" w:themeColor="background2" w:themeShade="BF"/>
                <w:sz w:val="20"/>
                <w:szCs w:val="18"/>
              </w:rPr>
              <w:t>G</w:t>
            </w:r>
            <w:r w:rsidRPr="0000694B">
              <w:rPr>
                <w:rFonts w:ascii="Trebuchet MS" w:eastAsia="Calibri" w:hAnsi="Trebuchet MS" w:cs="Times New Roman"/>
                <w:b/>
                <w:bCs/>
                <w:color w:val="0B73B6" w:themeColor="background2" w:themeShade="BF"/>
                <w:sz w:val="20"/>
                <w:szCs w:val="18"/>
              </w:rPr>
              <w:t>ender</w:t>
            </w:r>
            <w:r w:rsidR="00892DE4">
              <w:rPr>
                <w:rFonts w:ascii="Trebuchet MS" w:eastAsia="Calibri" w:hAnsi="Trebuchet MS" w:cs="Times New Roman"/>
                <w:b/>
                <w:bCs/>
                <w:color w:val="0B73B6" w:themeColor="background2" w:themeShade="BF"/>
                <w:sz w:val="20"/>
                <w:szCs w:val="18"/>
              </w:rPr>
              <w:t xml:space="preserve"> (US$)</w:t>
            </w:r>
            <w:r w:rsidR="00567128">
              <w:rPr>
                <w:rFonts w:ascii="Trebuchet MS" w:eastAsia="Calibri" w:hAnsi="Trebuchet MS" w:cs="Times New Roman"/>
                <w:b/>
                <w:bCs/>
                <w:color w:val="0B73B6" w:themeColor="background2" w:themeShade="BF"/>
                <w:sz w:val="20"/>
                <w:szCs w:val="18"/>
              </w:rPr>
              <w:t xml:space="preserve"> for </w:t>
            </w:r>
            <w:r w:rsidR="000A5802">
              <w:rPr>
                <w:rFonts w:ascii="Trebuchet MS" w:eastAsia="Calibri" w:hAnsi="Trebuchet MS" w:cs="Times New Roman"/>
                <w:b/>
                <w:bCs/>
                <w:color w:val="0B73B6" w:themeColor="background2" w:themeShade="BF"/>
                <w:sz w:val="20"/>
                <w:szCs w:val="18"/>
              </w:rPr>
              <w:t>B</w:t>
            </w:r>
            <w:r w:rsidR="00567128">
              <w:rPr>
                <w:rFonts w:ascii="Trebuchet MS" w:eastAsia="Calibri" w:hAnsi="Trebuchet MS" w:cs="Times New Roman"/>
                <w:b/>
                <w:bCs/>
                <w:color w:val="0B73B6" w:themeColor="background2" w:themeShade="BF"/>
                <w:sz w:val="20"/>
                <w:szCs w:val="18"/>
              </w:rPr>
              <w:t xml:space="preserve">oth GHS </w:t>
            </w:r>
            <w:r w:rsidR="000A5802">
              <w:rPr>
                <w:rFonts w:ascii="Trebuchet MS" w:eastAsia="Calibri" w:hAnsi="Trebuchet MS" w:cs="Times New Roman"/>
                <w:b/>
                <w:bCs/>
                <w:color w:val="0B73B6" w:themeColor="background2" w:themeShade="BF"/>
                <w:sz w:val="20"/>
                <w:szCs w:val="18"/>
              </w:rPr>
              <w:t>R</w:t>
            </w:r>
            <w:r w:rsidR="00567128">
              <w:rPr>
                <w:rFonts w:ascii="Trebuchet MS" w:eastAsia="Calibri" w:hAnsi="Trebuchet MS" w:cs="Times New Roman"/>
                <w:b/>
                <w:bCs/>
                <w:color w:val="0B73B6" w:themeColor="background2" w:themeShade="BF"/>
                <w:sz w:val="20"/>
                <w:szCs w:val="18"/>
              </w:rPr>
              <w:t>ounds</w:t>
            </w:r>
            <w:bookmarkEnd w:id="151"/>
          </w:p>
          <w:p w14:paraId="23C9EA1E" w14:textId="77777777" w:rsidR="0000694B" w:rsidRPr="0000694B" w:rsidRDefault="0000694B" w:rsidP="00D727BF">
            <w:pPr>
              <w:tabs>
                <w:tab w:val="left" w:pos="720"/>
              </w:tabs>
            </w:pPr>
            <w:r w:rsidRPr="0000694B">
              <w:rPr>
                <w:noProof/>
              </w:rPr>
              <w:drawing>
                <wp:inline distT="0" distB="0" distL="0" distR="0" wp14:anchorId="7A8D5111" wp14:editId="1A6BE5F9">
                  <wp:extent cx="2962275" cy="182547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72559" cy="1831807"/>
                          </a:xfrm>
                          <a:prstGeom prst="rect">
                            <a:avLst/>
                          </a:prstGeom>
                        </pic:spPr>
                      </pic:pic>
                    </a:graphicData>
                  </a:graphic>
                </wp:inline>
              </w:drawing>
            </w:r>
          </w:p>
        </w:tc>
        <w:tc>
          <w:tcPr>
            <w:tcW w:w="4716" w:type="dxa"/>
          </w:tcPr>
          <w:p w14:paraId="404D4A52" w14:textId="6424BBDC" w:rsidR="0000694B" w:rsidRPr="0000694B" w:rsidRDefault="0000694B" w:rsidP="00D727BF">
            <w:pPr>
              <w:keepNext/>
              <w:tabs>
                <w:tab w:val="left" w:pos="720"/>
              </w:tabs>
              <w:spacing w:after="0"/>
              <w:ind w:left="20" w:hanging="20"/>
              <w:rPr>
                <w:rFonts w:ascii="Trebuchet MS" w:eastAsia="Calibri" w:hAnsi="Trebuchet MS" w:cs="Times New Roman"/>
                <w:b/>
                <w:bCs/>
                <w:color w:val="0B73B6" w:themeColor="background2" w:themeShade="BF"/>
                <w:sz w:val="20"/>
                <w:szCs w:val="18"/>
              </w:rPr>
            </w:pPr>
            <w:bookmarkStart w:id="152" w:name="_Ref430110425"/>
            <w:bookmarkStart w:id="153" w:name="_Ref445131560"/>
            <w:bookmarkStart w:id="154" w:name="_Toc445449646"/>
            <w:r w:rsidRPr="0000694B">
              <w:rPr>
                <w:rFonts w:ascii="Trebuchet MS" w:eastAsia="Calibri" w:hAnsi="Trebuchet MS" w:cs="Times New Roman"/>
                <w:b/>
                <w:bCs/>
                <w:color w:val="0B73B6" w:themeColor="background2" w:themeShade="BF"/>
                <w:sz w:val="20"/>
                <w:szCs w:val="18"/>
              </w:rPr>
              <w:t xml:space="preserve">Figure </w:t>
            </w:r>
            <w:r w:rsidR="00D92B55">
              <w:rPr>
                <w:rFonts w:ascii="Trebuchet MS" w:eastAsia="Calibri" w:hAnsi="Trebuchet MS" w:cs="Times New Roman"/>
                <w:b/>
                <w:bCs/>
                <w:color w:val="0B73B6" w:themeColor="background2" w:themeShade="BF"/>
                <w:sz w:val="20"/>
                <w:szCs w:val="18"/>
              </w:rPr>
              <w:fldChar w:fldCharType="begin"/>
            </w:r>
            <w:r w:rsidR="00D92B55">
              <w:rPr>
                <w:rFonts w:ascii="Trebuchet MS" w:eastAsia="Calibri" w:hAnsi="Trebuchet MS" w:cs="Times New Roman"/>
                <w:b/>
                <w:bCs/>
                <w:color w:val="0B73B6" w:themeColor="background2" w:themeShade="BF"/>
                <w:sz w:val="20"/>
                <w:szCs w:val="18"/>
              </w:rPr>
              <w:instrText xml:space="preserve"> SEQ Figure \* ARABIC </w:instrText>
            </w:r>
            <w:r w:rsidR="00D92B55">
              <w:rPr>
                <w:rFonts w:ascii="Trebuchet MS" w:eastAsia="Calibri" w:hAnsi="Trebuchet MS" w:cs="Times New Roman"/>
                <w:b/>
                <w:bCs/>
                <w:color w:val="0B73B6" w:themeColor="background2" w:themeShade="BF"/>
                <w:sz w:val="20"/>
                <w:szCs w:val="18"/>
              </w:rPr>
              <w:fldChar w:fldCharType="separate"/>
            </w:r>
            <w:r w:rsidR="008A3BBD">
              <w:rPr>
                <w:rFonts w:ascii="Trebuchet MS" w:eastAsia="Calibri" w:hAnsi="Trebuchet MS" w:cs="Times New Roman"/>
                <w:b/>
                <w:bCs/>
                <w:noProof/>
                <w:color w:val="0B73B6" w:themeColor="background2" w:themeShade="BF"/>
                <w:sz w:val="20"/>
                <w:szCs w:val="18"/>
              </w:rPr>
              <w:t>28</w:t>
            </w:r>
            <w:r w:rsidR="00D92B55">
              <w:rPr>
                <w:rFonts w:ascii="Trebuchet MS" w:eastAsia="Calibri" w:hAnsi="Trebuchet MS" w:cs="Times New Roman"/>
                <w:b/>
                <w:bCs/>
                <w:color w:val="0B73B6" w:themeColor="background2" w:themeShade="BF"/>
                <w:sz w:val="20"/>
                <w:szCs w:val="18"/>
              </w:rPr>
              <w:fldChar w:fldCharType="end"/>
            </w:r>
            <w:bookmarkEnd w:id="152"/>
            <w:bookmarkEnd w:id="153"/>
            <w:r w:rsidRPr="0000694B">
              <w:rPr>
                <w:rFonts w:ascii="Trebuchet MS" w:eastAsia="Calibri" w:hAnsi="Trebuchet MS" w:cs="Times New Roman"/>
                <w:b/>
                <w:bCs/>
                <w:color w:val="0B73B6" w:themeColor="background2" w:themeShade="BF"/>
                <w:sz w:val="20"/>
                <w:szCs w:val="18"/>
              </w:rPr>
              <w:t xml:space="preserve">: Log of Total Factor Productivity, by </w:t>
            </w:r>
            <w:r w:rsidR="00892DE4">
              <w:rPr>
                <w:rFonts w:ascii="Trebuchet MS" w:eastAsia="Calibri" w:hAnsi="Trebuchet MS" w:cs="Times New Roman"/>
                <w:b/>
                <w:bCs/>
                <w:color w:val="0B73B6" w:themeColor="background2" w:themeShade="BF"/>
                <w:sz w:val="20"/>
                <w:szCs w:val="18"/>
              </w:rPr>
              <w:t>G</w:t>
            </w:r>
            <w:r w:rsidRPr="0000694B">
              <w:rPr>
                <w:rFonts w:ascii="Trebuchet MS" w:eastAsia="Calibri" w:hAnsi="Trebuchet MS" w:cs="Times New Roman"/>
                <w:b/>
                <w:bCs/>
                <w:color w:val="0B73B6" w:themeColor="background2" w:themeShade="BF"/>
                <w:sz w:val="20"/>
                <w:szCs w:val="18"/>
              </w:rPr>
              <w:t>ender</w:t>
            </w:r>
            <w:r w:rsidR="00567128">
              <w:rPr>
                <w:rFonts w:ascii="Trebuchet MS" w:eastAsia="Calibri" w:hAnsi="Trebuchet MS" w:cs="Times New Roman"/>
                <w:b/>
                <w:bCs/>
                <w:color w:val="0B73B6" w:themeColor="background2" w:themeShade="BF"/>
                <w:sz w:val="20"/>
                <w:szCs w:val="18"/>
              </w:rPr>
              <w:t xml:space="preserve"> for </w:t>
            </w:r>
            <w:r w:rsidR="000A5802">
              <w:rPr>
                <w:rFonts w:ascii="Trebuchet MS" w:eastAsia="Calibri" w:hAnsi="Trebuchet MS" w:cs="Times New Roman"/>
                <w:b/>
                <w:bCs/>
                <w:color w:val="0B73B6" w:themeColor="background2" w:themeShade="BF"/>
                <w:sz w:val="20"/>
                <w:szCs w:val="18"/>
              </w:rPr>
              <w:t>B</w:t>
            </w:r>
            <w:r w:rsidR="00567128">
              <w:rPr>
                <w:rFonts w:ascii="Trebuchet MS" w:eastAsia="Calibri" w:hAnsi="Trebuchet MS" w:cs="Times New Roman"/>
                <w:b/>
                <w:bCs/>
                <w:color w:val="0B73B6" w:themeColor="background2" w:themeShade="BF"/>
                <w:sz w:val="20"/>
                <w:szCs w:val="18"/>
              </w:rPr>
              <w:t xml:space="preserve">oth GHS </w:t>
            </w:r>
            <w:r w:rsidR="000A5802">
              <w:rPr>
                <w:rFonts w:ascii="Trebuchet MS" w:eastAsia="Calibri" w:hAnsi="Trebuchet MS" w:cs="Times New Roman"/>
                <w:b/>
                <w:bCs/>
                <w:color w:val="0B73B6" w:themeColor="background2" w:themeShade="BF"/>
                <w:sz w:val="20"/>
                <w:szCs w:val="18"/>
              </w:rPr>
              <w:t>R</w:t>
            </w:r>
            <w:r w:rsidR="00567128">
              <w:rPr>
                <w:rFonts w:ascii="Trebuchet MS" w:eastAsia="Calibri" w:hAnsi="Trebuchet MS" w:cs="Times New Roman"/>
                <w:b/>
                <w:bCs/>
                <w:color w:val="0B73B6" w:themeColor="background2" w:themeShade="BF"/>
                <w:sz w:val="20"/>
                <w:szCs w:val="18"/>
              </w:rPr>
              <w:t>ounds</w:t>
            </w:r>
            <w:bookmarkEnd w:id="154"/>
          </w:p>
          <w:p w14:paraId="70290C38" w14:textId="77777777" w:rsidR="0000694B" w:rsidRPr="0000694B" w:rsidRDefault="0000694B" w:rsidP="00D727BF">
            <w:pPr>
              <w:tabs>
                <w:tab w:val="left" w:pos="720"/>
              </w:tabs>
            </w:pPr>
            <w:r w:rsidRPr="0000694B">
              <w:rPr>
                <w:noProof/>
              </w:rPr>
              <w:drawing>
                <wp:inline distT="0" distB="0" distL="0" distR="0" wp14:anchorId="38625168" wp14:editId="2ED9D55B">
                  <wp:extent cx="3009900" cy="18162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10556" cy="1816626"/>
                          </a:xfrm>
                          <a:prstGeom prst="rect">
                            <a:avLst/>
                          </a:prstGeom>
                        </pic:spPr>
                      </pic:pic>
                    </a:graphicData>
                  </a:graphic>
                </wp:inline>
              </w:drawing>
            </w:r>
          </w:p>
        </w:tc>
      </w:tr>
      <w:tr w:rsidR="0000694B" w:rsidRPr="0000694B" w14:paraId="65547167" w14:textId="77777777" w:rsidTr="00B67219">
        <w:tc>
          <w:tcPr>
            <w:tcW w:w="9360" w:type="dxa"/>
            <w:gridSpan w:val="2"/>
          </w:tcPr>
          <w:p w14:paraId="6F853BCF" w14:textId="77777777" w:rsidR="0000694B" w:rsidRPr="0000694B" w:rsidRDefault="0000694B" w:rsidP="00D727BF">
            <w:pPr>
              <w:tabs>
                <w:tab w:val="left" w:pos="720"/>
              </w:tabs>
              <w:jc w:val="center"/>
            </w:pPr>
            <w:r w:rsidRPr="0000694B">
              <w:rPr>
                <w:noProof/>
              </w:rPr>
              <w:drawing>
                <wp:inline distT="0" distB="0" distL="0" distR="0" wp14:anchorId="75DABDFA" wp14:editId="63B70951">
                  <wp:extent cx="3810000" cy="398097"/>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87132" cy="406156"/>
                          </a:xfrm>
                          <a:prstGeom prst="rect">
                            <a:avLst/>
                          </a:prstGeom>
                        </pic:spPr>
                      </pic:pic>
                    </a:graphicData>
                  </a:graphic>
                </wp:inline>
              </w:drawing>
            </w:r>
          </w:p>
        </w:tc>
      </w:tr>
    </w:tbl>
    <w:p w14:paraId="1DD93FB2" w14:textId="77777777" w:rsidR="000A5802" w:rsidRDefault="00370A6A" w:rsidP="00D727BF">
      <w:pPr>
        <w:tabs>
          <w:tab w:val="left" w:pos="720"/>
        </w:tabs>
        <w:spacing w:before="120" w:after="0"/>
        <w:rPr>
          <w:rFonts w:eastAsia="Times New Roman" w:cs="Times New Roman"/>
          <w:sz w:val="18"/>
          <w:szCs w:val="20"/>
        </w:rPr>
      </w:pPr>
      <w:r w:rsidRPr="001845F3">
        <w:rPr>
          <w:rFonts w:eastAsia="Times New Roman" w:cs="Times New Roman"/>
          <w:sz w:val="18"/>
          <w:szCs w:val="20"/>
        </w:rPr>
        <w:t>Source: Authors</w:t>
      </w:r>
      <w:r w:rsidR="00863D16">
        <w:rPr>
          <w:rFonts w:eastAsia="Times New Roman" w:cs="Times New Roman"/>
          <w:sz w:val="18"/>
          <w:szCs w:val="20"/>
        </w:rPr>
        <w:t>’</w:t>
      </w:r>
      <w:r w:rsidRPr="001845F3">
        <w:rPr>
          <w:rFonts w:eastAsia="Times New Roman" w:cs="Times New Roman"/>
          <w:sz w:val="18"/>
          <w:szCs w:val="20"/>
        </w:rPr>
        <w:t xml:space="preserve"> calculations based on </w:t>
      </w:r>
      <w:r w:rsidR="000A5802" w:rsidRPr="001845F3">
        <w:rPr>
          <w:rFonts w:eastAsia="Times New Roman" w:cs="Times New Roman"/>
          <w:sz w:val="18"/>
          <w:szCs w:val="20"/>
        </w:rPr>
        <w:t>GHS 2010</w:t>
      </w:r>
      <w:r w:rsidR="000A5802">
        <w:rPr>
          <w:rFonts w:ascii="Calibri" w:eastAsia="Times New Roman" w:hAnsi="Calibri" w:cs="Times New Roman"/>
          <w:sz w:val="18"/>
          <w:szCs w:val="20"/>
        </w:rPr>
        <w:t>‒</w:t>
      </w:r>
      <w:r w:rsidR="000A5802" w:rsidRPr="001845F3">
        <w:rPr>
          <w:rFonts w:eastAsia="Times New Roman" w:cs="Times New Roman"/>
          <w:sz w:val="18"/>
          <w:szCs w:val="20"/>
        </w:rPr>
        <w:t>11 and 2012</w:t>
      </w:r>
      <w:r w:rsidR="000A5802">
        <w:rPr>
          <w:rFonts w:ascii="Calibri" w:eastAsia="Times New Roman" w:hAnsi="Calibri" w:cs="Times New Roman"/>
          <w:sz w:val="18"/>
          <w:szCs w:val="20"/>
        </w:rPr>
        <w:t>‒</w:t>
      </w:r>
      <w:r w:rsidR="000A5802" w:rsidRPr="001845F3">
        <w:rPr>
          <w:rFonts w:eastAsia="Times New Roman" w:cs="Times New Roman"/>
          <w:sz w:val="18"/>
          <w:szCs w:val="20"/>
        </w:rPr>
        <w:t>13</w:t>
      </w:r>
    </w:p>
    <w:p w14:paraId="5FEF50FD" w14:textId="77777777" w:rsidR="00370A6A" w:rsidRPr="000F6A00" w:rsidRDefault="00370A6A" w:rsidP="00D727BF">
      <w:pPr>
        <w:tabs>
          <w:tab w:val="left" w:pos="720"/>
        </w:tabs>
        <w:spacing w:before="120" w:after="0"/>
      </w:pPr>
    </w:p>
    <w:p w14:paraId="7B02DB8A" w14:textId="08B63F99" w:rsidR="00370A6A" w:rsidRDefault="004E78E7" w:rsidP="00D727BF">
      <w:pPr>
        <w:pStyle w:val="ParagraphNumbering"/>
        <w:numPr>
          <w:ilvl w:val="0"/>
          <w:numId w:val="0"/>
        </w:numPr>
        <w:tabs>
          <w:tab w:val="left" w:pos="720"/>
        </w:tabs>
      </w:pPr>
      <w:r>
        <w:rPr>
          <w:b/>
        </w:rPr>
        <w:tab/>
      </w:r>
      <w:r w:rsidR="00885D08">
        <w:rPr>
          <w:b/>
        </w:rPr>
        <w:t>MEs</w:t>
      </w:r>
      <w:r w:rsidR="00885D08" w:rsidRPr="00CB1A8E">
        <w:rPr>
          <w:b/>
        </w:rPr>
        <w:t xml:space="preserve"> </w:t>
      </w:r>
      <w:r w:rsidR="00370A6A" w:rsidRPr="00CB1A8E">
        <w:rPr>
          <w:b/>
        </w:rPr>
        <w:t xml:space="preserve">fare better </w:t>
      </w:r>
      <w:r w:rsidR="00885D08">
        <w:rPr>
          <w:b/>
        </w:rPr>
        <w:t xml:space="preserve">in terms of </w:t>
      </w:r>
      <w:r w:rsidR="00370A6A" w:rsidRPr="00CB1A8E">
        <w:rPr>
          <w:b/>
        </w:rPr>
        <w:t xml:space="preserve">TFP but worse </w:t>
      </w:r>
      <w:r w:rsidR="00885D08">
        <w:rPr>
          <w:b/>
        </w:rPr>
        <w:t xml:space="preserve">in terms of </w:t>
      </w:r>
      <w:r w:rsidR="00CB1A8E">
        <w:rPr>
          <w:b/>
        </w:rPr>
        <w:t>r</w:t>
      </w:r>
      <w:r w:rsidR="00370A6A" w:rsidRPr="00CB1A8E">
        <w:rPr>
          <w:b/>
        </w:rPr>
        <w:t xml:space="preserve">evenues per </w:t>
      </w:r>
      <w:r w:rsidR="00370A6A" w:rsidRPr="009E73B7">
        <w:rPr>
          <w:b/>
        </w:rPr>
        <w:t xml:space="preserve">worker. </w:t>
      </w:r>
      <w:r w:rsidR="00A23A84" w:rsidRPr="00086B78">
        <w:rPr>
          <w:rStyle w:val="ListParagraphChar"/>
        </w:rPr>
        <w:fldChar w:fldCharType="begin"/>
      </w:r>
      <w:r w:rsidR="00A23A84" w:rsidRPr="00086B78">
        <w:rPr>
          <w:rStyle w:val="ListParagraphChar"/>
        </w:rPr>
        <w:instrText xml:space="preserve"> REF _Ref445131594 \h </w:instrText>
      </w:r>
      <w:r w:rsidR="00A23A84">
        <w:rPr>
          <w:rStyle w:val="ListParagraphChar"/>
        </w:rPr>
        <w:instrText xml:space="preserve"> \* MERGEFORMAT </w:instrText>
      </w:r>
      <w:r w:rsidR="00A23A84" w:rsidRPr="00086B78">
        <w:rPr>
          <w:rStyle w:val="ListParagraphChar"/>
        </w:rPr>
      </w:r>
      <w:r w:rsidR="00A23A84" w:rsidRPr="00086B78">
        <w:rPr>
          <w:rStyle w:val="ListParagraphChar"/>
        </w:rPr>
        <w:fldChar w:fldCharType="separate"/>
      </w:r>
      <w:r w:rsidR="008A3BBD" w:rsidRPr="00D727BF">
        <w:rPr>
          <w:rStyle w:val="ListParagraphChar"/>
        </w:rPr>
        <w:t>Figure 29</w:t>
      </w:r>
      <w:r w:rsidR="00A23A84" w:rsidRPr="00086B78">
        <w:rPr>
          <w:rStyle w:val="ListParagraphChar"/>
        </w:rPr>
        <w:fldChar w:fldCharType="end"/>
      </w:r>
      <w:r w:rsidR="00A23A84">
        <w:rPr>
          <w:rStyle w:val="ListParagraphChar"/>
        </w:rPr>
        <w:t xml:space="preserve"> and </w:t>
      </w:r>
      <w:r w:rsidR="00A23A84" w:rsidRPr="00086B78">
        <w:rPr>
          <w:rStyle w:val="ListParagraphChar"/>
        </w:rPr>
        <w:fldChar w:fldCharType="begin"/>
      </w:r>
      <w:r w:rsidR="00A23A84" w:rsidRPr="00086B78">
        <w:rPr>
          <w:rStyle w:val="ListParagraphChar"/>
        </w:rPr>
        <w:instrText xml:space="preserve"> REF _Ref445131599 \h </w:instrText>
      </w:r>
      <w:r w:rsidR="00A23A84">
        <w:rPr>
          <w:rStyle w:val="ListParagraphChar"/>
        </w:rPr>
        <w:instrText xml:space="preserve"> \* MERGEFORMAT </w:instrText>
      </w:r>
      <w:r w:rsidR="00A23A84" w:rsidRPr="00086B78">
        <w:rPr>
          <w:rStyle w:val="ListParagraphChar"/>
        </w:rPr>
      </w:r>
      <w:r w:rsidR="00A23A84" w:rsidRPr="00086B78">
        <w:rPr>
          <w:rStyle w:val="ListParagraphChar"/>
        </w:rPr>
        <w:fldChar w:fldCharType="separate"/>
      </w:r>
      <w:r w:rsidR="000A5802">
        <w:rPr>
          <w:rStyle w:val="ListParagraphChar"/>
        </w:rPr>
        <w:t>figure</w:t>
      </w:r>
      <w:r w:rsidR="008A3BBD" w:rsidRPr="00D727BF">
        <w:rPr>
          <w:rStyle w:val="ListParagraphChar"/>
        </w:rPr>
        <w:t xml:space="preserve"> 30</w:t>
      </w:r>
      <w:r w:rsidR="00A23A84" w:rsidRPr="00086B78">
        <w:rPr>
          <w:rStyle w:val="ListParagraphChar"/>
        </w:rPr>
        <w:fldChar w:fldCharType="end"/>
      </w:r>
      <w:r w:rsidR="00A23A84">
        <w:rPr>
          <w:rStyle w:val="ListParagraphChar"/>
        </w:rPr>
        <w:t xml:space="preserve"> </w:t>
      </w:r>
      <w:r w:rsidR="00370A6A" w:rsidRPr="009E73B7">
        <w:t xml:space="preserve">depict labor productivity and TFP for </w:t>
      </w:r>
      <w:r w:rsidR="00885D08" w:rsidRPr="009E73B7">
        <w:t xml:space="preserve">MEs </w:t>
      </w:r>
      <w:r w:rsidR="00370A6A" w:rsidRPr="009E73B7">
        <w:t xml:space="preserve">and </w:t>
      </w:r>
      <w:r w:rsidR="00885D08" w:rsidRPr="009E73B7">
        <w:t>HEs</w:t>
      </w:r>
      <w:r w:rsidR="00370A6A" w:rsidRPr="009E73B7">
        <w:t xml:space="preserve">. </w:t>
      </w:r>
      <w:r w:rsidR="00885D08" w:rsidRPr="009E73B7">
        <w:t xml:space="preserve">HEs </w:t>
      </w:r>
      <w:r w:rsidR="00370A6A" w:rsidRPr="009E73B7">
        <w:t xml:space="preserve">seem to have higher revenues per worker in both manufacturing and services compared to </w:t>
      </w:r>
      <w:r w:rsidR="00885D08" w:rsidRPr="009E73B7">
        <w:t>MEs</w:t>
      </w:r>
      <w:r w:rsidR="00370A6A" w:rsidRPr="009E73B7">
        <w:t xml:space="preserve">. </w:t>
      </w:r>
      <w:r w:rsidR="002B728F" w:rsidRPr="007008D1">
        <w:rPr>
          <w:rStyle w:val="ListParagraphChar"/>
        </w:rPr>
        <w:fldChar w:fldCharType="begin"/>
      </w:r>
      <w:r w:rsidR="002B728F" w:rsidRPr="007008D1">
        <w:rPr>
          <w:rStyle w:val="ListParagraphChar"/>
        </w:rPr>
        <w:instrText xml:space="preserve"> REF _Ref445131599 \h </w:instrText>
      </w:r>
      <w:r w:rsidR="002B728F">
        <w:rPr>
          <w:rStyle w:val="ListParagraphChar"/>
        </w:rPr>
        <w:instrText xml:space="preserve"> \* MERGEFORMAT </w:instrText>
      </w:r>
      <w:r w:rsidR="002B728F" w:rsidRPr="007008D1">
        <w:rPr>
          <w:rStyle w:val="ListParagraphChar"/>
        </w:rPr>
      </w:r>
      <w:r w:rsidR="002B728F" w:rsidRPr="007008D1">
        <w:rPr>
          <w:rStyle w:val="ListParagraphChar"/>
        </w:rPr>
        <w:fldChar w:fldCharType="separate"/>
      </w:r>
      <w:r w:rsidR="008A3BBD" w:rsidRPr="00D727BF">
        <w:rPr>
          <w:rStyle w:val="ListParagraphChar"/>
        </w:rPr>
        <w:t>Figure 30</w:t>
      </w:r>
      <w:r w:rsidR="002B728F" w:rsidRPr="007008D1">
        <w:rPr>
          <w:rStyle w:val="ListParagraphChar"/>
        </w:rPr>
        <w:fldChar w:fldCharType="end"/>
      </w:r>
      <w:r w:rsidR="00B67219" w:rsidRPr="009E73B7">
        <w:rPr>
          <w:rStyle w:val="ListParagraphChar"/>
        </w:rPr>
        <w:t xml:space="preserve"> </w:t>
      </w:r>
      <w:r w:rsidR="00370A6A" w:rsidRPr="009E73B7">
        <w:rPr>
          <w:rStyle w:val="ListParagraphChar"/>
        </w:rPr>
        <w:t>s</w:t>
      </w:r>
      <w:r w:rsidR="00370A6A" w:rsidRPr="009E73B7">
        <w:t>uggests the</w:t>
      </w:r>
      <w:r w:rsidR="00370A6A" w:rsidRPr="0000694B">
        <w:t xml:space="preserve"> exact opposite</w:t>
      </w:r>
      <w:r w:rsidR="00885D08">
        <w:t xml:space="preserve"> and </w:t>
      </w:r>
      <w:r w:rsidR="00370A6A" w:rsidRPr="0000694B">
        <w:t>reinforce</w:t>
      </w:r>
      <w:r w:rsidR="00885D08">
        <w:t>s</w:t>
      </w:r>
      <w:r w:rsidR="00370A6A" w:rsidRPr="0000694B">
        <w:t xml:space="preserve"> the idea that these two groups of firms </w:t>
      </w:r>
      <w:r w:rsidR="00885D08">
        <w:t>possess</w:t>
      </w:r>
      <w:r w:rsidR="00885D08" w:rsidRPr="0000694B">
        <w:t xml:space="preserve"> </w:t>
      </w:r>
      <w:r w:rsidR="00370A6A" w:rsidRPr="0000694B">
        <w:t xml:space="preserve">different </w:t>
      </w:r>
      <w:r w:rsidR="00885D08">
        <w:t xml:space="preserve">motivations </w:t>
      </w:r>
      <w:r w:rsidR="00370A6A" w:rsidRPr="0000694B">
        <w:t>and growth strategies and should</w:t>
      </w:r>
      <w:r w:rsidR="000A5802">
        <w:t>,</w:t>
      </w:r>
      <w:r w:rsidR="00885D08">
        <w:t xml:space="preserve"> therefore</w:t>
      </w:r>
      <w:r w:rsidR="000A5802">
        <w:t>,</w:t>
      </w:r>
      <w:r w:rsidR="00370A6A" w:rsidRPr="0000694B">
        <w:t xml:space="preserve"> be analyzed differently.</w:t>
      </w:r>
    </w:p>
    <w:p w14:paraId="60F23DBD" w14:textId="77777777" w:rsidR="00CB1A8E" w:rsidRDefault="00CB1A8E" w:rsidP="00D727BF">
      <w:pPr>
        <w:keepNext/>
        <w:tabs>
          <w:tab w:val="left" w:pos="720"/>
        </w:tabs>
        <w:spacing w:after="0"/>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818"/>
      </w:tblGrid>
      <w:tr w:rsidR="0000694B" w:rsidRPr="0000694B" w14:paraId="7FAE920B" w14:textId="77777777" w:rsidTr="000F6A00">
        <w:tc>
          <w:tcPr>
            <w:tcW w:w="4758" w:type="dxa"/>
          </w:tcPr>
          <w:p w14:paraId="0A3C9368" w14:textId="246751CC" w:rsidR="0000694B" w:rsidRPr="0000694B" w:rsidRDefault="0000694B" w:rsidP="00D727BF">
            <w:pPr>
              <w:keepNext/>
              <w:tabs>
                <w:tab w:val="left" w:pos="720"/>
              </w:tabs>
              <w:spacing w:after="0"/>
              <w:jc w:val="center"/>
              <w:rPr>
                <w:rFonts w:ascii="Trebuchet MS" w:eastAsia="Calibri" w:hAnsi="Trebuchet MS" w:cs="Times New Roman"/>
                <w:b/>
                <w:bCs/>
                <w:color w:val="0B73B6" w:themeColor="background2" w:themeShade="BF"/>
                <w:sz w:val="20"/>
                <w:szCs w:val="18"/>
              </w:rPr>
            </w:pPr>
            <w:bookmarkStart w:id="155" w:name="_Ref430110819"/>
            <w:bookmarkStart w:id="156" w:name="_Ref445131594"/>
            <w:bookmarkStart w:id="157" w:name="_Toc445449647"/>
            <w:r w:rsidRPr="0000694B">
              <w:rPr>
                <w:rFonts w:ascii="Trebuchet MS" w:eastAsia="Calibri" w:hAnsi="Trebuchet MS" w:cs="Times New Roman"/>
                <w:b/>
                <w:bCs/>
                <w:color w:val="0B73B6" w:themeColor="background2" w:themeShade="BF"/>
                <w:sz w:val="20"/>
                <w:szCs w:val="18"/>
              </w:rPr>
              <w:t xml:space="preserve">Figure </w:t>
            </w:r>
            <w:r w:rsidR="00D92B55">
              <w:rPr>
                <w:rFonts w:ascii="Trebuchet MS" w:eastAsia="Calibri" w:hAnsi="Trebuchet MS" w:cs="Times New Roman"/>
                <w:b/>
                <w:bCs/>
                <w:color w:val="0B73B6" w:themeColor="background2" w:themeShade="BF"/>
                <w:sz w:val="20"/>
                <w:szCs w:val="18"/>
              </w:rPr>
              <w:fldChar w:fldCharType="begin"/>
            </w:r>
            <w:r w:rsidR="00D92B55">
              <w:rPr>
                <w:rFonts w:ascii="Trebuchet MS" w:eastAsia="Calibri" w:hAnsi="Trebuchet MS" w:cs="Times New Roman"/>
                <w:b/>
                <w:bCs/>
                <w:color w:val="0B73B6" w:themeColor="background2" w:themeShade="BF"/>
                <w:sz w:val="20"/>
                <w:szCs w:val="18"/>
              </w:rPr>
              <w:instrText xml:space="preserve"> SEQ Figure \* ARABIC </w:instrText>
            </w:r>
            <w:r w:rsidR="00D92B55">
              <w:rPr>
                <w:rFonts w:ascii="Trebuchet MS" w:eastAsia="Calibri" w:hAnsi="Trebuchet MS" w:cs="Times New Roman"/>
                <w:b/>
                <w:bCs/>
                <w:color w:val="0B73B6" w:themeColor="background2" w:themeShade="BF"/>
                <w:sz w:val="20"/>
                <w:szCs w:val="18"/>
              </w:rPr>
              <w:fldChar w:fldCharType="separate"/>
            </w:r>
            <w:r w:rsidR="008A3BBD">
              <w:rPr>
                <w:rFonts w:ascii="Trebuchet MS" w:eastAsia="Calibri" w:hAnsi="Trebuchet MS" w:cs="Times New Roman"/>
                <w:b/>
                <w:bCs/>
                <w:noProof/>
                <w:color w:val="0B73B6" w:themeColor="background2" w:themeShade="BF"/>
                <w:sz w:val="20"/>
                <w:szCs w:val="18"/>
              </w:rPr>
              <w:t>29</w:t>
            </w:r>
            <w:r w:rsidR="00D92B55">
              <w:rPr>
                <w:rFonts w:ascii="Trebuchet MS" w:eastAsia="Calibri" w:hAnsi="Trebuchet MS" w:cs="Times New Roman"/>
                <w:b/>
                <w:bCs/>
                <w:color w:val="0B73B6" w:themeColor="background2" w:themeShade="BF"/>
                <w:sz w:val="20"/>
                <w:szCs w:val="18"/>
              </w:rPr>
              <w:fldChar w:fldCharType="end"/>
            </w:r>
            <w:bookmarkEnd w:id="155"/>
            <w:bookmarkEnd w:id="156"/>
            <w:r w:rsidRPr="0000694B">
              <w:rPr>
                <w:rFonts w:ascii="Trebuchet MS" w:eastAsia="Calibri" w:hAnsi="Trebuchet MS" w:cs="Times New Roman"/>
                <w:b/>
                <w:bCs/>
                <w:color w:val="0B73B6" w:themeColor="background2" w:themeShade="BF"/>
                <w:sz w:val="20"/>
                <w:szCs w:val="18"/>
              </w:rPr>
              <w:t xml:space="preserve">: Log of Sales per </w:t>
            </w:r>
            <w:r w:rsidR="00892DE4">
              <w:rPr>
                <w:rFonts w:ascii="Trebuchet MS" w:eastAsia="Calibri" w:hAnsi="Trebuchet MS" w:cs="Times New Roman"/>
                <w:b/>
                <w:bCs/>
                <w:color w:val="0B73B6" w:themeColor="background2" w:themeShade="BF"/>
                <w:sz w:val="20"/>
                <w:szCs w:val="18"/>
              </w:rPr>
              <w:t>P</w:t>
            </w:r>
            <w:r w:rsidRPr="0000694B">
              <w:rPr>
                <w:rFonts w:ascii="Trebuchet MS" w:eastAsia="Calibri" w:hAnsi="Trebuchet MS" w:cs="Times New Roman"/>
                <w:b/>
                <w:bCs/>
                <w:color w:val="0B73B6" w:themeColor="background2" w:themeShade="BF"/>
                <w:sz w:val="20"/>
                <w:szCs w:val="18"/>
              </w:rPr>
              <w:t xml:space="preserve">aid </w:t>
            </w:r>
            <w:r w:rsidR="00892DE4">
              <w:rPr>
                <w:rFonts w:ascii="Trebuchet MS" w:eastAsia="Calibri" w:hAnsi="Trebuchet MS" w:cs="Times New Roman"/>
                <w:b/>
                <w:bCs/>
                <w:color w:val="0B73B6" w:themeColor="background2" w:themeShade="BF"/>
                <w:sz w:val="20"/>
                <w:szCs w:val="18"/>
              </w:rPr>
              <w:t>W</w:t>
            </w:r>
            <w:r w:rsidRPr="0000694B">
              <w:rPr>
                <w:rFonts w:ascii="Trebuchet MS" w:eastAsia="Calibri" w:hAnsi="Trebuchet MS" w:cs="Times New Roman"/>
                <w:b/>
                <w:bCs/>
                <w:color w:val="0B73B6" w:themeColor="background2" w:themeShade="BF"/>
                <w:sz w:val="20"/>
                <w:szCs w:val="18"/>
              </w:rPr>
              <w:t>orker</w:t>
            </w:r>
            <w:r w:rsidR="00892DE4">
              <w:rPr>
                <w:rFonts w:ascii="Trebuchet MS" w:eastAsia="Calibri" w:hAnsi="Trebuchet MS" w:cs="Times New Roman"/>
                <w:b/>
                <w:bCs/>
                <w:color w:val="0B73B6" w:themeColor="background2" w:themeShade="BF"/>
                <w:sz w:val="20"/>
                <w:szCs w:val="18"/>
              </w:rPr>
              <w:t>, by Type of NFE (</w:t>
            </w:r>
            <w:r w:rsidRPr="0000694B">
              <w:rPr>
                <w:rFonts w:ascii="Trebuchet MS" w:eastAsia="Calibri" w:hAnsi="Trebuchet MS" w:cs="Times New Roman"/>
                <w:b/>
                <w:bCs/>
                <w:color w:val="0B73B6" w:themeColor="background2" w:themeShade="BF"/>
                <w:sz w:val="20"/>
                <w:szCs w:val="18"/>
              </w:rPr>
              <w:t>US$</w:t>
            </w:r>
            <w:r w:rsidR="00892DE4">
              <w:rPr>
                <w:rFonts w:ascii="Trebuchet MS" w:eastAsia="Calibri" w:hAnsi="Trebuchet MS" w:cs="Times New Roman"/>
                <w:b/>
                <w:bCs/>
                <w:color w:val="0B73B6" w:themeColor="background2" w:themeShade="BF"/>
                <w:sz w:val="20"/>
                <w:szCs w:val="18"/>
              </w:rPr>
              <w:t>)</w:t>
            </w:r>
            <w:r w:rsidR="00567128">
              <w:rPr>
                <w:rFonts w:ascii="Trebuchet MS" w:eastAsia="Calibri" w:hAnsi="Trebuchet MS" w:cs="Times New Roman"/>
                <w:b/>
                <w:bCs/>
                <w:color w:val="0B73B6" w:themeColor="background2" w:themeShade="BF"/>
                <w:sz w:val="20"/>
                <w:szCs w:val="18"/>
              </w:rPr>
              <w:t xml:space="preserve"> for </w:t>
            </w:r>
            <w:r w:rsidR="001F32CA">
              <w:rPr>
                <w:rFonts w:ascii="Trebuchet MS" w:eastAsia="Calibri" w:hAnsi="Trebuchet MS" w:cs="Times New Roman"/>
                <w:b/>
                <w:bCs/>
                <w:color w:val="0B73B6" w:themeColor="background2" w:themeShade="BF"/>
                <w:sz w:val="20"/>
                <w:szCs w:val="18"/>
              </w:rPr>
              <w:t>B</w:t>
            </w:r>
            <w:r w:rsidR="00567128">
              <w:rPr>
                <w:rFonts w:ascii="Trebuchet MS" w:eastAsia="Calibri" w:hAnsi="Trebuchet MS" w:cs="Times New Roman"/>
                <w:b/>
                <w:bCs/>
                <w:color w:val="0B73B6" w:themeColor="background2" w:themeShade="BF"/>
                <w:sz w:val="20"/>
                <w:szCs w:val="18"/>
              </w:rPr>
              <w:t xml:space="preserve">oth GHS </w:t>
            </w:r>
            <w:r w:rsidR="001F32CA">
              <w:rPr>
                <w:rFonts w:ascii="Trebuchet MS" w:eastAsia="Calibri" w:hAnsi="Trebuchet MS" w:cs="Times New Roman"/>
                <w:b/>
                <w:bCs/>
                <w:color w:val="0B73B6" w:themeColor="background2" w:themeShade="BF"/>
                <w:sz w:val="20"/>
                <w:szCs w:val="18"/>
              </w:rPr>
              <w:t>R</w:t>
            </w:r>
            <w:r w:rsidR="00567128">
              <w:rPr>
                <w:rFonts w:ascii="Trebuchet MS" w:eastAsia="Calibri" w:hAnsi="Trebuchet MS" w:cs="Times New Roman"/>
                <w:b/>
                <w:bCs/>
                <w:color w:val="0B73B6" w:themeColor="background2" w:themeShade="BF"/>
                <w:sz w:val="20"/>
                <w:szCs w:val="18"/>
              </w:rPr>
              <w:t>ounds</w:t>
            </w:r>
            <w:bookmarkEnd w:id="157"/>
          </w:p>
          <w:p w14:paraId="50EFB32E" w14:textId="77777777" w:rsidR="0000694B" w:rsidRPr="0000694B" w:rsidRDefault="0000694B" w:rsidP="00D727BF">
            <w:pPr>
              <w:tabs>
                <w:tab w:val="left" w:pos="720"/>
              </w:tabs>
            </w:pPr>
            <w:r w:rsidRPr="0000694B">
              <w:rPr>
                <w:noProof/>
              </w:rPr>
              <w:drawing>
                <wp:inline distT="0" distB="0" distL="0" distR="0" wp14:anchorId="7FED5F09" wp14:editId="5063CAB7">
                  <wp:extent cx="2914650" cy="1789582"/>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15665" cy="1790205"/>
                          </a:xfrm>
                          <a:prstGeom prst="rect">
                            <a:avLst/>
                          </a:prstGeom>
                        </pic:spPr>
                      </pic:pic>
                    </a:graphicData>
                  </a:graphic>
                </wp:inline>
              </w:drawing>
            </w:r>
          </w:p>
        </w:tc>
        <w:tc>
          <w:tcPr>
            <w:tcW w:w="4818" w:type="dxa"/>
          </w:tcPr>
          <w:p w14:paraId="6F1ECC6D" w14:textId="33FBD406" w:rsidR="0000694B" w:rsidRPr="0000694B" w:rsidRDefault="0000694B" w:rsidP="00D727BF">
            <w:pPr>
              <w:keepNext/>
              <w:tabs>
                <w:tab w:val="left" w:pos="720"/>
              </w:tabs>
              <w:spacing w:after="0"/>
              <w:ind w:left="20" w:hanging="20"/>
              <w:jc w:val="center"/>
              <w:rPr>
                <w:rFonts w:ascii="Trebuchet MS" w:eastAsia="Calibri" w:hAnsi="Trebuchet MS" w:cs="Times New Roman"/>
                <w:b/>
                <w:bCs/>
                <w:color w:val="0B73B6" w:themeColor="background2" w:themeShade="BF"/>
                <w:sz w:val="20"/>
                <w:szCs w:val="18"/>
              </w:rPr>
            </w:pPr>
            <w:bookmarkStart w:id="158" w:name="_Ref430110820"/>
            <w:bookmarkStart w:id="159" w:name="_Ref445131599"/>
            <w:bookmarkStart w:id="160" w:name="_Toc445449648"/>
            <w:r w:rsidRPr="0000694B">
              <w:rPr>
                <w:rFonts w:ascii="Trebuchet MS" w:eastAsia="Calibri" w:hAnsi="Trebuchet MS" w:cs="Times New Roman"/>
                <w:b/>
                <w:bCs/>
                <w:color w:val="0B73B6" w:themeColor="background2" w:themeShade="BF"/>
                <w:sz w:val="20"/>
                <w:szCs w:val="18"/>
              </w:rPr>
              <w:t xml:space="preserve">Figure </w:t>
            </w:r>
            <w:r w:rsidR="00D92B55">
              <w:rPr>
                <w:rFonts w:ascii="Trebuchet MS" w:eastAsia="Calibri" w:hAnsi="Trebuchet MS" w:cs="Times New Roman"/>
                <w:b/>
                <w:bCs/>
                <w:color w:val="0B73B6" w:themeColor="background2" w:themeShade="BF"/>
                <w:sz w:val="20"/>
                <w:szCs w:val="18"/>
              </w:rPr>
              <w:fldChar w:fldCharType="begin"/>
            </w:r>
            <w:r w:rsidR="00D92B55">
              <w:rPr>
                <w:rFonts w:ascii="Trebuchet MS" w:eastAsia="Calibri" w:hAnsi="Trebuchet MS" w:cs="Times New Roman"/>
                <w:b/>
                <w:bCs/>
                <w:color w:val="0B73B6" w:themeColor="background2" w:themeShade="BF"/>
                <w:sz w:val="20"/>
                <w:szCs w:val="18"/>
              </w:rPr>
              <w:instrText xml:space="preserve"> SEQ Figure \* ARABIC </w:instrText>
            </w:r>
            <w:r w:rsidR="00D92B55">
              <w:rPr>
                <w:rFonts w:ascii="Trebuchet MS" w:eastAsia="Calibri" w:hAnsi="Trebuchet MS" w:cs="Times New Roman"/>
                <w:b/>
                <w:bCs/>
                <w:color w:val="0B73B6" w:themeColor="background2" w:themeShade="BF"/>
                <w:sz w:val="20"/>
                <w:szCs w:val="18"/>
              </w:rPr>
              <w:fldChar w:fldCharType="separate"/>
            </w:r>
            <w:r w:rsidR="008A3BBD">
              <w:rPr>
                <w:rFonts w:ascii="Trebuchet MS" w:eastAsia="Calibri" w:hAnsi="Trebuchet MS" w:cs="Times New Roman"/>
                <w:b/>
                <w:bCs/>
                <w:noProof/>
                <w:color w:val="0B73B6" w:themeColor="background2" w:themeShade="BF"/>
                <w:sz w:val="20"/>
                <w:szCs w:val="18"/>
              </w:rPr>
              <w:t>30</w:t>
            </w:r>
            <w:r w:rsidR="00D92B55">
              <w:rPr>
                <w:rFonts w:ascii="Trebuchet MS" w:eastAsia="Calibri" w:hAnsi="Trebuchet MS" w:cs="Times New Roman"/>
                <w:b/>
                <w:bCs/>
                <w:color w:val="0B73B6" w:themeColor="background2" w:themeShade="BF"/>
                <w:sz w:val="20"/>
                <w:szCs w:val="18"/>
              </w:rPr>
              <w:fldChar w:fldCharType="end"/>
            </w:r>
            <w:bookmarkEnd w:id="158"/>
            <w:bookmarkEnd w:id="159"/>
            <w:r w:rsidRPr="0000694B">
              <w:rPr>
                <w:rFonts w:ascii="Trebuchet MS" w:eastAsia="Calibri" w:hAnsi="Trebuchet MS" w:cs="Times New Roman"/>
                <w:b/>
                <w:bCs/>
                <w:color w:val="0B73B6" w:themeColor="background2" w:themeShade="BF"/>
                <w:sz w:val="20"/>
                <w:szCs w:val="18"/>
              </w:rPr>
              <w:t xml:space="preserve">: Log of Total Factor Productivity, by </w:t>
            </w:r>
            <w:r w:rsidR="00892DE4">
              <w:rPr>
                <w:rFonts w:ascii="Trebuchet MS" w:eastAsia="Calibri" w:hAnsi="Trebuchet MS" w:cs="Times New Roman"/>
                <w:b/>
                <w:bCs/>
                <w:color w:val="0B73B6" w:themeColor="background2" w:themeShade="BF"/>
                <w:sz w:val="20"/>
                <w:szCs w:val="18"/>
              </w:rPr>
              <w:t>T</w:t>
            </w:r>
            <w:r w:rsidRPr="0000694B">
              <w:rPr>
                <w:rFonts w:ascii="Trebuchet MS" w:eastAsia="Calibri" w:hAnsi="Trebuchet MS" w:cs="Times New Roman"/>
                <w:b/>
                <w:bCs/>
                <w:color w:val="0B73B6" w:themeColor="background2" w:themeShade="BF"/>
                <w:sz w:val="20"/>
                <w:szCs w:val="18"/>
              </w:rPr>
              <w:t>ype of NFE</w:t>
            </w:r>
            <w:r w:rsidR="00567128">
              <w:rPr>
                <w:rFonts w:ascii="Trebuchet MS" w:eastAsia="Calibri" w:hAnsi="Trebuchet MS" w:cs="Times New Roman"/>
                <w:b/>
                <w:bCs/>
                <w:color w:val="0B73B6" w:themeColor="background2" w:themeShade="BF"/>
                <w:sz w:val="20"/>
                <w:szCs w:val="18"/>
              </w:rPr>
              <w:t xml:space="preserve"> for </w:t>
            </w:r>
            <w:r w:rsidR="001F32CA">
              <w:rPr>
                <w:rFonts w:ascii="Trebuchet MS" w:eastAsia="Calibri" w:hAnsi="Trebuchet MS" w:cs="Times New Roman"/>
                <w:b/>
                <w:bCs/>
                <w:color w:val="0B73B6" w:themeColor="background2" w:themeShade="BF"/>
                <w:sz w:val="20"/>
                <w:szCs w:val="18"/>
              </w:rPr>
              <w:t>B</w:t>
            </w:r>
            <w:r w:rsidR="00567128">
              <w:rPr>
                <w:rFonts w:ascii="Trebuchet MS" w:eastAsia="Calibri" w:hAnsi="Trebuchet MS" w:cs="Times New Roman"/>
                <w:b/>
                <w:bCs/>
                <w:color w:val="0B73B6" w:themeColor="background2" w:themeShade="BF"/>
                <w:sz w:val="20"/>
                <w:szCs w:val="18"/>
              </w:rPr>
              <w:t xml:space="preserve">oth GHS </w:t>
            </w:r>
            <w:r w:rsidR="001F32CA">
              <w:rPr>
                <w:rFonts w:ascii="Trebuchet MS" w:eastAsia="Calibri" w:hAnsi="Trebuchet MS" w:cs="Times New Roman"/>
                <w:b/>
                <w:bCs/>
                <w:color w:val="0B73B6" w:themeColor="background2" w:themeShade="BF"/>
                <w:sz w:val="20"/>
                <w:szCs w:val="18"/>
              </w:rPr>
              <w:t>R</w:t>
            </w:r>
            <w:r w:rsidR="00567128">
              <w:rPr>
                <w:rFonts w:ascii="Trebuchet MS" w:eastAsia="Calibri" w:hAnsi="Trebuchet MS" w:cs="Times New Roman"/>
                <w:b/>
                <w:bCs/>
                <w:color w:val="0B73B6" w:themeColor="background2" w:themeShade="BF"/>
                <w:sz w:val="20"/>
                <w:szCs w:val="18"/>
              </w:rPr>
              <w:t>ounds</w:t>
            </w:r>
            <w:bookmarkEnd w:id="160"/>
          </w:p>
          <w:p w14:paraId="0B9574CD" w14:textId="77777777" w:rsidR="0000694B" w:rsidRPr="0000694B" w:rsidRDefault="0000694B" w:rsidP="00D727BF">
            <w:pPr>
              <w:tabs>
                <w:tab w:val="left" w:pos="720"/>
              </w:tabs>
            </w:pPr>
            <w:r w:rsidRPr="0000694B">
              <w:rPr>
                <w:noProof/>
              </w:rPr>
              <w:drawing>
                <wp:inline distT="0" distB="0" distL="0" distR="0" wp14:anchorId="1F649E6E" wp14:editId="721EB487">
                  <wp:extent cx="2951802" cy="1807033"/>
                  <wp:effectExtent l="0" t="0" r="127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1802" cy="1807033"/>
                          </a:xfrm>
                          <a:prstGeom prst="rect">
                            <a:avLst/>
                          </a:prstGeom>
                        </pic:spPr>
                      </pic:pic>
                    </a:graphicData>
                  </a:graphic>
                </wp:inline>
              </w:drawing>
            </w:r>
          </w:p>
        </w:tc>
      </w:tr>
      <w:tr w:rsidR="0000694B" w:rsidRPr="0000694B" w14:paraId="2B2A8EC2" w14:textId="77777777" w:rsidTr="0000694B">
        <w:tc>
          <w:tcPr>
            <w:tcW w:w="9576" w:type="dxa"/>
            <w:gridSpan w:val="2"/>
          </w:tcPr>
          <w:p w14:paraId="6725AB53" w14:textId="77777777" w:rsidR="0000694B" w:rsidRPr="0000694B" w:rsidRDefault="0000694B" w:rsidP="00D727BF">
            <w:pPr>
              <w:tabs>
                <w:tab w:val="left" w:pos="720"/>
              </w:tabs>
              <w:jc w:val="center"/>
            </w:pPr>
            <w:r w:rsidRPr="0000694B">
              <w:rPr>
                <w:noProof/>
              </w:rPr>
              <w:drawing>
                <wp:inline distT="0" distB="0" distL="0" distR="0" wp14:anchorId="1F00A5B1" wp14:editId="76E13A82">
                  <wp:extent cx="2809875" cy="3494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16859" cy="350301"/>
                          </a:xfrm>
                          <a:prstGeom prst="rect">
                            <a:avLst/>
                          </a:prstGeom>
                        </pic:spPr>
                      </pic:pic>
                    </a:graphicData>
                  </a:graphic>
                </wp:inline>
              </w:drawing>
            </w:r>
          </w:p>
        </w:tc>
      </w:tr>
    </w:tbl>
    <w:p w14:paraId="7559E853" w14:textId="77777777" w:rsidR="000A5802" w:rsidRDefault="00370A6A" w:rsidP="00D727BF">
      <w:pPr>
        <w:tabs>
          <w:tab w:val="left" w:pos="720"/>
        </w:tabs>
        <w:spacing w:after="0"/>
        <w:rPr>
          <w:sz w:val="18"/>
          <w:szCs w:val="20"/>
        </w:rPr>
      </w:pPr>
      <w:r w:rsidRPr="001845F3">
        <w:rPr>
          <w:rFonts w:eastAsia="Times New Roman" w:cs="Times New Roman"/>
          <w:sz w:val="18"/>
          <w:szCs w:val="20"/>
        </w:rPr>
        <w:t>Source: Authors</w:t>
      </w:r>
      <w:r w:rsidR="00863D16">
        <w:rPr>
          <w:rFonts w:eastAsia="Times New Roman" w:cs="Times New Roman"/>
          <w:sz w:val="18"/>
          <w:szCs w:val="20"/>
        </w:rPr>
        <w:t>’</w:t>
      </w:r>
      <w:r w:rsidRPr="001845F3">
        <w:rPr>
          <w:rFonts w:eastAsia="Times New Roman" w:cs="Times New Roman"/>
          <w:sz w:val="18"/>
          <w:szCs w:val="20"/>
        </w:rPr>
        <w:t xml:space="preserve"> calculations based on </w:t>
      </w:r>
      <w:r w:rsidR="000A5802" w:rsidRPr="001845F3">
        <w:rPr>
          <w:rFonts w:eastAsia="Times New Roman" w:cs="Times New Roman"/>
          <w:sz w:val="18"/>
          <w:szCs w:val="20"/>
        </w:rPr>
        <w:t>GHS 2010</w:t>
      </w:r>
      <w:r w:rsidR="000A5802">
        <w:rPr>
          <w:rFonts w:ascii="Calibri" w:eastAsia="Times New Roman" w:hAnsi="Calibri" w:cs="Times New Roman"/>
          <w:sz w:val="18"/>
          <w:szCs w:val="20"/>
        </w:rPr>
        <w:t>‒</w:t>
      </w:r>
      <w:r w:rsidR="000A5802" w:rsidRPr="001845F3">
        <w:rPr>
          <w:rFonts w:eastAsia="Times New Roman" w:cs="Times New Roman"/>
          <w:sz w:val="18"/>
          <w:szCs w:val="20"/>
        </w:rPr>
        <w:t>11 and 2012</w:t>
      </w:r>
      <w:r w:rsidR="000A5802">
        <w:rPr>
          <w:rFonts w:ascii="Calibri" w:eastAsia="Times New Roman" w:hAnsi="Calibri" w:cs="Times New Roman"/>
          <w:sz w:val="18"/>
          <w:szCs w:val="20"/>
        </w:rPr>
        <w:t>‒</w:t>
      </w:r>
      <w:r w:rsidR="000A5802" w:rsidRPr="001845F3">
        <w:rPr>
          <w:rFonts w:eastAsia="Times New Roman" w:cs="Times New Roman"/>
          <w:sz w:val="18"/>
          <w:szCs w:val="20"/>
        </w:rPr>
        <w:t>13</w:t>
      </w:r>
    </w:p>
    <w:p w14:paraId="720AE408" w14:textId="77777777" w:rsidR="000A5802" w:rsidRDefault="000A5802" w:rsidP="00D727BF">
      <w:pPr>
        <w:tabs>
          <w:tab w:val="left" w:pos="720"/>
        </w:tabs>
        <w:spacing w:after="0"/>
        <w:rPr>
          <w:sz w:val="18"/>
          <w:szCs w:val="20"/>
        </w:rPr>
      </w:pPr>
    </w:p>
    <w:p w14:paraId="6FC6FB32" w14:textId="6BD5712B" w:rsidR="00583F0D" w:rsidRDefault="004E78E7" w:rsidP="00D727BF">
      <w:pPr>
        <w:tabs>
          <w:tab w:val="left" w:pos="720"/>
        </w:tabs>
        <w:spacing w:after="0"/>
      </w:pPr>
      <w:r>
        <w:rPr>
          <w:rFonts w:eastAsia="Times New Roman" w:cs="Times New Roman"/>
          <w:sz w:val="18"/>
          <w:szCs w:val="20"/>
        </w:rPr>
        <w:tab/>
      </w:r>
      <w:r w:rsidR="00583F0D" w:rsidRPr="000F6A00">
        <w:rPr>
          <w:b/>
        </w:rPr>
        <w:t xml:space="preserve">As noted above, </w:t>
      </w:r>
      <w:r w:rsidR="00885D08">
        <w:rPr>
          <w:b/>
        </w:rPr>
        <w:t>HEs</w:t>
      </w:r>
      <w:r w:rsidR="00583F0D" w:rsidRPr="000F6A00">
        <w:rPr>
          <w:b/>
        </w:rPr>
        <w:t xml:space="preserve"> and </w:t>
      </w:r>
      <w:r w:rsidR="00885D08">
        <w:rPr>
          <w:b/>
        </w:rPr>
        <w:t xml:space="preserve">MEs </w:t>
      </w:r>
      <w:r w:rsidR="00583F0D" w:rsidRPr="000F6A00">
        <w:rPr>
          <w:b/>
        </w:rPr>
        <w:t>have different survival and growth strategies.</w:t>
      </w:r>
      <w:r w:rsidR="00583F0D" w:rsidRPr="00583F0D">
        <w:t xml:space="preserve"> The objective of </w:t>
      </w:r>
      <w:r w:rsidR="00885D08">
        <w:t xml:space="preserve">HEs </w:t>
      </w:r>
      <w:r w:rsidR="00583F0D" w:rsidRPr="00583F0D">
        <w:t xml:space="preserve">is to increase sales and household income, while the objective of </w:t>
      </w:r>
      <w:r w:rsidR="00885D08">
        <w:t xml:space="preserve">MEs </w:t>
      </w:r>
      <w:r w:rsidR="00583F0D" w:rsidRPr="00583F0D">
        <w:t xml:space="preserve">is to become a functioning private sector firm and create wage jobs. As a result, the performance of </w:t>
      </w:r>
      <w:r w:rsidR="00885D08">
        <w:t>HEs</w:t>
      </w:r>
      <w:r w:rsidR="00583F0D" w:rsidRPr="00583F0D">
        <w:t xml:space="preserve"> is best measured by sales per worker, while </w:t>
      </w:r>
      <w:r w:rsidR="00AF4AAA">
        <w:t xml:space="preserve">the best </w:t>
      </w:r>
      <w:r w:rsidR="00583F0D" w:rsidRPr="00583F0D">
        <w:t xml:space="preserve">measures of performance for </w:t>
      </w:r>
      <w:r w:rsidR="00885D08">
        <w:t xml:space="preserve">MEs </w:t>
      </w:r>
      <w:r w:rsidR="00583F0D" w:rsidRPr="00583F0D">
        <w:t xml:space="preserve">are TFP, sales per worker, and employment growth. </w:t>
      </w:r>
    </w:p>
    <w:p w14:paraId="41411C84" w14:textId="77777777" w:rsidR="000A5802" w:rsidRPr="00583F0D" w:rsidRDefault="000A5802" w:rsidP="00D727BF">
      <w:pPr>
        <w:tabs>
          <w:tab w:val="left" w:pos="720"/>
        </w:tabs>
        <w:spacing w:after="0"/>
      </w:pPr>
    </w:p>
    <w:p w14:paraId="3F9F9EC1" w14:textId="77777777" w:rsidR="0000694B" w:rsidRPr="0000694B" w:rsidRDefault="0000694B" w:rsidP="00D727BF">
      <w:pPr>
        <w:tabs>
          <w:tab w:val="left" w:pos="720"/>
        </w:tabs>
        <w:spacing w:before="29"/>
        <w:jc w:val="center"/>
        <w:outlineLvl w:val="2"/>
        <w:rPr>
          <w:rFonts w:ascii="AndesExtraLight"/>
          <w:color w:val="00AEEF"/>
          <w:sz w:val="26"/>
        </w:rPr>
      </w:pPr>
      <w:r w:rsidRPr="0000694B">
        <w:rPr>
          <w:rFonts w:ascii="AndesExtraLight"/>
          <w:color w:val="00AEEF"/>
          <w:sz w:val="26"/>
        </w:rPr>
        <w:t>Possible determinants of firm-level performance</w:t>
      </w:r>
    </w:p>
    <w:p w14:paraId="699A3A09" w14:textId="38B9BF30" w:rsidR="0000694B" w:rsidRPr="0000694B" w:rsidRDefault="004E78E7" w:rsidP="00D727BF">
      <w:pPr>
        <w:pStyle w:val="ParagraphNumbering"/>
        <w:numPr>
          <w:ilvl w:val="0"/>
          <w:numId w:val="0"/>
        </w:numPr>
        <w:tabs>
          <w:tab w:val="left" w:pos="720"/>
        </w:tabs>
        <w:spacing w:after="240"/>
      </w:pPr>
      <w:r>
        <w:rPr>
          <w:b/>
        </w:rPr>
        <w:tab/>
      </w:r>
      <w:r w:rsidR="0000694B" w:rsidRPr="00583F0D">
        <w:rPr>
          <w:b/>
        </w:rPr>
        <w:t xml:space="preserve">What can explain the variations of NFE performance in Nigeria? </w:t>
      </w:r>
      <w:r w:rsidR="0000694B" w:rsidRPr="0000694B">
        <w:t>Different factors are tested in the following sections: owner</w:t>
      </w:r>
      <w:r w:rsidR="00863D16">
        <w:t>’</w:t>
      </w:r>
      <w:r w:rsidR="0000694B" w:rsidRPr="0000694B">
        <w:t>s characteristics (</w:t>
      </w:r>
      <w:r w:rsidR="00AF4AAA">
        <w:t>gender</w:t>
      </w:r>
      <w:r w:rsidR="0000694B" w:rsidRPr="0000694B">
        <w:t>, marital status, age, years of education, whether the primary occupation is self-employment in a NFE)</w:t>
      </w:r>
      <w:r w:rsidR="00AF4AAA">
        <w:t>;</w:t>
      </w:r>
      <w:r w:rsidR="0000694B" w:rsidRPr="0000694B">
        <w:t xml:space="preserve"> household characteristics (number of </w:t>
      </w:r>
      <w:r w:rsidR="00AF4AAA">
        <w:t xml:space="preserve">children </w:t>
      </w:r>
      <w:r w:rsidR="0000694B" w:rsidRPr="0000694B">
        <w:t xml:space="preserve">below </w:t>
      </w:r>
      <w:r w:rsidR="00762132">
        <w:t>five</w:t>
      </w:r>
      <w:r w:rsidR="0000694B" w:rsidRPr="0000694B">
        <w:t xml:space="preserve"> years old, ow</w:t>
      </w:r>
      <w:r w:rsidR="00AF4AAA">
        <w:t>n</w:t>
      </w:r>
      <w:r w:rsidR="0000694B" w:rsidRPr="0000694B">
        <w:t>ing a television</w:t>
      </w:r>
      <w:r w:rsidR="00AF4AAA">
        <w:t xml:space="preserve"> as</w:t>
      </w:r>
      <w:r w:rsidR="0000694B" w:rsidRPr="0000694B">
        <w:t xml:space="preserve"> a proxy for wealth, whether the household had suffered from a shock in the past </w:t>
      </w:r>
      <w:r w:rsidR="00762132">
        <w:t>five</w:t>
      </w:r>
      <w:r w:rsidR="0000694B" w:rsidRPr="0000694B">
        <w:t xml:space="preserve"> years)</w:t>
      </w:r>
      <w:r w:rsidR="00AF4AAA">
        <w:t>;</w:t>
      </w:r>
      <w:r w:rsidR="0000694B" w:rsidRPr="0000694B">
        <w:t xml:space="preserve"> business characteristics (whether the firm employs </w:t>
      </w:r>
      <w:r w:rsidR="00AF4AAA">
        <w:t xml:space="preserve">a </w:t>
      </w:r>
      <w:r w:rsidR="0049050E">
        <w:t>non</w:t>
      </w:r>
      <w:r w:rsidR="00127EAF">
        <w:t>-</w:t>
      </w:r>
      <w:r w:rsidR="0000694B" w:rsidRPr="0000694B">
        <w:t xml:space="preserve">HH member, </w:t>
      </w:r>
      <w:r w:rsidR="00AF4AAA">
        <w:t>i</w:t>
      </w:r>
      <w:r w:rsidR="0000694B" w:rsidRPr="0000694B">
        <w:t>s formally registered, operates in the household premises)</w:t>
      </w:r>
      <w:r w:rsidR="00AF4AAA">
        <w:t>;</w:t>
      </w:r>
      <w:r w:rsidR="0000694B" w:rsidRPr="0000694B">
        <w:t xml:space="preserve"> a time variable (2010</w:t>
      </w:r>
      <w:r w:rsidR="000A5802">
        <w:rPr>
          <w:rFonts w:ascii="Calibri" w:hAnsi="Calibri"/>
        </w:rPr>
        <w:t>‒</w:t>
      </w:r>
      <w:r w:rsidR="0000694B" w:rsidRPr="0000694B">
        <w:t>11 or 2012</w:t>
      </w:r>
      <w:r w:rsidR="000A5802">
        <w:rPr>
          <w:rFonts w:ascii="Calibri" w:hAnsi="Calibri"/>
        </w:rPr>
        <w:t>‒</w:t>
      </w:r>
      <w:r w:rsidR="0000694B" w:rsidRPr="0000694B">
        <w:t>13)</w:t>
      </w:r>
      <w:r w:rsidR="00AF4AAA">
        <w:t>;</w:t>
      </w:r>
      <w:r w:rsidR="0000694B" w:rsidRPr="0000694B">
        <w:t xml:space="preserve"> and </w:t>
      </w:r>
      <w:r w:rsidR="000A5802">
        <w:t>I</w:t>
      </w:r>
      <w:r w:rsidR="0000694B" w:rsidRPr="0000694B">
        <w:t xml:space="preserve">nvestment </w:t>
      </w:r>
      <w:r w:rsidR="000A5802">
        <w:t>C</w:t>
      </w:r>
      <w:r w:rsidR="0000694B" w:rsidRPr="0000694B">
        <w:t>limate variables.</w:t>
      </w:r>
    </w:p>
    <w:p w14:paraId="5CB168FF" w14:textId="1B015863" w:rsidR="0000694B" w:rsidRPr="0000694B" w:rsidRDefault="004E78E7" w:rsidP="00D727BF">
      <w:pPr>
        <w:pStyle w:val="ParagraphNumbering"/>
        <w:numPr>
          <w:ilvl w:val="0"/>
          <w:numId w:val="0"/>
        </w:numPr>
        <w:tabs>
          <w:tab w:val="left" w:pos="720"/>
        </w:tabs>
        <w:spacing w:after="240"/>
      </w:pPr>
      <w:r>
        <w:rPr>
          <w:b/>
        </w:rPr>
        <w:tab/>
      </w:r>
      <w:r w:rsidR="0000694B" w:rsidRPr="000F6A00">
        <w:rPr>
          <w:b/>
        </w:rPr>
        <w:t xml:space="preserve">The </w:t>
      </w:r>
      <w:r w:rsidR="00106975">
        <w:rPr>
          <w:b/>
        </w:rPr>
        <w:t>household survey</w:t>
      </w:r>
      <w:r w:rsidR="0000694B" w:rsidRPr="000F6A00">
        <w:rPr>
          <w:b/>
        </w:rPr>
        <w:t xml:space="preserve"> conducted in 2012</w:t>
      </w:r>
      <w:r w:rsidR="000A5802">
        <w:rPr>
          <w:rFonts w:ascii="Calibri" w:hAnsi="Calibri"/>
          <w:b/>
        </w:rPr>
        <w:t>‒</w:t>
      </w:r>
      <w:r w:rsidR="0000694B" w:rsidRPr="000F6A00">
        <w:rPr>
          <w:b/>
        </w:rPr>
        <w:t xml:space="preserve">13 asked households to choose </w:t>
      </w:r>
      <w:r w:rsidR="00AF4AAA" w:rsidRPr="000F6A00">
        <w:rPr>
          <w:b/>
        </w:rPr>
        <w:t xml:space="preserve">a </w:t>
      </w:r>
      <w:r w:rsidR="0000694B" w:rsidRPr="000F6A00">
        <w:rPr>
          <w:b/>
        </w:rPr>
        <w:t>maximum</w:t>
      </w:r>
      <w:r w:rsidR="00AF4AAA" w:rsidRPr="000F6A00">
        <w:rPr>
          <w:b/>
        </w:rPr>
        <w:t xml:space="preserve"> of</w:t>
      </w:r>
      <w:r w:rsidR="0000694B" w:rsidRPr="000F6A00">
        <w:rPr>
          <w:b/>
        </w:rPr>
        <w:t xml:space="preserve"> three obstacles</w:t>
      </w:r>
      <w:r w:rsidR="0000694B" w:rsidRPr="0000694B">
        <w:t xml:space="preserve"> </w:t>
      </w:r>
      <w:r w:rsidR="00AF4AAA">
        <w:t xml:space="preserve">that </w:t>
      </w:r>
      <w:r w:rsidR="0000694B" w:rsidRPr="0000694B">
        <w:t>prevent their business from operating and/or growing.</w:t>
      </w:r>
      <w:r w:rsidR="00F428F9">
        <w:t xml:space="preserve"> </w:t>
      </w:r>
      <w:r w:rsidR="0000694B" w:rsidRPr="0000694B">
        <w:t>As shown in</w:t>
      </w:r>
      <w:r w:rsidR="00CB1A8E">
        <w:t xml:space="preserve"> </w:t>
      </w:r>
      <w:r w:rsidR="002B728F" w:rsidRPr="00086B78">
        <w:rPr>
          <w:rStyle w:val="ListParagraphChar"/>
          <w:rFonts w:eastAsia="Calibri"/>
        </w:rPr>
        <w:fldChar w:fldCharType="begin"/>
      </w:r>
      <w:r w:rsidR="002B728F" w:rsidRPr="00086B78">
        <w:rPr>
          <w:rStyle w:val="ListParagraphChar"/>
          <w:rFonts w:eastAsia="Calibri"/>
        </w:rPr>
        <w:instrText xml:space="preserve"> REF _Ref445131729 \h </w:instrText>
      </w:r>
      <w:r w:rsidR="002B728F">
        <w:rPr>
          <w:rStyle w:val="ListParagraphChar"/>
          <w:rFonts w:eastAsia="Calibri"/>
        </w:rPr>
        <w:instrText xml:space="preserve"> \* MERGEFORMAT </w:instrText>
      </w:r>
      <w:r w:rsidR="002B728F" w:rsidRPr="00086B78">
        <w:rPr>
          <w:rStyle w:val="ListParagraphChar"/>
          <w:rFonts w:eastAsia="Calibri"/>
        </w:rPr>
      </w:r>
      <w:r w:rsidR="002B728F" w:rsidRPr="00086B78">
        <w:rPr>
          <w:rStyle w:val="ListParagraphChar"/>
          <w:rFonts w:eastAsia="Calibri"/>
        </w:rPr>
        <w:fldChar w:fldCharType="separate"/>
      </w:r>
      <w:r w:rsidR="000A5802">
        <w:rPr>
          <w:rStyle w:val="ListParagraphChar"/>
          <w:rFonts w:eastAsia="Calibri"/>
        </w:rPr>
        <w:t>figure</w:t>
      </w:r>
      <w:r w:rsidR="008A3BBD" w:rsidRPr="00D727BF">
        <w:rPr>
          <w:rStyle w:val="ListParagraphChar"/>
          <w:rFonts w:eastAsia="Calibri"/>
        </w:rPr>
        <w:t xml:space="preserve"> 31</w:t>
      </w:r>
      <w:r w:rsidR="002B728F" w:rsidRPr="00086B78">
        <w:rPr>
          <w:rStyle w:val="ListParagraphChar"/>
          <w:rFonts w:eastAsia="Calibri"/>
        </w:rPr>
        <w:fldChar w:fldCharType="end"/>
      </w:r>
      <w:r w:rsidR="0000694B" w:rsidRPr="0000694B">
        <w:t xml:space="preserve">, </w:t>
      </w:r>
      <w:r w:rsidR="00885D08">
        <w:t>50 percent</w:t>
      </w:r>
      <w:r w:rsidR="00885D08" w:rsidRPr="0000694B">
        <w:t xml:space="preserve"> </w:t>
      </w:r>
      <w:r w:rsidR="00885D08">
        <w:t xml:space="preserve">of </w:t>
      </w:r>
      <w:r w:rsidR="0000694B" w:rsidRPr="0000694B">
        <w:t xml:space="preserve">the enterprises identified transport, </w:t>
      </w:r>
      <w:r w:rsidR="00350EA3">
        <w:t xml:space="preserve">48 percent identified finance, and 40 percent identified </w:t>
      </w:r>
      <w:r w:rsidR="0000694B" w:rsidRPr="0000694B">
        <w:t xml:space="preserve">electricity as </w:t>
      </w:r>
      <w:r w:rsidR="00350EA3">
        <w:t>t</w:t>
      </w:r>
      <w:r w:rsidR="0000694B" w:rsidRPr="0000694B">
        <w:t xml:space="preserve">he </w:t>
      </w:r>
      <w:r w:rsidR="00350EA3">
        <w:t xml:space="preserve">most important obstacles to growth. </w:t>
      </w:r>
      <w:r w:rsidR="0000694B" w:rsidRPr="0000694B">
        <w:t>Access to water and telecom</w:t>
      </w:r>
      <w:r w:rsidR="00885D08">
        <w:t>munications</w:t>
      </w:r>
      <w:r w:rsidR="0000694B" w:rsidRPr="0000694B">
        <w:t xml:space="preserve"> </w:t>
      </w:r>
      <w:r w:rsidR="00350EA3">
        <w:t>we</w:t>
      </w:r>
      <w:r w:rsidR="0000694B" w:rsidRPr="0000694B">
        <w:t>re also considered significant obstacle</w:t>
      </w:r>
      <w:r w:rsidR="00AF4AAA">
        <w:t>s</w:t>
      </w:r>
      <w:r w:rsidR="0000694B" w:rsidRPr="0000694B">
        <w:t xml:space="preserve"> for </w:t>
      </w:r>
      <w:r w:rsidR="00885D08">
        <w:t>NFEs</w:t>
      </w:r>
      <w:r w:rsidR="0000694B" w:rsidRPr="0000694B">
        <w:t>, though far behind the three most important ones.</w:t>
      </w:r>
      <w:r w:rsidR="00F428F9">
        <w:t xml:space="preserve"> </w:t>
      </w:r>
      <w:r w:rsidR="001E7480">
        <w:t xml:space="preserve">The three most important constraints are discussed below. </w:t>
      </w:r>
      <w:r w:rsidR="002B728F">
        <w:fldChar w:fldCharType="begin"/>
      </w:r>
      <w:r w:rsidR="002B728F">
        <w:instrText xml:space="preserve"> REF _Ref445131750 \h  \* MERGEFORMAT </w:instrText>
      </w:r>
      <w:r w:rsidR="002B728F">
        <w:fldChar w:fldCharType="separate"/>
      </w:r>
      <w:r w:rsidR="008A3BBD" w:rsidRPr="00D727BF">
        <w:t>Figure 32</w:t>
      </w:r>
      <w:r w:rsidR="002B728F">
        <w:fldChar w:fldCharType="end"/>
      </w:r>
      <w:r w:rsidR="002B728F">
        <w:t xml:space="preserve"> </w:t>
      </w:r>
      <w:r w:rsidR="009C1C03">
        <w:t>confirms the importance of finance, transport</w:t>
      </w:r>
      <w:r w:rsidR="00885D08">
        <w:t>ation,</w:t>
      </w:r>
      <w:r w:rsidR="009C1C03">
        <w:t xml:space="preserve"> and electricity</w:t>
      </w:r>
      <w:r w:rsidR="00AF5FB5">
        <w:t>, and demonstrate</w:t>
      </w:r>
      <w:r w:rsidR="000A5802">
        <w:t>s</w:t>
      </w:r>
      <w:r w:rsidR="00AF5FB5">
        <w:t xml:space="preserve"> their relative importance among the major economic regions. </w:t>
      </w:r>
      <w:r w:rsidR="00FF7D37">
        <w:t xml:space="preserve">The </w:t>
      </w:r>
      <w:r w:rsidR="002B728F">
        <w:t>n</w:t>
      </w:r>
      <w:r w:rsidR="00FF7D37">
        <w:t>orth</w:t>
      </w:r>
      <w:r w:rsidR="00AF5FB5">
        <w:t xml:space="preserve">ern region reports </w:t>
      </w:r>
      <w:r w:rsidR="00FF7D37">
        <w:t xml:space="preserve">transport </w:t>
      </w:r>
      <w:r w:rsidR="00AF5FB5">
        <w:t xml:space="preserve">as its </w:t>
      </w:r>
      <w:r w:rsidR="00FF7D37">
        <w:t>key constraint</w:t>
      </w:r>
      <w:r w:rsidR="00AF5FB5">
        <w:t>,</w:t>
      </w:r>
      <w:r w:rsidR="00FF7D37">
        <w:t xml:space="preserve"> illustrating </w:t>
      </w:r>
      <w:r w:rsidR="00AF5FB5">
        <w:t xml:space="preserve">regional </w:t>
      </w:r>
      <w:r w:rsidR="00FF7D37">
        <w:t xml:space="preserve">difficulties </w:t>
      </w:r>
      <w:r w:rsidR="00AF5FB5">
        <w:t>with market access</w:t>
      </w:r>
      <w:r w:rsidR="00FF7D37">
        <w:t xml:space="preserve">; </w:t>
      </w:r>
      <w:r w:rsidR="00AF5FB5">
        <w:t xml:space="preserve">the Lagos region reports electricity as its key constraint, illustrating fierce competition for power supply in the capital </w:t>
      </w:r>
      <w:r w:rsidR="00AF5FB5">
        <w:lastRenderedPageBreak/>
        <w:t xml:space="preserve">city; and the </w:t>
      </w:r>
      <w:r w:rsidR="000A5802">
        <w:t>s</w:t>
      </w:r>
      <w:r w:rsidR="00FF7D37">
        <w:t>outh</w:t>
      </w:r>
      <w:r w:rsidR="00AF5FB5">
        <w:t xml:space="preserve">ern region reports </w:t>
      </w:r>
      <w:r w:rsidR="00FF7D37">
        <w:t xml:space="preserve">access to finance </w:t>
      </w:r>
      <w:r w:rsidR="00AF5FB5">
        <w:t xml:space="preserve">as its </w:t>
      </w:r>
      <w:r w:rsidR="00FF7D37">
        <w:t>key constraint</w:t>
      </w:r>
      <w:r w:rsidR="00AF5FB5">
        <w:t>, illustrating a growing appetite for investment in this region</w:t>
      </w:r>
      <w:r w:rsidR="00FF7D37">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620"/>
      </w:tblGrid>
      <w:tr w:rsidR="0000694B" w:rsidRPr="0000694B" w14:paraId="5305AB90" w14:textId="77777777" w:rsidTr="0000694B">
        <w:tc>
          <w:tcPr>
            <w:tcW w:w="4956" w:type="dxa"/>
          </w:tcPr>
          <w:p w14:paraId="1D15F6E6" w14:textId="77777777" w:rsidR="00583F0D" w:rsidRDefault="00583F0D" w:rsidP="00D727BF">
            <w:pPr>
              <w:keepNext/>
              <w:tabs>
                <w:tab w:val="left" w:pos="720"/>
              </w:tabs>
              <w:spacing w:after="0"/>
              <w:ind w:left="20" w:hanging="20"/>
              <w:jc w:val="center"/>
              <w:rPr>
                <w:rFonts w:ascii="Trebuchet MS" w:eastAsia="Calibri" w:hAnsi="Trebuchet MS" w:cs="Times New Roman"/>
                <w:b/>
                <w:bCs/>
                <w:color w:val="0B73B6" w:themeColor="background2" w:themeShade="BF"/>
                <w:sz w:val="20"/>
                <w:szCs w:val="20"/>
              </w:rPr>
            </w:pPr>
          </w:p>
          <w:p w14:paraId="6EAD9D7C" w14:textId="356860F8" w:rsidR="0000694B" w:rsidRPr="0000694B" w:rsidRDefault="0000694B" w:rsidP="00D727BF">
            <w:pPr>
              <w:keepNext/>
              <w:tabs>
                <w:tab w:val="left" w:pos="720"/>
              </w:tabs>
              <w:spacing w:after="0"/>
              <w:ind w:left="20" w:hanging="20"/>
              <w:jc w:val="center"/>
              <w:rPr>
                <w:rFonts w:ascii="Trebuchet MS" w:eastAsia="Calibri" w:hAnsi="Trebuchet MS" w:cs="Times New Roman"/>
                <w:b/>
                <w:bCs/>
                <w:color w:val="0B73B6" w:themeColor="background2" w:themeShade="BF"/>
                <w:sz w:val="20"/>
                <w:szCs w:val="20"/>
              </w:rPr>
            </w:pPr>
            <w:bookmarkStart w:id="161" w:name="_Ref431670016"/>
            <w:bookmarkStart w:id="162" w:name="_Ref445131729"/>
            <w:bookmarkStart w:id="163" w:name="_Toc445449649"/>
            <w:r w:rsidRPr="0000694B">
              <w:rPr>
                <w:rFonts w:ascii="Trebuchet MS" w:eastAsia="Calibri" w:hAnsi="Trebuchet MS" w:cs="Times New Roman"/>
                <w:b/>
                <w:bCs/>
                <w:color w:val="0B73B6" w:themeColor="background2" w:themeShade="BF"/>
                <w:sz w:val="20"/>
                <w:szCs w:val="20"/>
              </w:rPr>
              <w:t xml:space="preserve">Figure </w:t>
            </w:r>
            <w:r w:rsidR="00D92B55">
              <w:rPr>
                <w:rFonts w:ascii="Trebuchet MS" w:eastAsia="Calibri" w:hAnsi="Trebuchet MS" w:cs="Times New Roman"/>
                <w:b/>
                <w:bCs/>
                <w:color w:val="0B73B6" w:themeColor="background2" w:themeShade="BF"/>
                <w:sz w:val="20"/>
                <w:szCs w:val="20"/>
              </w:rPr>
              <w:fldChar w:fldCharType="begin"/>
            </w:r>
            <w:r w:rsidR="00D92B55">
              <w:rPr>
                <w:rFonts w:ascii="Trebuchet MS" w:eastAsia="Calibri" w:hAnsi="Trebuchet MS" w:cs="Times New Roman"/>
                <w:b/>
                <w:bCs/>
                <w:color w:val="0B73B6" w:themeColor="background2" w:themeShade="BF"/>
                <w:sz w:val="20"/>
                <w:szCs w:val="20"/>
              </w:rPr>
              <w:instrText xml:space="preserve"> SEQ Figure \* ARABIC </w:instrText>
            </w:r>
            <w:r w:rsidR="00D92B55">
              <w:rPr>
                <w:rFonts w:ascii="Trebuchet MS" w:eastAsia="Calibri" w:hAnsi="Trebuchet MS" w:cs="Times New Roman"/>
                <w:b/>
                <w:bCs/>
                <w:color w:val="0B73B6" w:themeColor="background2" w:themeShade="BF"/>
                <w:sz w:val="20"/>
                <w:szCs w:val="20"/>
              </w:rPr>
              <w:fldChar w:fldCharType="separate"/>
            </w:r>
            <w:r w:rsidR="008A3BBD">
              <w:rPr>
                <w:rFonts w:ascii="Trebuchet MS" w:eastAsia="Calibri" w:hAnsi="Trebuchet MS" w:cs="Times New Roman"/>
                <w:b/>
                <w:bCs/>
                <w:noProof/>
                <w:color w:val="0B73B6" w:themeColor="background2" w:themeShade="BF"/>
                <w:sz w:val="20"/>
                <w:szCs w:val="20"/>
              </w:rPr>
              <w:t>31</w:t>
            </w:r>
            <w:r w:rsidR="00D92B55">
              <w:rPr>
                <w:rFonts w:ascii="Trebuchet MS" w:eastAsia="Calibri" w:hAnsi="Trebuchet MS" w:cs="Times New Roman"/>
                <w:b/>
                <w:bCs/>
                <w:color w:val="0B73B6" w:themeColor="background2" w:themeShade="BF"/>
                <w:sz w:val="20"/>
                <w:szCs w:val="20"/>
              </w:rPr>
              <w:fldChar w:fldCharType="end"/>
            </w:r>
            <w:bookmarkEnd w:id="161"/>
            <w:bookmarkEnd w:id="162"/>
            <w:r w:rsidRPr="0000694B">
              <w:rPr>
                <w:rFonts w:ascii="Trebuchet MS" w:eastAsia="Calibri" w:hAnsi="Trebuchet MS" w:cs="Times New Roman"/>
                <w:b/>
                <w:bCs/>
                <w:color w:val="0B73B6" w:themeColor="background2" w:themeShade="BF"/>
                <w:sz w:val="20"/>
                <w:szCs w:val="20"/>
              </w:rPr>
              <w:t>: Biggest Obstacle</w:t>
            </w:r>
            <w:r w:rsidR="00AF4AAA">
              <w:rPr>
                <w:rFonts w:ascii="Trebuchet MS" w:eastAsia="Calibri" w:hAnsi="Trebuchet MS" w:cs="Times New Roman"/>
                <w:b/>
                <w:bCs/>
                <w:color w:val="0B73B6" w:themeColor="background2" w:themeShade="BF"/>
                <w:sz w:val="20"/>
                <w:szCs w:val="20"/>
              </w:rPr>
              <w:t>s</w:t>
            </w:r>
            <w:r w:rsidRPr="0000694B">
              <w:rPr>
                <w:rFonts w:ascii="Trebuchet MS" w:eastAsia="Calibri" w:hAnsi="Trebuchet MS" w:cs="Times New Roman"/>
                <w:b/>
                <w:bCs/>
                <w:color w:val="0B73B6" w:themeColor="background2" w:themeShade="BF"/>
                <w:sz w:val="20"/>
                <w:szCs w:val="20"/>
              </w:rPr>
              <w:t xml:space="preserve"> </w:t>
            </w:r>
            <w:r w:rsidR="00AF4AAA">
              <w:rPr>
                <w:rFonts w:ascii="Trebuchet MS" w:eastAsia="Calibri" w:hAnsi="Trebuchet MS" w:cs="Times New Roman"/>
                <w:b/>
                <w:bCs/>
                <w:color w:val="0B73B6" w:themeColor="background2" w:themeShade="BF"/>
                <w:sz w:val="20"/>
                <w:szCs w:val="20"/>
              </w:rPr>
              <w:t>F</w:t>
            </w:r>
            <w:r w:rsidRPr="0000694B">
              <w:rPr>
                <w:rFonts w:ascii="Trebuchet MS" w:eastAsia="Calibri" w:hAnsi="Trebuchet MS" w:cs="Times New Roman"/>
                <w:b/>
                <w:bCs/>
                <w:color w:val="0B73B6" w:themeColor="background2" w:themeShade="BF"/>
                <w:sz w:val="20"/>
                <w:szCs w:val="20"/>
              </w:rPr>
              <w:t>aced by NFEs</w:t>
            </w:r>
            <w:bookmarkEnd w:id="163"/>
          </w:p>
          <w:p w14:paraId="157F8646" w14:textId="77777777" w:rsidR="0000694B" w:rsidRPr="0000694B" w:rsidRDefault="0000694B" w:rsidP="00D727BF">
            <w:pPr>
              <w:tabs>
                <w:tab w:val="left" w:pos="720"/>
              </w:tabs>
              <w:spacing w:after="0"/>
              <w:ind w:left="20" w:hanging="20"/>
              <w:rPr>
                <w:rFonts w:eastAsia="Times New Roman" w:cs="Times New Roman"/>
                <w:bCs/>
                <w:sz w:val="20"/>
                <w:szCs w:val="20"/>
              </w:rPr>
            </w:pPr>
            <w:r w:rsidRPr="0000694B">
              <w:rPr>
                <w:rFonts w:eastAsia="Times New Roman" w:cs="Times New Roman"/>
                <w:bCs/>
                <w:noProof/>
                <w:sz w:val="20"/>
                <w:szCs w:val="20"/>
              </w:rPr>
              <w:drawing>
                <wp:inline distT="0" distB="0" distL="0" distR="0" wp14:anchorId="398E8ACF" wp14:editId="2C6FEB29">
                  <wp:extent cx="2905125" cy="25527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620" w:type="dxa"/>
          </w:tcPr>
          <w:p w14:paraId="584EF861" w14:textId="77777777" w:rsidR="00583F0D" w:rsidRDefault="00583F0D" w:rsidP="00D727BF">
            <w:pPr>
              <w:keepNext/>
              <w:tabs>
                <w:tab w:val="left" w:pos="720"/>
              </w:tabs>
              <w:spacing w:after="0"/>
              <w:ind w:left="20" w:hanging="20"/>
              <w:rPr>
                <w:rFonts w:ascii="Trebuchet MS" w:eastAsia="Calibri" w:hAnsi="Trebuchet MS" w:cs="Times New Roman"/>
                <w:b/>
                <w:bCs/>
                <w:color w:val="0B73B6" w:themeColor="background2" w:themeShade="BF"/>
                <w:sz w:val="20"/>
                <w:szCs w:val="20"/>
              </w:rPr>
            </w:pPr>
          </w:p>
          <w:p w14:paraId="689B8FFB" w14:textId="2D713FF2" w:rsidR="0000694B" w:rsidRPr="0000694B" w:rsidRDefault="0000694B" w:rsidP="00D727BF">
            <w:pPr>
              <w:keepNext/>
              <w:tabs>
                <w:tab w:val="left" w:pos="720"/>
              </w:tabs>
              <w:spacing w:after="0"/>
              <w:ind w:left="20" w:hanging="20"/>
              <w:jc w:val="center"/>
              <w:rPr>
                <w:rFonts w:ascii="Trebuchet MS" w:eastAsia="Calibri" w:hAnsi="Trebuchet MS" w:cs="Times New Roman"/>
                <w:b/>
                <w:bCs/>
                <w:color w:val="0B73B6" w:themeColor="background2" w:themeShade="BF"/>
                <w:sz w:val="20"/>
                <w:szCs w:val="20"/>
              </w:rPr>
            </w:pPr>
            <w:bookmarkStart w:id="164" w:name="_Ref445131750"/>
            <w:bookmarkStart w:id="165" w:name="_Toc445449650"/>
            <w:r w:rsidRPr="0000694B">
              <w:rPr>
                <w:rFonts w:ascii="Trebuchet MS" w:eastAsia="Calibri" w:hAnsi="Trebuchet MS" w:cs="Times New Roman"/>
                <w:b/>
                <w:bCs/>
                <w:color w:val="0B73B6" w:themeColor="background2" w:themeShade="BF"/>
                <w:sz w:val="20"/>
                <w:szCs w:val="20"/>
              </w:rPr>
              <w:t xml:space="preserve">Figure </w:t>
            </w:r>
            <w:r w:rsidR="00D92B55">
              <w:rPr>
                <w:rFonts w:ascii="Trebuchet MS" w:eastAsia="Calibri" w:hAnsi="Trebuchet MS" w:cs="Times New Roman"/>
                <w:b/>
                <w:bCs/>
                <w:color w:val="0B73B6" w:themeColor="background2" w:themeShade="BF"/>
                <w:sz w:val="20"/>
                <w:szCs w:val="20"/>
              </w:rPr>
              <w:fldChar w:fldCharType="begin"/>
            </w:r>
            <w:r w:rsidR="00D92B55">
              <w:rPr>
                <w:rFonts w:ascii="Trebuchet MS" w:eastAsia="Calibri" w:hAnsi="Trebuchet MS" w:cs="Times New Roman"/>
                <w:b/>
                <w:bCs/>
                <w:color w:val="0B73B6" w:themeColor="background2" w:themeShade="BF"/>
                <w:sz w:val="20"/>
                <w:szCs w:val="20"/>
              </w:rPr>
              <w:instrText xml:space="preserve"> SEQ Figure \* ARABIC </w:instrText>
            </w:r>
            <w:r w:rsidR="00D92B55">
              <w:rPr>
                <w:rFonts w:ascii="Trebuchet MS" w:eastAsia="Calibri" w:hAnsi="Trebuchet MS" w:cs="Times New Roman"/>
                <w:b/>
                <w:bCs/>
                <w:color w:val="0B73B6" w:themeColor="background2" w:themeShade="BF"/>
                <w:sz w:val="20"/>
                <w:szCs w:val="20"/>
              </w:rPr>
              <w:fldChar w:fldCharType="separate"/>
            </w:r>
            <w:r w:rsidR="008A3BBD">
              <w:rPr>
                <w:rFonts w:ascii="Trebuchet MS" w:eastAsia="Calibri" w:hAnsi="Trebuchet MS" w:cs="Times New Roman"/>
                <w:b/>
                <w:bCs/>
                <w:noProof/>
                <w:color w:val="0B73B6" w:themeColor="background2" w:themeShade="BF"/>
                <w:sz w:val="20"/>
                <w:szCs w:val="20"/>
              </w:rPr>
              <w:t>32</w:t>
            </w:r>
            <w:r w:rsidR="00D92B55">
              <w:rPr>
                <w:rFonts w:ascii="Trebuchet MS" w:eastAsia="Calibri" w:hAnsi="Trebuchet MS" w:cs="Times New Roman"/>
                <w:b/>
                <w:bCs/>
                <w:color w:val="0B73B6" w:themeColor="background2" w:themeShade="BF"/>
                <w:sz w:val="20"/>
                <w:szCs w:val="20"/>
              </w:rPr>
              <w:fldChar w:fldCharType="end"/>
            </w:r>
            <w:bookmarkEnd w:id="164"/>
            <w:r w:rsidRPr="0000694B">
              <w:rPr>
                <w:rFonts w:ascii="Trebuchet MS" w:eastAsia="Calibri" w:hAnsi="Trebuchet MS" w:cs="Times New Roman"/>
                <w:b/>
                <w:bCs/>
                <w:color w:val="0B73B6" w:themeColor="background2" w:themeShade="BF"/>
                <w:sz w:val="20"/>
                <w:szCs w:val="20"/>
              </w:rPr>
              <w:t xml:space="preserve">: Top </w:t>
            </w:r>
            <w:r w:rsidR="00AF4AAA">
              <w:rPr>
                <w:rFonts w:ascii="Trebuchet MS" w:eastAsia="Calibri" w:hAnsi="Trebuchet MS" w:cs="Times New Roman"/>
                <w:b/>
                <w:bCs/>
                <w:color w:val="0B73B6" w:themeColor="background2" w:themeShade="BF"/>
                <w:sz w:val="20"/>
                <w:szCs w:val="20"/>
              </w:rPr>
              <w:t>T</w:t>
            </w:r>
            <w:r w:rsidRPr="0000694B">
              <w:rPr>
                <w:rFonts w:ascii="Trebuchet MS" w:eastAsia="Calibri" w:hAnsi="Trebuchet MS" w:cs="Times New Roman"/>
                <w:b/>
                <w:bCs/>
                <w:color w:val="0B73B6" w:themeColor="background2" w:themeShade="BF"/>
                <w:sz w:val="20"/>
                <w:szCs w:val="20"/>
              </w:rPr>
              <w:t xml:space="preserve">hree </w:t>
            </w:r>
            <w:r w:rsidR="00AF4AAA">
              <w:rPr>
                <w:rFonts w:ascii="Trebuchet MS" w:eastAsia="Calibri" w:hAnsi="Trebuchet MS" w:cs="Times New Roman"/>
                <w:b/>
                <w:bCs/>
                <w:color w:val="0B73B6" w:themeColor="background2" w:themeShade="BF"/>
                <w:sz w:val="20"/>
                <w:szCs w:val="20"/>
              </w:rPr>
              <w:t>O</w:t>
            </w:r>
            <w:r w:rsidRPr="0000694B">
              <w:rPr>
                <w:rFonts w:ascii="Trebuchet MS" w:eastAsia="Calibri" w:hAnsi="Trebuchet MS" w:cs="Times New Roman"/>
                <w:b/>
                <w:bCs/>
                <w:color w:val="0B73B6" w:themeColor="background2" w:themeShade="BF"/>
                <w:sz w:val="20"/>
                <w:szCs w:val="20"/>
              </w:rPr>
              <w:t xml:space="preserve">bstacles by </w:t>
            </w:r>
            <w:r w:rsidR="00AF4AAA">
              <w:rPr>
                <w:rFonts w:ascii="Trebuchet MS" w:eastAsia="Calibri" w:hAnsi="Trebuchet MS" w:cs="Times New Roman"/>
                <w:b/>
                <w:bCs/>
                <w:color w:val="0B73B6" w:themeColor="background2" w:themeShade="BF"/>
                <w:sz w:val="20"/>
                <w:szCs w:val="20"/>
              </w:rPr>
              <w:t>Z</w:t>
            </w:r>
            <w:r w:rsidRPr="0000694B">
              <w:rPr>
                <w:rFonts w:ascii="Trebuchet MS" w:eastAsia="Calibri" w:hAnsi="Trebuchet MS" w:cs="Times New Roman"/>
                <w:b/>
                <w:bCs/>
                <w:color w:val="0B73B6" w:themeColor="background2" w:themeShade="BF"/>
                <w:sz w:val="20"/>
                <w:szCs w:val="20"/>
              </w:rPr>
              <w:t>one</w:t>
            </w:r>
            <w:bookmarkEnd w:id="165"/>
          </w:p>
          <w:p w14:paraId="32EF7BDB" w14:textId="77777777" w:rsidR="0000694B" w:rsidRPr="0000694B" w:rsidRDefault="0000694B" w:rsidP="00D727BF">
            <w:pPr>
              <w:tabs>
                <w:tab w:val="left" w:pos="720"/>
              </w:tabs>
              <w:spacing w:after="0"/>
              <w:rPr>
                <w:szCs w:val="24"/>
              </w:rPr>
            </w:pPr>
          </w:p>
          <w:p w14:paraId="286F5B13" w14:textId="77777777" w:rsidR="0000694B" w:rsidRPr="0000694B" w:rsidRDefault="0000694B" w:rsidP="00D727BF">
            <w:pPr>
              <w:tabs>
                <w:tab w:val="left" w:pos="720"/>
              </w:tabs>
              <w:spacing w:after="0"/>
              <w:ind w:left="20" w:hanging="20"/>
              <w:rPr>
                <w:rFonts w:ascii="Trebuchet MS" w:eastAsia="Times New Roman" w:hAnsi="Trebuchet MS" w:cs="Times New Roman"/>
                <w:bCs/>
                <w:sz w:val="18"/>
                <w:szCs w:val="18"/>
              </w:rPr>
            </w:pPr>
            <w:r w:rsidRPr="0000694B">
              <w:rPr>
                <w:rFonts w:ascii="Trebuchet MS" w:eastAsia="Times New Roman" w:hAnsi="Trebuchet MS" w:cs="Times New Roman"/>
                <w:bCs/>
                <w:noProof/>
                <w:sz w:val="18"/>
                <w:szCs w:val="18"/>
                <w:shd w:val="clear" w:color="auto" w:fill="139AF0" w:themeFill="background2"/>
              </w:rPr>
              <w:drawing>
                <wp:inline distT="0" distB="0" distL="0" distR="0" wp14:anchorId="5C9D5411" wp14:editId="1AAEF7A8">
                  <wp:extent cx="2676525" cy="26289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0C6A0FCE" w14:textId="66FE80C0" w:rsidR="00F909B0" w:rsidRPr="001845F3" w:rsidRDefault="0000694B" w:rsidP="00D727BF">
      <w:pPr>
        <w:tabs>
          <w:tab w:val="left" w:pos="720"/>
        </w:tabs>
        <w:spacing w:after="0"/>
        <w:ind w:left="20" w:hanging="20"/>
        <w:rPr>
          <w:sz w:val="18"/>
          <w:szCs w:val="18"/>
        </w:rPr>
      </w:pPr>
      <w:r w:rsidRPr="001845F3">
        <w:rPr>
          <w:sz w:val="18"/>
          <w:szCs w:val="18"/>
        </w:rPr>
        <w:t>Source: Authors</w:t>
      </w:r>
      <w:r w:rsidR="00863D16">
        <w:rPr>
          <w:sz w:val="18"/>
          <w:szCs w:val="18"/>
        </w:rPr>
        <w:t>’</w:t>
      </w:r>
      <w:r w:rsidRPr="001845F3">
        <w:rPr>
          <w:sz w:val="18"/>
          <w:szCs w:val="18"/>
        </w:rPr>
        <w:t xml:space="preserve"> calculations based on GHS 2012</w:t>
      </w:r>
      <w:r w:rsidR="000A5802">
        <w:rPr>
          <w:rFonts w:ascii="Calibri" w:hAnsi="Calibri"/>
          <w:sz w:val="18"/>
          <w:szCs w:val="18"/>
        </w:rPr>
        <w:t>‒</w:t>
      </w:r>
      <w:r w:rsidRPr="001845F3">
        <w:rPr>
          <w:sz w:val="18"/>
          <w:szCs w:val="18"/>
        </w:rPr>
        <w:t>13</w:t>
      </w:r>
    </w:p>
    <w:p w14:paraId="2F1CBDCC" w14:textId="77777777" w:rsidR="00F909B0" w:rsidRDefault="00F909B0" w:rsidP="00D727BF">
      <w:pPr>
        <w:tabs>
          <w:tab w:val="left" w:pos="720"/>
        </w:tabs>
        <w:spacing w:after="0"/>
        <w:ind w:left="20" w:hanging="20"/>
        <w:rPr>
          <w:sz w:val="20"/>
          <w:szCs w:val="20"/>
        </w:rPr>
      </w:pPr>
    </w:p>
    <w:p w14:paraId="2ADE7D99" w14:textId="738FA62B" w:rsidR="001A6886" w:rsidRDefault="004E78E7" w:rsidP="00D727BF">
      <w:pPr>
        <w:pStyle w:val="ParagraphNumbering"/>
        <w:numPr>
          <w:ilvl w:val="0"/>
          <w:numId w:val="0"/>
        </w:numPr>
        <w:tabs>
          <w:tab w:val="left" w:pos="720"/>
        </w:tabs>
      </w:pPr>
      <w:r>
        <w:rPr>
          <w:b/>
          <w:i/>
        </w:rPr>
        <w:tab/>
      </w:r>
      <w:r w:rsidR="00F909B0" w:rsidRPr="00F909B0">
        <w:rPr>
          <w:b/>
          <w:i/>
        </w:rPr>
        <w:t>F</w:t>
      </w:r>
      <w:r w:rsidR="00350EA3" w:rsidRPr="00F909B0">
        <w:rPr>
          <w:b/>
          <w:i/>
        </w:rPr>
        <w:t>inance.</w:t>
      </w:r>
      <w:r w:rsidR="00350EA3">
        <w:rPr>
          <w:b/>
        </w:rPr>
        <w:t xml:space="preserve"> </w:t>
      </w:r>
      <w:r w:rsidR="0000694B" w:rsidRPr="00350EA3">
        <w:rPr>
          <w:b/>
        </w:rPr>
        <w:t xml:space="preserve">Very few </w:t>
      </w:r>
      <w:r w:rsidR="00AF5FB5">
        <w:rPr>
          <w:b/>
        </w:rPr>
        <w:t>NFEs</w:t>
      </w:r>
      <w:r w:rsidR="0000694B" w:rsidRPr="00350EA3">
        <w:rPr>
          <w:b/>
        </w:rPr>
        <w:t xml:space="preserve"> </w:t>
      </w:r>
      <w:r w:rsidR="00FF7D37">
        <w:rPr>
          <w:b/>
        </w:rPr>
        <w:t xml:space="preserve">have access to </w:t>
      </w:r>
      <w:r w:rsidR="0000694B" w:rsidRPr="00350EA3">
        <w:rPr>
          <w:b/>
        </w:rPr>
        <w:t>external finance</w:t>
      </w:r>
      <w:r w:rsidR="001E7480">
        <w:rPr>
          <w:b/>
        </w:rPr>
        <w:t xml:space="preserve">. </w:t>
      </w:r>
      <w:r w:rsidR="00AF5FB5">
        <w:t>Approximately</w:t>
      </w:r>
      <w:r w:rsidR="00AF5FB5" w:rsidRPr="00F909B0">
        <w:t xml:space="preserve"> </w:t>
      </w:r>
      <w:r w:rsidR="0000694B" w:rsidRPr="00F909B0">
        <w:t xml:space="preserve">70 percent of </w:t>
      </w:r>
      <w:r w:rsidR="00567128" w:rsidRPr="00F909B0">
        <w:t>NFE</w:t>
      </w:r>
      <w:r w:rsidR="00AF5FB5">
        <w:t>s</w:t>
      </w:r>
      <w:r w:rsidR="0000694B" w:rsidRPr="00F909B0">
        <w:t xml:space="preserve"> reported </w:t>
      </w:r>
      <w:r w:rsidR="00AF5FB5">
        <w:t xml:space="preserve">using </w:t>
      </w:r>
      <w:r w:rsidR="0000694B" w:rsidRPr="00F909B0">
        <w:t xml:space="preserve">household savings as their main source of start-up capital. Households complement their own funds with money from relatives and friends (only 12 percent of the main source of capital but 41 percent of the second source </w:t>
      </w:r>
      <w:r w:rsidR="00CB1A8E" w:rsidRPr="00F909B0">
        <w:t xml:space="preserve">of capital), followed by esusus and </w:t>
      </w:r>
      <w:r w:rsidR="0000694B" w:rsidRPr="00F909B0">
        <w:t>adashis (20 percent of the second source)</w:t>
      </w:r>
      <w:r w:rsidR="0004515B">
        <w:t>,</w:t>
      </w:r>
      <w:r w:rsidR="0000694B" w:rsidRPr="00F909B0">
        <w:t xml:space="preserve"> and proceeds from family farms and </w:t>
      </w:r>
      <w:r w:rsidR="00AF5FB5">
        <w:t xml:space="preserve">NFEs </w:t>
      </w:r>
      <w:r w:rsidR="0000694B" w:rsidRPr="00F909B0">
        <w:t xml:space="preserve">(each accounting for </w:t>
      </w:r>
      <w:r w:rsidR="0004515B">
        <w:t>10</w:t>
      </w:r>
      <w:r w:rsidR="0004515B" w:rsidRPr="00F909B0">
        <w:t xml:space="preserve"> </w:t>
      </w:r>
      <w:r w:rsidR="0000694B" w:rsidRPr="00F909B0">
        <w:t>percent of the second source). Between 2010</w:t>
      </w:r>
      <w:r w:rsidR="00A63833">
        <w:rPr>
          <w:rFonts w:ascii="Calibri" w:hAnsi="Calibri"/>
        </w:rPr>
        <w:t>‒</w:t>
      </w:r>
      <w:r w:rsidR="0000694B" w:rsidRPr="00F909B0">
        <w:t>11 and 2012</w:t>
      </w:r>
      <w:r w:rsidR="00A63833">
        <w:rPr>
          <w:rFonts w:ascii="Calibri" w:hAnsi="Calibri"/>
        </w:rPr>
        <w:t>‒</w:t>
      </w:r>
      <w:r w:rsidR="0000694B" w:rsidRPr="00F909B0">
        <w:t xml:space="preserve">13, only </w:t>
      </w:r>
      <w:r w:rsidR="00A63833">
        <w:t>5</w:t>
      </w:r>
      <w:r w:rsidR="00A63833" w:rsidRPr="00F909B0">
        <w:t xml:space="preserve"> </w:t>
      </w:r>
      <w:r w:rsidR="0000694B" w:rsidRPr="00F909B0">
        <w:t xml:space="preserve">percent of NFEs </w:t>
      </w:r>
      <w:r w:rsidR="001B3AA6" w:rsidRPr="00F909B0">
        <w:t>tried to obtain credit from a bank or</w:t>
      </w:r>
      <w:r w:rsidR="0000694B" w:rsidRPr="00F909B0">
        <w:t xml:space="preserve"> formal financial agency. </w:t>
      </w:r>
      <w:r w:rsidR="001E7480" w:rsidRPr="00F909B0">
        <w:t xml:space="preserve">This may </w:t>
      </w:r>
      <w:r w:rsidR="00AF5FB5">
        <w:t>explain</w:t>
      </w:r>
      <w:r w:rsidR="00AF5FB5" w:rsidRPr="00F909B0">
        <w:t xml:space="preserve"> </w:t>
      </w:r>
      <w:r w:rsidR="001E7480" w:rsidRPr="00F909B0">
        <w:t xml:space="preserve">why only </w:t>
      </w:r>
      <w:r w:rsidR="00AF5FB5">
        <w:t xml:space="preserve">several </w:t>
      </w:r>
      <w:r w:rsidR="001E7480" w:rsidRPr="00F909B0">
        <w:t xml:space="preserve">NFEs </w:t>
      </w:r>
      <w:r w:rsidR="00AF5FB5">
        <w:t xml:space="preserve">reported </w:t>
      </w:r>
      <w:r w:rsidR="001E7480" w:rsidRPr="00F909B0">
        <w:t xml:space="preserve">difficulty </w:t>
      </w:r>
      <w:r w:rsidR="00AF5FB5">
        <w:t xml:space="preserve">with </w:t>
      </w:r>
      <w:r w:rsidR="001E7480" w:rsidRPr="00F909B0">
        <w:t>borrowing from financial institutions</w:t>
      </w:r>
      <w:r w:rsidR="001B3AA6" w:rsidRPr="00F909B0">
        <w:t xml:space="preserve">, while many </w:t>
      </w:r>
      <w:r w:rsidR="00AF5FB5">
        <w:t xml:space="preserve">reported </w:t>
      </w:r>
      <w:r w:rsidR="0000694B" w:rsidRPr="00F909B0">
        <w:t>difficulty borrow</w:t>
      </w:r>
      <w:r w:rsidR="001B3AA6" w:rsidRPr="00F909B0">
        <w:t>ing</w:t>
      </w:r>
      <w:r w:rsidR="0000694B" w:rsidRPr="00F909B0">
        <w:t xml:space="preserve"> from friends and relatives</w:t>
      </w:r>
      <w:r w:rsidR="001B3AA6" w:rsidRPr="00F909B0">
        <w:t xml:space="preserve">. The lack of formal borrowing may be due in part to the </w:t>
      </w:r>
      <w:r w:rsidR="0000694B" w:rsidRPr="00F909B0">
        <w:t xml:space="preserve">unequal distribution of </w:t>
      </w:r>
      <w:r w:rsidR="001B3AA6" w:rsidRPr="00F909B0">
        <w:t xml:space="preserve">financial institutions </w:t>
      </w:r>
      <w:r w:rsidR="0000694B" w:rsidRPr="00F909B0">
        <w:t>across the country</w:t>
      </w:r>
      <w:r w:rsidR="001B3AA6" w:rsidRPr="00F909B0">
        <w:t xml:space="preserve">; only </w:t>
      </w:r>
      <w:r w:rsidR="00AF5FB5">
        <w:t xml:space="preserve">several </w:t>
      </w:r>
      <w:r w:rsidR="0000694B" w:rsidRPr="00F909B0">
        <w:t>locations where the survey was administered have a financial institution</w:t>
      </w:r>
      <w:r w:rsidR="001B3AA6" w:rsidRPr="00F909B0">
        <w:t xml:space="preserve">, and </w:t>
      </w:r>
      <w:r w:rsidR="0000694B" w:rsidRPr="00F909B0">
        <w:t xml:space="preserve">the proportion of rural locations with a financial institution is considerably lower than in urban areas (16 percent compared to 48 percent). Commercial banks and/or microfinance institutions are physically present in large urban centers, in particular in </w:t>
      </w:r>
      <w:r w:rsidR="002A2158">
        <w:t xml:space="preserve">the north </w:t>
      </w:r>
      <w:r w:rsidR="0000694B" w:rsidRPr="00F909B0">
        <w:t>where more than half of the urban centers report hav</w:t>
      </w:r>
      <w:r w:rsidR="0004515B">
        <w:t>ing</w:t>
      </w:r>
      <w:r w:rsidR="0000694B" w:rsidRPr="00F909B0">
        <w:t xml:space="preserve"> a financial institution. </w:t>
      </w:r>
      <w:r w:rsidR="00384683" w:rsidRPr="00F909B0">
        <w:t xml:space="preserve">In contrast, </w:t>
      </w:r>
      <w:r w:rsidR="0000694B" w:rsidRPr="00F909B0">
        <w:t>financial institutions do not serve rural areas</w:t>
      </w:r>
      <w:r w:rsidR="0004515B">
        <w:t>,</w:t>
      </w:r>
      <w:r w:rsidR="0000694B" w:rsidRPr="00F909B0">
        <w:t xml:space="preserve"> in particular in the North. The proportion of rural locations with a commercial institution is about </w:t>
      </w:r>
      <w:r w:rsidR="0004515B">
        <w:t>10</w:t>
      </w:r>
      <w:r w:rsidR="0004515B" w:rsidRPr="00F909B0">
        <w:t xml:space="preserve"> </w:t>
      </w:r>
      <w:r w:rsidR="0000694B" w:rsidRPr="00F909B0">
        <w:t xml:space="preserve">percent in </w:t>
      </w:r>
      <w:r w:rsidR="002A2158">
        <w:t xml:space="preserve">the north </w:t>
      </w:r>
      <w:r w:rsidR="0000694B" w:rsidRPr="00F909B0">
        <w:t>compared to 20 percent in the South.</w:t>
      </w:r>
      <w:r w:rsidR="001A6886">
        <w:br w:type="page"/>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5137"/>
      </w:tblGrid>
      <w:tr w:rsidR="0000694B" w:rsidRPr="00E25CD8" w14:paraId="759CC08E" w14:textId="77777777" w:rsidTr="00F33D50">
        <w:tc>
          <w:tcPr>
            <w:tcW w:w="4223" w:type="dxa"/>
          </w:tcPr>
          <w:p w14:paraId="3485263B" w14:textId="4EC3394B" w:rsidR="0000694B" w:rsidRPr="00E25CD8" w:rsidRDefault="00350EA3" w:rsidP="00D727BF">
            <w:pPr>
              <w:pStyle w:val="ParagraphNumbering"/>
              <w:numPr>
                <w:ilvl w:val="0"/>
                <w:numId w:val="0"/>
              </w:numPr>
              <w:tabs>
                <w:tab w:val="left" w:pos="720"/>
              </w:tabs>
              <w:rPr>
                <w:bCs w:val="0"/>
              </w:rPr>
            </w:pPr>
            <w:r w:rsidRPr="00E25CD8">
              <w:rPr>
                <w:b/>
                <w:i/>
              </w:rPr>
              <w:lastRenderedPageBreak/>
              <w:t xml:space="preserve">Electricity. </w:t>
            </w:r>
            <w:r w:rsidR="0000694B" w:rsidRPr="00E25CD8">
              <w:rPr>
                <w:b/>
              </w:rPr>
              <w:t>Access to electricity is very unequal within Nigeria.</w:t>
            </w:r>
            <w:r w:rsidR="0000694B" w:rsidRPr="00E25CD8">
              <w:t xml:space="preserve"> The GHS dataset suggests that electricity access is high in the </w:t>
            </w:r>
            <w:r w:rsidR="00D92148">
              <w:t>s</w:t>
            </w:r>
            <w:r w:rsidR="0000694B" w:rsidRPr="00E25CD8">
              <w:t>outh</w:t>
            </w:r>
            <w:r w:rsidR="00384683" w:rsidRPr="00E25CD8">
              <w:t xml:space="preserve">, where </w:t>
            </w:r>
            <w:r w:rsidR="0000694B" w:rsidRPr="00E25CD8">
              <w:t>about 75 percent of the households hav</w:t>
            </w:r>
            <w:r w:rsidR="00384683" w:rsidRPr="00E25CD8">
              <w:t>e</w:t>
            </w:r>
            <w:r w:rsidR="0000694B" w:rsidRPr="00E25CD8">
              <w:t xml:space="preserve"> access</w:t>
            </w:r>
            <w:r w:rsidR="00384683" w:rsidRPr="00E25CD8">
              <w:t>.</w:t>
            </w:r>
            <w:r w:rsidR="0000694B" w:rsidRPr="00E25CD8">
              <w:t xml:space="preserve"> </w:t>
            </w:r>
            <w:r w:rsidR="00384683" w:rsidRPr="00E25CD8">
              <w:t xml:space="preserve">In contrast, </w:t>
            </w:r>
            <w:r w:rsidR="0000694B" w:rsidRPr="00E25CD8">
              <w:t>as shown in</w:t>
            </w:r>
            <w:r w:rsidR="00CB1A8E" w:rsidRPr="00E25CD8">
              <w:t xml:space="preserve"> </w:t>
            </w:r>
            <w:r w:rsidR="002B728F">
              <w:fldChar w:fldCharType="begin"/>
            </w:r>
            <w:r w:rsidR="002B728F">
              <w:instrText xml:space="preserve"> REF _Ref445131784 \h </w:instrText>
            </w:r>
            <w:r w:rsidR="002B728F">
              <w:fldChar w:fldCharType="separate"/>
            </w:r>
            <w:r w:rsidR="0004515B">
              <w:t>figure</w:t>
            </w:r>
            <w:r w:rsidR="008A3BBD" w:rsidRPr="001845F3">
              <w:t xml:space="preserve"> </w:t>
            </w:r>
            <w:r w:rsidR="008A3BBD">
              <w:rPr>
                <w:noProof/>
              </w:rPr>
              <w:t>33</w:t>
            </w:r>
            <w:r w:rsidR="002B728F">
              <w:fldChar w:fldCharType="end"/>
            </w:r>
            <w:r w:rsidR="00384683" w:rsidRPr="00E25CD8">
              <w:t>,</w:t>
            </w:r>
            <w:r w:rsidR="0000694B" w:rsidRPr="00E25CD8">
              <w:t xml:space="preserve"> the proportion of households with access to electricity in the </w:t>
            </w:r>
            <w:r w:rsidR="009F0746">
              <w:t>n</w:t>
            </w:r>
            <w:r w:rsidR="0000694B" w:rsidRPr="00E25CD8">
              <w:t xml:space="preserve">orthern states is rather low. In the NW zone, some households cope with the absence of electricity by using generators and/or engaging in activities that do not require electricity. </w:t>
            </w:r>
          </w:p>
        </w:tc>
        <w:tc>
          <w:tcPr>
            <w:tcW w:w="5137" w:type="dxa"/>
          </w:tcPr>
          <w:p w14:paraId="7318827E" w14:textId="793E2709" w:rsidR="0000694B" w:rsidRPr="001845F3" w:rsidRDefault="0000694B" w:rsidP="00D727BF">
            <w:pPr>
              <w:pStyle w:val="Caption"/>
              <w:tabs>
                <w:tab w:val="left" w:pos="720"/>
              </w:tabs>
              <w:rPr>
                <w:rFonts w:ascii="Times New Roman" w:hAnsi="Times New Roman"/>
              </w:rPr>
            </w:pPr>
            <w:bookmarkStart w:id="166" w:name="_Ref431670095"/>
            <w:bookmarkStart w:id="167" w:name="_Ref445131784"/>
            <w:bookmarkStart w:id="168" w:name="_Toc445449651"/>
            <w:r w:rsidRPr="001845F3">
              <w:rPr>
                <w:rFonts w:ascii="Times New Roman" w:hAnsi="Times New Roman"/>
              </w:rPr>
              <w:t xml:space="preserve">Figure </w:t>
            </w:r>
            <w:r w:rsidR="00D92B55">
              <w:rPr>
                <w:rFonts w:ascii="Times New Roman" w:hAnsi="Times New Roman"/>
              </w:rPr>
              <w:fldChar w:fldCharType="begin"/>
            </w:r>
            <w:r w:rsidR="00D92B55">
              <w:rPr>
                <w:rFonts w:ascii="Times New Roman" w:hAnsi="Times New Roman"/>
              </w:rPr>
              <w:instrText xml:space="preserve"> SEQ Figure \* ARABIC </w:instrText>
            </w:r>
            <w:r w:rsidR="00D92B55">
              <w:rPr>
                <w:rFonts w:ascii="Times New Roman" w:hAnsi="Times New Roman"/>
              </w:rPr>
              <w:fldChar w:fldCharType="separate"/>
            </w:r>
            <w:r w:rsidR="008A3BBD">
              <w:rPr>
                <w:rFonts w:ascii="Times New Roman" w:hAnsi="Times New Roman"/>
                <w:noProof/>
              </w:rPr>
              <w:t>33</w:t>
            </w:r>
            <w:r w:rsidR="00D92B55">
              <w:rPr>
                <w:rFonts w:ascii="Times New Roman" w:hAnsi="Times New Roman"/>
              </w:rPr>
              <w:fldChar w:fldCharType="end"/>
            </w:r>
            <w:bookmarkEnd w:id="166"/>
            <w:bookmarkEnd w:id="167"/>
            <w:r w:rsidRPr="001845F3">
              <w:rPr>
                <w:rFonts w:ascii="Times New Roman" w:hAnsi="Times New Roman"/>
              </w:rPr>
              <w:t xml:space="preserve">: Access to </w:t>
            </w:r>
            <w:r w:rsidR="00384683" w:rsidRPr="001845F3">
              <w:rPr>
                <w:rFonts w:ascii="Times New Roman" w:hAnsi="Times New Roman"/>
              </w:rPr>
              <w:t>E</w:t>
            </w:r>
            <w:r w:rsidRPr="001845F3">
              <w:rPr>
                <w:rFonts w:ascii="Times New Roman" w:hAnsi="Times New Roman"/>
              </w:rPr>
              <w:t xml:space="preserve">lectricity and </w:t>
            </w:r>
            <w:r w:rsidR="00384683" w:rsidRPr="001845F3">
              <w:rPr>
                <w:rFonts w:ascii="Times New Roman" w:hAnsi="Times New Roman"/>
              </w:rPr>
              <w:t>G</w:t>
            </w:r>
            <w:r w:rsidRPr="001845F3">
              <w:rPr>
                <w:rFonts w:ascii="Times New Roman" w:hAnsi="Times New Roman"/>
              </w:rPr>
              <w:t>enerator</w:t>
            </w:r>
            <w:bookmarkEnd w:id="168"/>
            <w:r w:rsidR="009F0746">
              <w:rPr>
                <w:rFonts w:ascii="Times New Roman" w:hAnsi="Times New Roman"/>
              </w:rPr>
              <w:t>s</w:t>
            </w:r>
          </w:p>
          <w:p w14:paraId="0E530C8B" w14:textId="77777777" w:rsidR="0000694B" w:rsidRPr="00E25CD8" w:rsidRDefault="0000694B" w:rsidP="00D727BF">
            <w:pPr>
              <w:pStyle w:val="ParagraphNumbering"/>
              <w:numPr>
                <w:ilvl w:val="0"/>
                <w:numId w:val="0"/>
              </w:numPr>
              <w:tabs>
                <w:tab w:val="left" w:pos="720"/>
              </w:tabs>
              <w:ind w:left="360"/>
            </w:pPr>
            <w:r w:rsidRPr="00E25CD8">
              <w:rPr>
                <w:noProof/>
              </w:rPr>
              <w:drawing>
                <wp:inline distT="0" distB="0" distL="0" distR="0" wp14:anchorId="455F9596" wp14:editId="7EFA861D">
                  <wp:extent cx="2667911" cy="1981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67911" cy="1981200"/>
                          </a:xfrm>
                          <a:prstGeom prst="rect">
                            <a:avLst/>
                          </a:prstGeom>
                        </pic:spPr>
                      </pic:pic>
                    </a:graphicData>
                  </a:graphic>
                </wp:inline>
              </w:drawing>
            </w:r>
          </w:p>
          <w:p w14:paraId="2314F236" w14:textId="064691C7" w:rsidR="0000694B" w:rsidRPr="00E25CD8" w:rsidRDefault="0000694B" w:rsidP="00D727BF">
            <w:pPr>
              <w:pStyle w:val="ParagraphNumbering"/>
              <w:numPr>
                <w:ilvl w:val="0"/>
                <w:numId w:val="0"/>
              </w:numPr>
              <w:tabs>
                <w:tab w:val="left" w:pos="720"/>
              </w:tabs>
              <w:spacing w:after="0"/>
              <w:ind w:left="360"/>
              <w:rPr>
                <w:sz w:val="20"/>
                <w:szCs w:val="20"/>
              </w:rPr>
            </w:pPr>
            <w:r w:rsidRPr="001845F3">
              <w:rPr>
                <w:sz w:val="18"/>
                <w:szCs w:val="18"/>
              </w:rPr>
              <w:t>Source: Authors</w:t>
            </w:r>
            <w:r w:rsidR="00863D16">
              <w:rPr>
                <w:sz w:val="18"/>
                <w:szCs w:val="18"/>
              </w:rPr>
              <w:t>’</w:t>
            </w:r>
            <w:r w:rsidRPr="001845F3">
              <w:rPr>
                <w:sz w:val="18"/>
                <w:szCs w:val="18"/>
              </w:rPr>
              <w:t xml:space="preserve"> calculations based on GHS 2012</w:t>
            </w:r>
            <w:r w:rsidR="0004515B">
              <w:rPr>
                <w:rFonts w:ascii="Calibri" w:hAnsi="Calibri"/>
                <w:sz w:val="18"/>
                <w:szCs w:val="18"/>
              </w:rPr>
              <w:t>‒</w:t>
            </w:r>
            <w:r w:rsidRPr="001845F3">
              <w:rPr>
                <w:sz w:val="18"/>
                <w:szCs w:val="18"/>
              </w:rPr>
              <w:t>13</w:t>
            </w:r>
          </w:p>
        </w:tc>
      </w:tr>
    </w:tbl>
    <w:p w14:paraId="1993F79B" w14:textId="77777777" w:rsidR="00350EA3" w:rsidRDefault="00350EA3" w:rsidP="00D727BF">
      <w:pPr>
        <w:pStyle w:val="ParagraphNumbering"/>
        <w:numPr>
          <w:ilvl w:val="0"/>
          <w:numId w:val="0"/>
        </w:numPr>
        <w:tabs>
          <w:tab w:val="left" w:pos="720"/>
        </w:tabs>
        <w:spacing w:after="0"/>
      </w:pPr>
    </w:p>
    <w:p w14:paraId="5C8EBE10" w14:textId="77777777" w:rsidR="0000694B" w:rsidRPr="0000694B" w:rsidRDefault="0000694B" w:rsidP="00D727BF">
      <w:pPr>
        <w:tabs>
          <w:tab w:val="left" w:pos="720"/>
        </w:tabs>
        <w:spacing w:before="29"/>
        <w:jc w:val="center"/>
        <w:outlineLvl w:val="2"/>
        <w:rPr>
          <w:rFonts w:ascii="AndesExtraLight"/>
          <w:color w:val="00AEEF"/>
          <w:sz w:val="26"/>
        </w:rPr>
      </w:pPr>
      <w:r w:rsidRPr="0000694B">
        <w:rPr>
          <w:rFonts w:ascii="AndesExtraLight"/>
          <w:color w:val="00AEEF"/>
          <w:sz w:val="26"/>
        </w:rPr>
        <w:t>Drivers of NFE performance</w:t>
      </w:r>
    </w:p>
    <w:p w14:paraId="6B1E53F6" w14:textId="01508467" w:rsidR="0000694B" w:rsidRPr="0000694B" w:rsidRDefault="004E78E7" w:rsidP="00D727BF">
      <w:pPr>
        <w:pStyle w:val="ParagraphNumbering"/>
        <w:numPr>
          <w:ilvl w:val="0"/>
          <w:numId w:val="0"/>
        </w:numPr>
        <w:tabs>
          <w:tab w:val="left" w:pos="720"/>
        </w:tabs>
        <w:spacing w:after="240"/>
      </w:pPr>
      <w:r>
        <w:tab/>
      </w:r>
      <w:r w:rsidR="0000694B" w:rsidRPr="0000694B">
        <w:t>This section investigates the drivers of revenue per worker for both HE</w:t>
      </w:r>
      <w:r w:rsidR="003F5343">
        <w:t>s</w:t>
      </w:r>
      <w:r w:rsidR="0000694B" w:rsidRPr="0000694B">
        <w:t xml:space="preserve"> and ME</w:t>
      </w:r>
      <w:r w:rsidR="003F5343">
        <w:t>s</w:t>
      </w:r>
      <w:r w:rsidR="0000694B" w:rsidRPr="0000694B">
        <w:t>, as well as TFP and employment growth for ME</w:t>
      </w:r>
      <w:r w:rsidR="003F5343">
        <w:t>s</w:t>
      </w:r>
      <w:r w:rsidR="0000694B" w:rsidRPr="0000694B">
        <w:t xml:space="preserve">. Results from the econometric estimations are presented in </w:t>
      </w:r>
      <w:r w:rsidR="00350EA3">
        <w:t xml:space="preserve">Annex </w:t>
      </w:r>
      <w:r w:rsidR="00556601">
        <w:t xml:space="preserve">1. </w:t>
      </w:r>
      <w:r w:rsidR="00350EA3">
        <w:t>T</w:t>
      </w:r>
      <w:r w:rsidR="0000694B" w:rsidRPr="0000694B">
        <w:t>he core model includes owners</w:t>
      </w:r>
      <w:r w:rsidR="009F0746">
        <w:t>’</w:t>
      </w:r>
      <w:r w:rsidR="0000694B" w:rsidRPr="0000694B">
        <w:t xml:space="preserve"> characteristics, h</w:t>
      </w:r>
      <w:r w:rsidR="00B916F5">
        <w:t>ousehold characteristics, firms</w:t>
      </w:r>
      <w:r w:rsidR="009F0746">
        <w:t>’</w:t>
      </w:r>
      <w:r w:rsidR="0000694B" w:rsidRPr="0000694B">
        <w:t xml:space="preserve"> characteristics</w:t>
      </w:r>
      <w:r w:rsidR="009F0746">
        <w:t>,</w:t>
      </w:r>
      <w:r w:rsidR="0000694B" w:rsidRPr="0000694B">
        <w:t xml:space="preserve"> and sector dummies. We tested </w:t>
      </w:r>
      <w:r w:rsidR="00556601">
        <w:t>selected</w:t>
      </w:r>
      <w:r w:rsidR="0000694B" w:rsidRPr="0000694B">
        <w:t xml:space="preserve"> IC constraints at the enumeration area or at the state level.</w:t>
      </w:r>
      <w:r w:rsidR="00556601">
        <w:rPr>
          <w:rStyle w:val="FootnoteReference"/>
        </w:rPr>
        <w:footnoteReference w:id="31"/>
      </w:r>
      <w:r w:rsidR="00F428F9">
        <w:t xml:space="preserve"> </w:t>
      </w:r>
      <w:r w:rsidR="0000694B" w:rsidRPr="0000694B">
        <w:t>However</w:t>
      </w:r>
      <w:r w:rsidR="009F0746">
        <w:t>,</w:t>
      </w:r>
      <w:r w:rsidR="0000694B" w:rsidRPr="0000694B">
        <w:t xml:space="preserve"> most of these IC constraints</w:t>
      </w:r>
      <w:r w:rsidR="00F909B0">
        <w:t xml:space="preserve"> are difficult to assess.</w:t>
      </w:r>
      <w:r w:rsidR="0000694B" w:rsidRPr="0000694B">
        <w:rPr>
          <w:vertAlign w:val="superscript"/>
        </w:rPr>
        <w:footnoteReference w:id="32"/>
      </w:r>
      <w:r w:rsidR="0000694B" w:rsidRPr="0000694B">
        <w:t xml:space="preserve"> For that reason, we also tested different spatial variables, such as a state dummy and a zone dummy. The underlying assumption is that investment climate may be inherent to a particular administration </w:t>
      </w:r>
      <w:r w:rsidR="00B916F5">
        <w:t>a</w:t>
      </w:r>
      <w:r w:rsidR="0000694B" w:rsidRPr="0000694B">
        <w:t>nd/or region.</w:t>
      </w:r>
      <w:r w:rsidR="00F428F9">
        <w:t xml:space="preserve"> </w:t>
      </w:r>
    </w:p>
    <w:p w14:paraId="0587F0A4" w14:textId="004658C9" w:rsidR="0000694B" w:rsidRDefault="00A507BC" w:rsidP="00D727BF">
      <w:pPr>
        <w:pStyle w:val="Heading4"/>
        <w:tabs>
          <w:tab w:val="left" w:pos="720"/>
        </w:tabs>
        <w:rPr>
          <w:rFonts w:eastAsiaTheme="minorHAnsi"/>
        </w:rPr>
      </w:pPr>
      <w:bookmarkStart w:id="169" w:name="_Toc430263214"/>
      <w:r>
        <w:rPr>
          <w:rFonts w:eastAsiaTheme="minorHAnsi"/>
        </w:rPr>
        <w:t>In</w:t>
      </w:r>
      <w:r w:rsidR="0000694B" w:rsidRPr="000F6A00">
        <w:rPr>
          <w:rFonts w:eastAsiaTheme="minorHAnsi"/>
        </w:rPr>
        <w:t xml:space="preserve">creasing </w:t>
      </w:r>
      <w:r w:rsidR="004E78E7">
        <w:rPr>
          <w:rFonts w:eastAsiaTheme="minorHAnsi"/>
        </w:rPr>
        <w:t>R</w:t>
      </w:r>
      <w:r w:rsidR="0000694B" w:rsidRPr="000F6A00">
        <w:rPr>
          <w:rFonts w:eastAsiaTheme="minorHAnsi"/>
        </w:rPr>
        <w:t xml:space="preserve">evenues for </w:t>
      </w:r>
      <w:r w:rsidR="004E78E7">
        <w:rPr>
          <w:rFonts w:eastAsiaTheme="minorHAnsi"/>
        </w:rPr>
        <w:t>H</w:t>
      </w:r>
      <w:r w:rsidR="0000694B" w:rsidRPr="000F6A00">
        <w:rPr>
          <w:rFonts w:eastAsiaTheme="minorHAnsi"/>
        </w:rPr>
        <w:t xml:space="preserve">ousehold </w:t>
      </w:r>
      <w:r w:rsidR="004E78E7">
        <w:rPr>
          <w:rFonts w:eastAsiaTheme="minorHAnsi"/>
        </w:rPr>
        <w:t>E</w:t>
      </w:r>
      <w:r w:rsidR="0000694B" w:rsidRPr="000F6A00">
        <w:rPr>
          <w:rFonts w:eastAsiaTheme="minorHAnsi"/>
        </w:rPr>
        <w:t>nterprises</w:t>
      </w:r>
      <w:bookmarkEnd w:id="169"/>
    </w:p>
    <w:p w14:paraId="108AAE20" w14:textId="77777777" w:rsidR="00DD3FC5" w:rsidRPr="00DD3FC5" w:rsidRDefault="00DD3FC5" w:rsidP="00D727BF">
      <w:pPr>
        <w:tabs>
          <w:tab w:val="left" w:pos="720"/>
        </w:tabs>
        <w:spacing w:after="0"/>
      </w:pPr>
    </w:p>
    <w:p w14:paraId="4B278930" w14:textId="3E20FE0D" w:rsidR="0000694B" w:rsidRPr="000F6A00" w:rsidRDefault="004E78E7" w:rsidP="00D727BF">
      <w:pPr>
        <w:pStyle w:val="ParagraphNumbering"/>
        <w:numPr>
          <w:ilvl w:val="0"/>
          <w:numId w:val="0"/>
        </w:numPr>
        <w:tabs>
          <w:tab w:val="left" w:pos="720"/>
        </w:tabs>
        <w:spacing w:after="240"/>
        <w:rPr>
          <w:b/>
        </w:rPr>
      </w:pPr>
      <w:r>
        <w:rPr>
          <w:b/>
        </w:rPr>
        <w:tab/>
      </w:r>
      <w:r w:rsidR="0000694B" w:rsidRPr="000F6A00">
        <w:rPr>
          <w:b/>
        </w:rPr>
        <w:t xml:space="preserve">This section investigates the drivers of revenue for </w:t>
      </w:r>
      <w:r w:rsidR="00AF5FB5">
        <w:rPr>
          <w:b/>
        </w:rPr>
        <w:t>HEs</w:t>
      </w:r>
      <w:r w:rsidR="0000694B" w:rsidRPr="000F6A00">
        <w:rPr>
          <w:b/>
        </w:rPr>
        <w:t>. The dependent variable</w:t>
      </w:r>
      <w:r w:rsidR="00793121" w:rsidRPr="000F6A00">
        <w:rPr>
          <w:b/>
        </w:rPr>
        <w:t xml:space="preserve"> is the log of sales </w:t>
      </w:r>
      <w:r w:rsidR="00B916F5" w:rsidRPr="000F6A00">
        <w:rPr>
          <w:b/>
        </w:rPr>
        <w:t>p</w:t>
      </w:r>
      <w:r w:rsidR="00793121" w:rsidRPr="000F6A00">
        <w:rPr>
          <w:b/>
        </w:rPr>
        <w:t>er worker</w:t>
      </w:r>
      <w:r w:rsidR="0000694B" w:rsidRPr="000F6A00">
        <w:rPr>
          <w:b/>
        </w:rPr>
        <w:t xml:space="preserve"> in US</w:t>
      </w:r>
      <w:r w:rsidR="00556601" w:rsidRPr="000F6A00">
        <w:rPr>
          <w:b/>
        </w:rPr>
        <w:t xml:space="preserve"> dollars (</w:t>
      </w:r>
      <w:r w:rsidR="0000694B" w:rsidRPr="000F6A00">
        <w:rPr>
          <w:b/>
        </w:rPr>
        <w:t>2010</w:t>
      </w:r>
      <w:r w:rsidR="00556601" w:rsidRPr="000F6A00">
        <w:rPr>
          <w:b/>
        </w:rPr>
        <w:t>)</w:t>
      </w:r>
      <w:r w:rsidR="0000694B" w:rsidRPr="000F6A00">
        <w:rPr>
          <w:b/>
        </w:rPr>
        <w:t xml:space="preserve">. </w:t>
      </w:r>
    </w:p>
    <w:p w14:paraId="46C6C676" w14:textId="174FFEAB" w:rsidR="0000694B" w:rsidRPr="0000694B" w:rsidRDefault="004E78E7" w:rsidP="00D727BF">
      <w:pPr>
        <w:pStyle w:val="ParagraphNumbering"/>
        <w:numPr>
          <w:ilvl w:val="0"/>
          <w:numId w:val="0"/>
        </w:numPr>
        <w:tabs>
          <w:tab w:val="left" w:pos="720"/>
        </w:tabs>
        <w:spacing w:after="240"/>
      </w:pPr>
      <w:r>
        <w:rPr>
          <w:b/>
        </w:rPr>
        <w:tab/>
      </w:r>
      <w:r w:rsidR="00717130">
        <w:rPr>
          <w:b/>
        </w:rPr>
        <w:t xml:space="preserve">Level of education generates a positive return on </w:t>
      </w:r>
      <w:r w:rsidR="0000694B" w:rsidRPr="00B916F5">
        <w:rPr>
          <w:b/>
        </w:rPr>
        <w:t xml:space="preserve">sales. </w:t>
      </w:r>
      <w:r w:rsidR="0000694B" w:rsidRPr="0000694B">
        <w:t xml:space="preserve">Most owners </w:t>
      </w:r>
      <w:r w:rsidR="006B5BB5">
        <w:t>of</w:t>
      </w:r>
      <w:r w:rsidR="0000694B" w:rsidRPr="0000694B">
        <w:t xml:space="preserve"> </w:t>
      </w:r>
      <w:r w:rsidR="00AF5FB5">
        <w:t>HEs</w:t>
      </w:r>
      <w:r w:rsidR="0000694B" w:rsidRPr="0000694B">
        <w:t xml:space="preserve"> have little formal schooling (on average 6.3 years), which may confirm the fact that most people engage in self-employment because of a lack of opportunity in the formal sector. </w:t>
      </w:r>
      <w:r w:rsidR="0000694B" w:rsidRPr="00CB1A8E">
        <w:t>Adams et al. (2013)</w:t>
      </w:r>
      <w:r w:rsidR="00567128" w:rsidRPr="00CB1A8E">
        <w:rPr>
          <w:vertAlign w:val="superscript"/>
        </w:rPr>
        <w:t xml:space="preserve"> </w:t>
      </w:r>
      <w:r w:rsidR="00567128" w:rsidRPr="00CB1A8E">
        <w:rPr>
          <w:vertAlign w:val="superscript"/>
        </w:rPr>
        <w:footnoteReference w:id="33"/>
      </w:r>
      <w:r w:rsidR="00567128" w:rsidRPr="00CB1A8E">
        <w:t xml:space="preserve"> </w:t>
      </w:r>
      <w:r w:rsidR="0000694B" w:rsidRPr="00CB1A8E">
        <w:t xml:space="preserve">indeed </w:t>
      </w:r>
      <w:r w:rsidR="00AF5FB5">
        <w:t xml:space="preserve">finds </w:t>
      </w:r>
      <w:r w:rsidR="0000694B" w:rsidRPr="00CB1A8E">
        <w:t>that formal sector workers have</w:t>
      </w:r>
      <w:r w:rsidR="00B916F5" w:rsidRPr="00CB1A8E">
        <w:t>,</w:t>
      </w:r>
      <w:r w:rsidR="0000694B" w:rsidRPr="00CB1A8E">
        <w:t xml:space="preserve"> on average</w:t>
      </w:r>
      <w:r w:rsidR="00B916F5" w:rsidRPr="00CB1A8E">
        <w:t>,</w:t>
      </w:r>
      <w:r w:rsidR="0000694B" w:rsidRPr="00CB1A8E">
        <w:t xml:space="preserve"> </w:t>
      </w:r>
      <w:r w:rsidR="009F0746">
        <w:t>thirteen</w:t>
      </w:r>
      <w:r w:rsidR="009F0746" w:rsidRPr="00CB1A8E">
        <w:t xml:space="preserve"> </w:t>
      </w:r>
      <w:r w:rsidR="0000694B" w:rsidRPr="00CB1A8E">
        <w:t xml:space="preserve">years of education, compared with </w:t>
      </w:r>
      <w:r w:rsidR="006B5BB5" w:rsidRPr="00CB1A8E">
        <w:t>fewer than</w:t>
      </w:r>
      <w:r w:rsidR="006B5BB5">
        <w:t xml:space="preserve"> </w:t>
      </w:r>
      <w:r w:rsidR="0023354A">
        <w:t>nine</w:t>
      </w:r>
      <w:r w:rsidR="006B5BB5">
        <w:t xml:space="preserve"> years for workers in </w:t>
      </w:r>
      <w:r w:rsidR="0000694B" w:rsidRPr="0000694B">
        <w:t xml:space="preserve">the informal sector. </w:t>
      </w:r>
      <w:r w:rsidR="006B5BB5">
        <w:t xml:space="preserve">However, </w:t>
      </w:r>
      <w:r w:rsidR="0000694B" w:rsidRPr="0000694B">
        <w:t xml:space="preserve">the predicted probability </w:t>
      </w:r>
      <w:r w:rsidR="0000694B" w:rsidRPr="0000694B">
        <w:lastRenderedPageBreak/>
        <w:t>of being in the informal sector is relatively flat and does not increase or decrease with education (Adams et al. 2013), suggesting that the likelihood of engaging in a</w:t>
      </w:r>
      <w:r w:rsidR="009F0746">
        <w:t>n</w:t>
      </w:r>
      <w:r w:rsidR="0000694B" w:rsidRPr="0000694B">
        <w:t xml:space="preserve"> </w:t>
      </w:r>
      <w:r w:rsidR="00AF5FB5">
        <w:t>HE</w:t>
      </w:r>
      <w:r w:rsidR="0000694B" w:rsidRPr="0000694B">
        <w:t xml:space="preserve"> does not seem to be directly correlated with education.</w:t>
      </w:r>
      <w:r w:rsidR="006B5BB5">
        <w:t xml:space="preserve"> On the other hand, a</w:t>
      </w:r>
      <w:r w:rsidR="009F0746">
        <w:t>n</w:t>
      </w:r>
      <w:r w:rsidR="006B5BB5">
        <w:t xml:space="preserve"> </w:t>
      </w:r>
      <w:r w:rsidR="0000694B" w:rsidRPr="0000694B">
        <w:t xml:space="preserve">HE operated by </w:t>
      </w:r>
      <w:r w:rsidR="009F0746">
        <w:t xml:space="preserve">an </w:t>
      </w:r>
      <w:r w:rsidR="0000694B" w:rsidRPr="0000694B">
        <w:t xml:space="preserve">owner with secondary </w:t>
      </w:r>
      <w:r w:rsidR="006B5BB5">
        <w:t>or</w:t>
      </w:r>
      <w:r w:rsidR="0000694B" w:rsidRPr="0000694B">
        <w:t xml:space="preserve"> tertiary education will earn</w:t>
      </w:r>
      <w:r w:rsidR="006B5BB5">
        <w:t>,</w:t>
      </w:r>
      <w:r w:rsidR="0000694B" w:rsidRPr="0000694B">
        <w:t xml:space="preserve"> respectively</w:t>
      </w:r>
      <w:r w:rsidR="006B5BB5">
        <w:t>,</w:t>
      </w:r>
      <w:r w:rsidR="0000694B" w:rsidRPr="0000694B">
        <w:t xml:space="preserve"> 28 and 42 percent more than a</w:t>
      </w:r>
      <w:r w:rsidR="006B5BB5">
        <w:t>n</w:t>
      </w:r>
      <w:r w:rsidR="0000694B" w:rsidRPr="0000694B">
        <w:t xml:space="preserve"> HE operated </w:t>
      </w:r>
      <w:r w:rsidR="006B5BB5">
        <w:t>by an owner w</w:t>
      </w:r>
      <w:r w:rsidR="0000694B" w:rsidRPr="0000694B">
        <w:t>ithout any education or with primary education only.</w:t>
      </w:r>
      <w:r w:rsidR="00F428F9">
        <w:t xml:space="preserve"> </w:t>
      </w:r>
      <w:r w:rsidR="006B5BB5">
        <w:t xml:space="preserve">The </w:t>
      </w:r>
      <w:r w:rsidR="006B5BB5" w:rsidRPr="0000694B">
        <w:t xml:space="preserve">results suggest that education </w:t>
      </w:r>
      <w:r w:rsidR="00717130">
        <w:t>has influence</w:t>
      </w:r>
      <w:r w:rsidR="00717130" w:rsidRPr="0000694B">
        <w:t xml:space="preserve"> </w:t>
      </w:r>
      <w:r w:rsidR="00717130">
        <w:t xml:space="preserve">on the </w:t>
      </w:r>
      <w:r w:rsidR="006B5BB5" w:rsidRPr="0000694B">
        <w:t>revenues of the HE.</w:t>
      </w:r>
    </w:p>
    <w:p w14:paraId="52B87668" w14:textId="5B7D1E34" w:rsidR="0000694B" w:rsidRPr="0000694B" w:rsidRDefault="004E78E7" w:rsidP="00D727BF">
      <w:pPr>
        <w:pStyle w:val="ParagraphNumbering"/>
        <w:numPr>
          <w:ilvl w:val="0"/>
          <w:numId w:val="0"/>
        </w:numPr>
        <w:tabs>
          <w:tab w:val="left" w:pos="720"/>
        </w:tabs>
        <w:spacing w:after="240"/>
      </w:pPr>
      <w:r>
        <w:rPr>
          <w:b/>
        </w:rPr>
        <w:tab/>
      </w:r>
      <w:r w:rsidR="0000694B" w:rsidRPr="000F6A00">
        <w:rPr>
          <w:b/>
        </w:rPr>
        <w:t>Female-owned HE</w:t>
      </w:r>
      <w:r w:rsidR="006B5BB5" w:rsidRPr="000F6A00">
        <w:rPr>
          <w:b/>
        </w:rPr>
        <w:t>s</w:t>
      </w:r>
      <w:r w:rsidR="0000694B" w:rsidRPr="000F6A00">
        <w:rPr>
          <w:b/>
        </w:rPr>
        <w:t xml:space="preserve"> earn far less than </w:t>
      </w:r>
      <w:r w:rsidR="006B5BB5" w:rsidRPr="000F6A00">
        <w:rPr>
          <w:b/>
        </w:rPr>
        <w:t xml:space="preserve">HEs owned by </w:t>
      </w:r>
      <w:r w:rsidR="0000694B" w:rsidRPr="000F6A00">
        <w:rPr>
          <w:b/>
        </w:rPr>
        <w:t>men.</w:t>
      </w:r>
      <w:r w:rsidR="0000694B" w:rsidRPr="0000694B">
        <w:t xml:space="preserve"> Compared to a</w:t>
      </w:r>
      <w:r w:rsidR="006B5BB5">
        <w:t>n</w:t>
      </w:r>
      <w:r w:rsidR="0000694B" w:rsidRPr="0000694B">
        <w:t xml:space="preserve"> HE operated by a single man, sales per worker are about 30 percent lower for </w:t>
      </w:r>
      <w:r w:rsidR="006B5BB5">
        <w:t>a single woma</w:t>
      </w:r>
      <w:r w:rsidR="0000694B" w:rsidRPr="0000694B">
        <w:t xml:space="preserve">n and 40 percent lower for </w:t>
      </w:r>
      <w:r w:rsidR="006B5BB5">
        <w:t xml:space="preserve">a </w:t>
      </w:r>
      <w:r w:rsidR="0000694B" w:rsidRPr="0000694B">
        <w:t>married wom</w:t>
      </w:r>
      <w:r w:rsidR="006B5BB5">
        <w:t>a</w:t>
      </w:r>
      <w:r w:rsidR="0000694B" w:rsidRPr="0000694B">
        <w:t>n. This confirms the findings of Rijkers and Costa (2012) that NFE</w:t>
      </w:r>
      <w:r w:rsidR="006B5BB5">
        <w:t>s</w:t>
      </w:r>
      <w:r w:rsidR="0000694B" w:rsidRPr="0000694B">
        <w:t xml:space="preserve"> operated by women are less performant. </w:t>
      </w:r>
      <w:r w:rsidR="006B5BB5">
        <w:t>T</w:t>
      </w:r>
      <w:r w:rsidR="006B5BB5" w:rsidRPr="0000694B">
        <w:t>he highe</w:t>
      </w:r>
      <w:r w:rsidR="006B5BB5">
        <w:t>r</w:t>
      </w:r>
      <w:r w:rsidR="006B5BB5" w:rsidRPr="0000694B">
        <w:t xml:space="preserve"> the number of children below </w:t>
      </w:r>
      <w:r w:rsidR="00762132">
        <w:t>five</w:t>
      </w:r>
      <w:r w:rsidR="006B5BB5" w:rsidRPr="0000694B">
        <w:t xml:space="preserve"> years old, the lower the revenues per worker when the owner is a wom</w:t>
      </w:r>
      <w:r w:rsidR="006B5BB5">
        <w:t>a</w:t>
      </w:r>
      <w:r w:rsidR="006B5BB5" w:rsidRPr="0000694B">
        <w:t xml:space="preserve">n. This suggests that </w:t>
      </w:r>
      <w:r w:rsidR="00717130">
        <w:t xml:space="preserve">a </w:t>
      </w:r>
      <w:r w:rsidR="006B5BB5" w:rsidRPr="0000694B">
        <w:t>female-owned HE may be less profitable because women have to take care of children.</w:t>
      </w:r>
      <w:r w:rsidR="00F428F9">
        <w:t xml:space="preserve"> </w:t>
      </w:r>
      <w:r w:rsidR="00F56AD7">
        <w:t xml:space="preserve">However, </w:t>
      </w:r>
      <w:r w:rsidR="006B5BB5" w:rsidRPr="0000694B">
        <w:t>HE</w:t>
      </w:r>
      <w:r w:rsidR="006B5BB5">
        <w:t>s</w:t>
      </w:r>
      <w:r w:rsidR="006B5BB5" w:rsidRPr="0000694B">
        <w:t xml:space="preserve"> run by married men seem to perform about 30 percent better than those run by single men.</w:t>
      </w:r>
    </w:p>
    <w:p w14:paraId="09A34FF2" w14:textId="095E25AC" w:rsidR="0000694B" w:rsidRPr="0000694B" w:rsidRDefault="004E78E7" w:rsidP="00D727BF">
      <w:pPr>
        <w:pStyle w:val="ParagraphNumbering"/>
        <w:numPr>
          <w:ilvl w:val="0"/>
          <w:numId w:val="0"/>
        </w:numPr>
        <w:tabs>
          <w:tab w:val="left" w:pos="720"/>
        </w:tabs>
        <w:spacing w:after="240"/>
      </w:pPr>
      <w:r>
        <w:rPr>
          <w:b/>
        </w:rPr>
        <w:tab/>
      </w:r>
      <w:r w:rsidR="006B5BB5" w:rsidRPr="000F6A00">
        <w:rPr>
          <w:b/>
        </w:rPr>
        <w:t xml:space="preserve">HE owners who </w:t>
      </w:r>
      <w:r w:rsidR="00F56AD7">
        <w:rPr>
          <w:b/>
        </w:rPr>
        <w:t xml:space="preserve">also </w:t>
      </w:r>
      <w:r w:rsidR="006B5BB5" w:rsidRPr="000F6A00">
        <w:rPr>
          <w:b/>
        </w:rPr>
        <w:t>engage in other occupations</w:t>
      </w:r>
      <w:r w:rsidR="006B5BB5">
        <w:t xml:space="preserve"> lower</w:t>
      </w:r>
      <w:r w:rsidR="00F56AD7">
        <w:t xml:space="preserve"> the </w:t>
      </w:r>
      <w:r w:rsidR="0000694B" w:rsidRPr="000F6A00">
        <w:t>revenues for the household.</w:t>
      </w:r>
      <w:r w:rsidR="0000694B" w:rsidRPr="0000694B">
        <w:t xml:space="preserve"> Owner</w:t>
      </w:r>
      <w:r w:rsidR="00F56AD7">
        <w:t>s</w:t>
      </w:r>
      <w:r w:rsidR="0000694B" w:rsidRPr="0000694B">
        <w:t xml:space="preserve"> </w:t>
      </w:r>
      <w:r w:rsidR="00F56AD7">
        <w:t xml:space="preserve">who operate an HE as </w:t>
      </w:r>
      <w:r w:rsidR="0000694B" w:rsidRPr="0000694B">
        <w:t xml:space="preserve">their main occupation raise </w:t>
      </w:r>
      <w:r w:rsidR="00F56AD7">
        <w:t xml:space="preserve">household </w:t>
      </w:r>
      <w:r w:rsidR="0000694B" w:rsidRPr="0000694B">
        <w:t xml:space="preserve">revenues by about </w:t>
      </w:r>
      <w:r w:rsidR="009F0746">
        <w:t>10</w:t>
      </w:r>
      <w:r w:rsidR="009F0746" w:rsidRPr="0000694B">
        <w:t xml:space="preserve"> </w:t>
      </w:r>
      <w:r w:rsidR="0000694B" w:rsidRPr="0000694B">
        <w:t xml:space="preserve">percent. </w:t>
      </w:r>
    </w:p>
    <w:p w14:paraId="593EBA6C" w14:textId="3035DD54" w:rsidR="0000694B" w:rsidRPr="0000694B" w:rsidRDefault="004E78E7" w:rsidP="00D727BF">
      <w:pPr>
        <w:pStyle w:val="ParagraphNumbering"/>
        <w:numPr>
          <w:ilvl w:val="0"/>
          <w:numId w:val="0"/>
        </w:numPr>
        <w:tabs>
          <w:tab w:val="left" w:pos="720"/>
        </w:tabs>
        <w:spacing w:after="240"/>
      </w:pPr>
      <w:r>
        <w:rPr>
          <w:b/>
        </w:rPr>
        <w:tab/>
      </w:r>
      <w:r w:rsidR="0000694B" w:rsidRPr="00F56AD7">
        <w:rPr>
          <w:b/>
        </w:rPr>
        <w:t xml:space="preserve">The location and the wealth of the household </w:t>
      </w:r>
      <w:r w:rsidR="00717130">
        <w:rPr>
          <w:b/>
        </w:rPr>
        <w:t>have influence</w:t>
      </w:r>
      <w:r w:rsidR="00F56AD7">
        <w:rPr>
          <w:b/>
        </w:rPr>
        <w:t>.</w:t>
      </w:r>
      <w:r w:rsidR="00F428F9">
        <w:rPr>
          <w:b/>
        </w:rPr>
        <w:t xml:space="preserve"> </w:t>
      </w:r>
      <w:r w:rsidR="0000694B" w:rsidRPr="0000694B">
        <w:t>The results suggest a negative correlation between revenues per worker and distance to the closest large city</w:t>
      </w:r>
      <w:r w:rsidR="00680A00">
        <w:t>: for example,</w:t>
      </w:r>
      <w:r w:rsidR="0000694B" w:rsidRPr="0000694B">
        <w:t xml:space="preserve"> </w:t>
      </w:r>
      <w:r w:rsidR="00717130">
        <w:t xml:space="preserve">HEs operating </w:t>
      </w:r>
      <w:r w:rsidR="0000694B" w:rsidRPr="0000694B">
        <w:t xml:space="preserve">in rural areas </w:t>
      </w:r>
      <w:r w:rsidR="00717130">
        <w:t xml:space="preserve">at </w:t>
      </w:r>
      <w:r w:rsidR="00F95EBB">
        <w:t xml:space="preserve">a </w:t>
      </w:r>
      <w:r w:rsidR="00717130">
        <w:t xml:space="preserve">distance from an urban center </w:t>
      </w:r>
      <w:r w:rsidR="0000694B" w:rsidRPr="0000694B">
        <w:t>earn less.</w:t>
      </w:r>
      <w:r w:rsidR="00F428F9">
        <w:t xml:space="preserve"> </w:t>
      </w:r>
      <w:r w:rsidR="00F56AD7">
        <w:t>O</w:t>
      </w:r>
      <w:r w:rsidR="0000694B" w:rsidRPr="0000694B">
        <w:t xml:space="preserve">wning a television </w:t>
      </w:r>
      <w:r w:rsidR="00F56AD7">
        <w:t xml:space="preserve">(a proxy for wealth) </w:t>
      </w:r>
      <w:r w:rsidR="0000694B" w:rsidRPr="0000694B">
        <w:t>increases revenues per worker by 30 percent, suggesting that wealth is an important factor</w:t>
      </w:r>
      <w:r w:rsidR="00F56AD7">
        <w:t xml:space="preserve"> in the success of an HE</w:t>
      </w:r>
      <w:r w:rsidR="0000694B" w:rsidRPr="0000694B">
        <w:t xml:space="preserve">. </w:t>
      </w:r>
      <w:r w:rsidR="00F56AD7">
        <w:t>T</w:t>
      </w:r>
      <w:r w:rsidR="0000694B" w:rsidRPr="0000694B">
        <w:t xml:space="preserve">he death of a family member or an economic shock </w:t>
      </w:r>
      <w:r w:rsidR="00F56AD7">
        <w:t xml:space="preserve">substantially </w:t>
      </w:r>
      <w:r w:rsidR="0000694B" w:rsidRPr="0000694B">
        <w:t xml:space="preserve">lowers </w:t>
      </w:r>
      <w:r w:rsidR="00F56AD7">
        <w:t xml:space="preserve">HE </w:t>
      </w:r>
      <w:r w:rsidR="0000694B" w:rsidRPr="0000694B">
        <w:t>revenues.</w:t>
      </w:r>
    </w:p>
    <w:p w14:paraId="5682B453" w14:textId="38542D2E" w:rsidR="0000694B" w:rsidRPr="0000694B" w:rsidRDefault="004E78E7" w:rsidP="00D727BF">
      <w:pPr>
        <w:pStyle w:val="ParagraphNumbering"/>
        <w:numPr>
          <w:ilvl w:val="0"/>
          <w:numId w:val="0"/>
        </w:numPr>
        <w:tabs>
          <w:tab w:val="left" w:pos="720"/>
        </w:tabs>
        <w:spacing w:after="240"/>
      </w:pPr>
      <w:r>
        <w:rPr>
          <w:b/>
        </w:rPr>
        <w:tab/>
      </w:r>
      <w:r w:rsidR="0000694B" w:rsidRPr="000F6A00">
        <w:rPr>
          <w:b/>
        </w:rPr>
        <w:t xml:space="preserve">Turning to IC constraints, most of the IC variables are not statistically significant. </w:t>
      </w:r>
      <w:r w:rsidR="0000694B" w:rsidRPr="0000694B">
        <w:t>However</w:t>
      </w:r>
      <w:r w:rsidR="00F95EBB">
        <w:t>,</w:t>
      </w:r>
      <w:r w:rsidR="0000694B" w:rsidRPr="0000694B">
        <w:t xml:space="preserve"> adding state dummies increase</w:t>
      </w:r>
      <w:r w:rsidR="00F56AD7">
        <w:t>s</w:t>
      </w:r>
      <w:r w:rsidR="0000694B" w:rsidRPr="0000694B">
        <w:t xml:space="preserve"> the explanatory power substantially (from 26 percent to 37 percent), thereby suggesting that there are some peculiarities specific to the states that are not captured in the IC variables that were computed for the purpose of this analysis.</w:t>
      </w:r>
    </w:p>
    <w:p w14:paraId="6F4CADFD" w14:textId="34004F59" w:rsidR="0000694B" w:rsidRDefault="0000694B" w:rsidP="00D727BF">
      <w:pPr>
        <w:pStyle w:val="Heading4"/>
        <w:tabs>
          <w:tab w:val="left" w:pos="720"/>
        </w:tabs>
        <w:spacing w:before="0" w:after="240"/>
        <w:rPr>
          <w:rFonts w:eastAsiaTheme="minorHAnsi"/>
        </w:rPr>
      </w:pPr>
      <w:r w:rsidRPr="000F6A00">
        <w:rPr>
          <w:rFonts w:eastAsiaTheme="minorHAnsi"/>
        </w:rPr>
        <w:t xml:space="preserve">Increasing </w:t>
      </w:r>
      <w:r w:rsidR="004E78E7">
        <w:rPr>
          <w:rFonts w:eastAsiaTheme="minorHAnsi"/>
        </w:rPr>
        <w:t>P</w:t>
      </w:r>
      <w:r w:rsidRPr="000F6A00">
        <w:rPr>
          <w:rFonts w:eastAsiaTheme="minorHAnsi"/>
        </w:rPr>
        <w:t xml:space="preserve">erformance for </w:t>
      </w:r>
      <w:r w:rsidR="004E78E7">
        <w:rPr>
          <w:rFonts w:eastAsiaTheme="minorHAnsi"/>
        </w:rPr>
        <w:t>M</w:t>
      </w:r>
      <w:r w:rsidRPr="000F6A00">
        <w:rPr>
          <w:rFonts w:eastAsiaTheme="minorHAnsi"/>
        </w:rPr>
        <w:t>icroenterprises</w:t>
      </w:r>
    </w:p>
    <w:p w14:paraId="6BBBBAF1" w14:textId="3ECC1A68" w:rsidR="0000694B" w:rsidRPr="0000694B" w:rsidRDefault="004E78E7" w:rsidP="00D727BF">
      <w:pPr>
        <w:pStyle w:val="ParagraphNumbering"/>
        <w:numPr>
          <w:ilvl w:val="0"/>
          <w:numId w:val="0"/>
        </w:numPr>
        <w:tabs>
          <w:tab w:val="left" w:pos="720"/>
        </w:tabs>
        <w:spacing w:after="240"/>
      </w:pPr>
      <w:r>
        <w:rPr>
          <w:b/>
        </w:rPr>
        <w:tab/>
      </w:r>
      <w:r w:rsidR="0000694B" w:rsidRPr="000F6A00">
        <w:rPr>
          <w:b/>
        </w:rPr>
        <w:t>This section summari</w:t>
      </w:r>
      <w:r w:rsidR="00F56AD7" w:rsidRPr="000F6A00">
        <w:rPr>
          <w:b/>
        </w:rPr>
        <w:t>z</w:t>
      </w:r>
      <w:r w:rsidR="0000694B" w:rsidRPr="000F6A00">
        <w:rPr>
          <w:b/>
        </w:rPr>
        <w:t xml:space="preserve">es the results for </w:t>
      </w:r>
      <w:r w:rsidR="00717130">
        <w:rPr>
          <w:b/>
        </w:rPr>
        <w:t xml:space="preserve">MEs: </w:t>
      </w:r>
      <w:r w:rsidR="0000694B" w:rsidRPr="000F6A00">
        <w:rPr>
          <w:b/>
        </w:rPr>
        <w:t>revenues per worker, TFP</w:t>
      </w:r>
      <w:r w:rsidR="00F95EBB">
        <w:rPr>
          <w:b/>
        </w:rPr>
        <w:t>,</w:t>
      </w:r>
      <w:r w:rsidR="0000694B" w:rsidRPr="000F6A00">
        <w:rPr>
          <w:b/>
        </w:rPr>
        <w:t xml:space="preserve"> and employment growth.</w:t>
      </w:r>
      <w:r w:rsidR="0000694B" w:rsidRPr="0000694B">
        <w:t xml:space="preserve"> Results from the econometric estimations are presented in </w:t>
      </w:r>
      <w:r w:rsidR="00F56AD7">
        <w:t>Annex 1.</w:t>
      </w:r>
      <w:r w:rsidR="0000694B" w:rsidRPr="0000694B">
        <w:t xml:space="preserve"> </w:t>
      </w:r>
    </w:p>
    <w:p w14:paraId="1BFFAF75" w14:textId="61B1849D" w:rsidR="0000694B" w:rsidRPr="0000694B" w:rsidRDefault="004E78E7" w:rsidP="00D727BF">
      <w:pPr>
        <w:pStyle w:val="ParagraphNumbering"/>
        <w:numPr>
          <w:ilvl w:val="0"/>
          <w:numId w:val="0"/>
        </w:numPr>
        <w:tabs>
          <w:tab w:val="left" w:pos="720"/>
        </w:tabs>
      </w:pPr>
      <w:r>
        <w:rPr>
          <w:b/>
        </w:rPr>
        <w:tab/>
      </w:r>
      <w:r w:rsidR="0000694B" w:rsidRPr="00B60DFE">
        <w:rPr>
          <w:b/>
        </w:rPr>
        <w:t xml:space="preserve">The findings are more limited for </w:t>
      </w:r>
      <w:r w:rsidR="00717130">
        <w:rPr>
          <w:b/>
        </w:rPr>
        <w:t>MEs</w:t>
      </w:r>
      <w:r w:rsidR="0000694B" w:rsidRPr="00B60DFE">
        <w:rPr>
          <w:b/>
        </w:rPr>
        <w:t>.</w:t>
      </w:r>
      <w:r w:rsidR="0000694B" w:rsidRPr="0000694B">
        <w:t xml:space="preserve"> </w:t>
      </w:r>
      <w:r w:rsidR="00B60DFE">
        <w:t>It should be noted</w:t>
      </w:r>
      <w:r w:rsidR="0000694B" w:rsidRPr="0000694B">
        <w:t xml:space="preserve"> that inferences about the impacts of the set of variables on ME performance are further impeded by the small size of the sample. The</w:t>
      </w:r>
      <w:r w:rsidR="00687556">
        <w:t xml:space="preserve"> findings</w:t>
      </w:r>
      <w:r w:rsidR="0000694B" w:rsidRPr="0000694B">
        <w:t xml:space="preserve"> can be summarized as follows:</w:t>
      </w:r>
    </w:p>
    <w:p w14:paraId="3AFAD161" w14:textId="77777777" w:rsidR="0000694B" w:rsidRPr="0000694B" w:rsidRDefault="0000694B" w:rsidP="00D727BF">
      <w:pPr>
        <w:pStyle w:val="Bullets"/>
        <w:tabs>
          <w:tab w:val="left" w:pos="720"/>
        </w:tabs>
        <w:spacing w:after="120"/>
        <w:ind w:left="734"/>
      </w:pPr>
      <w:r w:rsidRPr="0000694B">
        <w:t>Most of the firm-level variation is explained by owner and household characteristics;</w:t>
      </w:r>
    </w:p>
    <w:p w14:paraId="433F40B8" w14:textId="77777777" w:rsidR="0000694B" w:rsidRPr="0000694B" w:rsidRDefault="0000694B" w:rsidP="00D727BF">
      <w:pPr>
        <w:pStyle w:val="Bullets"/>
        <w:tabs>
          <w:tab w:val="left" w:pos="720"/>
        </w:tabs>
        <w:spacing w:after="120"/>
        <w:ind w:left="734"/>
      </w:pPr>
      <w:r w:rsidRPr="0000694B">
        <w:t>There is a positive return on tertiary education. We find that sales per worker is positively correlated with having a tertiary education;</w:t>
      </w:r>
    </w:p>
    <w:p w14:paraId="6CA29B72" w14:textId="77777777" w:rsidR="0000694B" w:rsidRPr="0000694B" w:rsidRDefault="0000694B" w:rsidP="00D727BF">
      <w:pPr>
        <w:pStyle w:val="Bullets"/>
        <w:tabs>
          <w:tab w:val="left" w:pos="720"/>
        </w:tabs>
        <w:spacing w:after="120"/>
        <w:ind w:left="734"/>
      </w:pPr>
      <w:r w:rsidRPr="0000694B">
        <w:t>There is no more gender gap. We find no systematic and negative coefficient for female-owned firms, suggesting that the gender gap is less crucial for this segment of firms;</w:t>
      </w:r>
    </w:p>
    <w:p w14:paraId="353264FE" w14:textId="45BB15A7" w:rsidR="0000694B" w:rsidRPr="0000694B" w:rsidRDefault="004B00C9" w:rsidP="00D727BF">
      <w:pPr>
        <w:pStyle w:val="Bullets"/>
        <w:tabs>
          <w:tab w:val="left" w:pos="720"/>
        </w:tabs>
      </w:pPr>
      <w:r>
        <w:lastRenderedPageBreak/>
        <w:t>W</w:t>
      </w:r>
      <w:r w:rsidR="0000694B" w:rsidRPr="0000694B">
        <w:t xml:space="preserve">e found no evidence that IC constraints </w:t>
      </w:r>
      <w:r w:rsidR="00687556">
        <w:t xml:space="preserve">have </w:t>
      </w:r>
      <w:r>
        <w:t>an effect</w:t>
      </w:r>
      <w:r w:rsidR="00687556">
        <w:t xml:space="preserve"> on </w:t>
      </w:r>
      <w:r w:rsidR="0000694B" w:rsidRPr="0000694B">
        <w:t>ME performance. However</w:t>
      </w:r>
      <w:r w:rsidR="00687556">
        <w:t>,</w:t>
      </w:r>
      <w:r w:rsidR="0000694B" w:rsidRPr="0000694B">
        <w:t xml:space="preserve"> adding a state dummy substantially </w:t>
      </w:r>
      <w:r w:rsidR="00687556" w:rsidRPr="0000694B">
        <w:t xml:space="preserve">increases </w:t>
      </w:r>
      <w:r w:rsidR="0000694B" w:rsidRPr="0000694B">
        <w:t>the explanatory power, in particular for employment growth. Lagos and Rivers seem to have a more conducive business environment than other states when it comes to increase</w:t>
      </w:r>
      <w:r w:rsidR="00687556">
        <w:t>d</w:t>
      </w:r>
      <w:r w:rsidR="0000694B" w:rsidRPr="0000694B">
        <w:t xml:space="preserve"> sales per worker for ME</w:t>
      </w:r>
      <w:r w:rsidR="00687556">
        <w:t>s</w:t>
      </w:r>
      <w:r w:rsidR="0000694B" w:rsidRPr="0000694B">
        <w:t xml:space="preserve">. This may be linked to the presence of a port in both states and therefore </w:t>
      </w:r>
      <w:r w:rsidR="00717130">
        <w:t xml:space="preserve">better </w:t>
      </w:r>
      <w:r w:rsidR="0000694B" w:rsidRPr="0000694B">
        <w:t>access to inputs, which is not captured in this survey.</w:t>
      </w:r>
    </w:p>
    <w:p w14:paraId="1DF04462" w14:textId="77777777" w:rsidR="0000694B" w:rsidRPr="0000694B" w:rsidRDefault="0000694B" w:rsidP="00D727BF">
      <w:pPr>
        <w:pStyle w:val="Heading2"/>
        <w:tabs>
          <w:tab w:val="left" w:pos="720"/>
        </w:tabs>
        <w:spacing w:before="0"/>
      </w:pPr>
      <w:bookmarkStart w:id="170" w:name="_Toc444877445"/>
      <w:bookmarkStart w:id="171" w:name="_Toc444877509"/>
      <w:bookmarkStart w:id="172" w:name="_Toc444878293"/>
      <w:bookmarkStart w:id="173" w:name="_Toc444878777"/>
      <w:bookmarkStart w:id="174" w:name="_Toc444879175"/>
      <w:bookmarkStart w:id="175" w:name="_Toc430263216"/>
      <w:bookmarkStart w:id="176" w:name="_Toc444877510"/>
      <w:bookmarkStart w:id="177" w:name="_Toc445450283"/>
      <w:bookmarkEnd w:id="170"/>
      <w:bookmarkEnd w:id="171"/>
      <w:bookmarkEnd w:id="172"/>
      <w:bookmarkEnd w:id="173"/>
      <w:bookmarkEnd w:id="174"/>
      <w:r w:rsidRPr="0000694B">
        <w:t>Main Findings</w:t>
      </w:r>
      <w:bookmarkEnd w:id="175"/>
      <w:bookmarkEnd w:id="176"/>
      <w:bookmarkEnd w:id="177"/>
    </w:p>
    <w:p w14:paraId="257C33B4" w14:textId="2B71E2F5" w:rsidR="0000694B" w:rsidRPr="0000694B" w:rsidRDefault="004E78E7" w:rsidP="00D727BF">
      <w:pPr>
        <w:pStyle w:val="ParagraphNumbering"/>
        <w:numPr>
          <w:ilvl w:val="0"/>
          <w:numId w:val="0"/>
        </w:numPr>
        <w:tabs>
          <w:tab w:val="left" w:pos="720"/>
        </w:tabs>
        <w:spacing w:after="240"/>
      </w:pPr>
      <w:r>
        <w:rPr>
          <w:b/>
        </w:rPr>
        <w:tab/>
      </w:r>
      <w:r w:rsidR="0000694B" w:rsidRPr="000F6A00">
        <w:rPr>
          <w:b/>
        </w:rPr>
        <w:t xml:space="preserve">This </w:t>
      </w:r>
      <w:r w:rsidR="00687556" w:rsidRPr="000F6A00">
        <w:rPr>
          <w:b/>
        </w:rPr>
        <w:t>c</w:t>
      </w:r>
      <w:r w:rsidR="0000694B" w:rsidRPr="000F6A00">
        <w:rPr>
          <w:b/>
        </w:rPr>
        <w:t xml:space="preserve">hapter is a first attempt to understand </w:t>
      </w:r>
      <w:r w:rsidR="00717130">
        <w:rPr>
          <w:b/>
        </w:rPr>
        <w:t>NFEs</w:t>
      </w:r>
      <w:r w:rsidR="00687556" w:rsidRPr="000F6A00">
        <w:rPr>
          <w:b/>
        </w:rPr>
        <w:t>, which have been understudied f</w:t>
      </w:r>
      <w:r w:rsidR="0000694B" w:rsidRPr="000F6A00">
        <w:rPr>
          <w:b/>
        </w:rPr>
        <w:t xml:space="preserve">rom a private sector development </w:t>
      </w:r>
      <w:r w:rsidR="00687556" w:rsidRPr="000F6A00">
        <w:rPr>
          <w:b/>
        </w:rPr>
        <w:t>perspective.</w:t>
      </w:r>
      <w:r w:rsidR="00687556">
        <w:t xml:space="preserve"> The </w:t>
      </w:r>
      <w:r w:rsidR="0000694B" w:rsidRPr="0000694B">
        <w:t>analysis suggests that the NFE sector</w:t>
      </w:r>
      <w:r w:rsidR="00687556">
        <w:t>,</w:t>
      </w:r>
      <w:r w:rsidR="0000694B" w:rsidRPr="0000694B">
        <w:t xml:space="preserve"> long considered </w:t>
      </w:r>
      <w:r w:rsidR="00687556">
        <w:t>to be</w:t>
      </w:r>
      <w:r w:rsidR="0000694B" w:rsidRPr="0000694B">
        <w:t xml:space="preserve"> neutral in terms of employment</w:t>
      </w:r>
      <w:r w:rsidR="00687556">
        <w:t>,</w:t>
      </w:r>
      <w:r w:rsidR="0000694B" w:rsidRPr="0000694B">
        <w:t xml:space="preserve"> may potentially create wage jobs. </w:t>
      </w:r>
      <w:r w:rsidR="00687556">
        <w:t xml:space="preserve">NFEs appear to be a dual economy, </w:t>
      </w:r>
      <w:r w:rsidR="0000694B" w:rsidRPr="0000694B">
        <w:t>with the majority operated by a single person (</w:t>
      </w:r>
      <w:r w:rsidR="00717130">
        <w:t>HEs</w:t>
      </w:r>
      <w:r w:rsidR="0000694B" w:rsidRPr="0000694B">
        <w:t>)</w:t>
      </w:r>
      <w:r w:rsidR="00BE4B73">
        <w:t>,</w:t>
      </w:r>
      <w:r w:rsidR="0000694B" w:rsidRPr="0000694B">
        <w:t xml:space="preserve"> and a small fraction hiring workers </w:t>
      </w:r>
      <w:r w:rsidR="00BE4B73">
        <w:t xml:space="preserve">who are not members of </w:t>
      </w:r>
      <w:r w:rsidR="0000694B" w:rsidRPr="0000694B">
        <w:t>the household (</w:t>
      </w:r>
      <w:r w:rsidR="00717130">
        <w:t>MEs</w:t>
      </w:r>
      <w:r w:rsidR="0000694B" w:rsidRPr="0000694B">
        <w:t xml:space="preserve">). While both </w:t>
      </w:r>
      <w:r w:rsidR="00BE4B73">
        <w:t xml:space="preserve">segments </w:t>
      </w:r>
      <w:r w:rsidR="0000694B" w:rsidRPr="0000694B">
        <w:t>experienced an increase in sales over the period 2011</w:t>
      </w:r>
      <w:r w:rsidR="00717130">
        <w:t xml:space="preserve"> to </w:t>
      </w:r>
      <w:r w:rsidR="0000694B" w:rsidRPr="0000694B">
        <w:t xml:space="preserve">2013, only </w:t>
      </w:r>
      <w:r w:rsidR="00717130">
        <w:t xml:space="preserve">MEs </w:t>
      </w:r>
      <w:r w:rsidR="0000694B" w:rsidRPr="0000694B">
        <w:t xml:space="preserve">managed to grow in size and </w:t>
      </w:r>
      <w:r w:rsidR="00BE4B73">
        <w:t xml:space="preserve">hire </w:t>
      </w:r>
      <w:r w:rsidR="0000694B" w:rsidRPr="0000694B">
        <w:t xml:space="preserve">more workers. </w:t>
      </w:r>
      <w:r w:rsidR="00BE4B73">
        <w:t>Mo</w:t>
      </w:r>
      <w:r w:rsidR="0000694B" w:rsidRPr="0000694B">
        <w:t xml:space="preserve">re research is needed to understand </w:t>
      </w:r>
      <w:r w:rsidR="00BE4B73">
        <w:t xml:space="preserve">and define </w:t>
      </w:r>
      <w:r w:rsidR="0000694B" w:rsidRPr="0000694B">
        <w:t xml:space="preserve">this group of firms </w:t>
      </w:r>
      <w:r w:rsidR="00BE4B73">
        <w:t xml:space="preserve">that is </w:t>
      </w:r>
      <w:r w:rsidR="0000694B" w:rsidRPr="0000694B">
        <w:t>able to generate wage jobs.</w:t>
      </w:r>
    </w:p>
    <w:p w14:paraId="28D83A89" w14:textId="309958BE" w:rsidR="0000694B" w:rsidRPr="0000694B" w:rsidRDefault="004E78E7" w:rsidP="00D727BF">
      <w:pPr>
        <w:pStyle w:val="ParagraphNumbering"/>
        <w:numPr>
          <w:ilvl w:val="0"/>
          <w:numId w:val="0"/>
        </w:numPr>
        <w:tabs>
          <w:tab w:val="left" w:pos="720"/>
        </w:tabs>
        <w:spacing w:after="240"/>
      </w:pPr>
      <w:r>
        <w:rPr>
          <w:b/>
        </w:rPr>
        <w:tab/>
      </w:r>
      <w:r w:rsidR="0000694B" w:rsidRPr="000F6A00">
        <w:rPr>
          <w:b/>
        </w:rPr>
        <w:t xml:space="preserve">What can we say about these </w:t>
      </w:r>
      <w:r w:rsidR="00717130">
        <w:rPr>
          <w:b/>
        </w:rPr>
        <w:t>MEs</w:t>
      </w:r>
      <w:r w:rsidR="0000694B" w:rsidRPr="000F6A00">
        <w:rPr>
          <w:b/>
        </w:rPr>
        <w:t>?</w:t>
      </w:r>
      <w:r w:rsidR="00F428F9">
        <w:rPr>
          <w:b/>
        </w:rPr>
        <w:t xml:space="preserve"> </w:t>
      </w:r>
      <w:r w:rsidR="0000694B" w:rsidRPr="0000694B">
        <w:t>The</w:t>
      </w:r>
      <w:r w:rsidR="00BE4B73">
        <w:t>y</w:t>
      </w:r>
      <w:r w:rsidR="0000694B" w:rsidRPr="0000694B">
        <w:t xml:space="preserve"> are clearly larger in size, sales</w:t>
      </w:r>
      <w:r w:rsidR="00717130">
        <w:t>,</w:t>
      </w:r>
      <w:r w:rsidR="0000694B" w:rsidRPr="0000694B">
        <w:t xml:space="preserve"> and capital use. They also appear more dynamic</w:t>
      </w:r>
      <w:r w:rsidR="00BE4B73">
        <w:t>,</w:t>
      </w:r>
      <w:r w:rsidR="0000694B" w:rsidRPr="0000694B">
        <w:t xml:space="preserve"> with</w:t>
      </w:r>
      <w:r w:rsidR="00BE4B73">
        <w:t xml:space="preserve"> </w:t>
      </w:r>
      <w:r w:rsidR="0000694B" w:rsidRPr="0000694B">
        <w:t>higher employment growth. Looking at the characteristics of the owner, it seems that male</w:t>
      </w:r>
      <w:r w:rsidR="00BE4B73">
        <w:t>s</w:t>
      </w:r>
      <w:r w:rsidR="0000694B" w:rsidRPr="0000694B">
        <w:t xml:space="preserve"> with higher education are more likely to operate those firms.</w:t>
      </w:r>
      <w:r w:rsidR="00F428F9">
        <w:t xml:space="preserve"> </w:t>
      </w:r>
      <w:r w:rsidR="00717130">
        <w:t>While s</w:t>
      </w:r>
      <w:r w:rsidR="0000694B" w:rsidRPr="0000694B">
        <w:t xml:space="preserve">hocks may push households to transition from </w:t>
      </w:r>
      <w:r w:rsidR="00BE4B73">
        <w:t>HE to ME s</w:t>
      </w:r>
      <w:r w:rsidR="0000694B" w:rsidRPr="0000694B">
        <w:t>tatus</w:t>
      </w:r>
      <w:r w:rsidR="00717130">
        <w:t>,</w:t>
      </w:r>
      <w:r w:rsidR="0000694B" w:rsidRPr="0000694B">
        <w:t xml:space="preserve"> overall external factors explain </w:t>
      </w:r>
      <w:r w:rsidR="00BE4B73">
        <w:t xml:space="preserve">only </w:t>
      </w:r>
      <w:r w:rsidR="0000694B" w:rsidRPr="0000694B">
        <w:t>a small fraction of this transition</w:t>
      </w:r>
      <w:r w:rsidR="00717130">
        <w:t xml:space="preserve">. More explanatory power </w:t>
      </w:r>
      <w:r w:rsidR="0000694B" w:rsidRPr="0000694B">
        <w:t xml:space="preserve">may be </w:t>
      </w:r>
      <w:r w:rsidR="00717130">
        <w:t xml:space="preserve">derived from </w:t>
      </w:r>
      <w:r w:rsidR="0000694B" w:rsidRPr="0000694B">
        <w:t>other external factors</w:t>
      </w:r>
      <w:r w:rsidR="00717130">
        <w:t xml:space="preserve">, </w:t>
      </w:r>
      <w:r w:rsidR="0000694B" w:rsidRPr="0000694B">
        <w:t>household background</w:t>
      </w:r>
      <w:r w:rsidR="00717130">
        <w:t>s</w:t>
      </w:r>
      <w:r w:rsidR="0000694B" w:rsidRPr="0000694B">
        <w:t xml:space="preserve"> </w:t>
      </w:r>
      <w:r w:rsidR="00175186">
        <w:t>(</w:t>
      </w:r>
      <w:r w:rsidR="0000694B" w:rsidRPr="0000694B">
        <w:t>not captured in the model</w:t>
      </w:r>
      <w:r w:rsidR="00175186">
        <w:t>)</w:t>
      </w:r>
      <w:r w:rsidR="00BE4B73">
        <w:t xml:space="preserve">, or </w:t>
      </w:r>
      <w:r w:rsidR="0000694B" w:rsidRPr="0000694B">
        <w:t>personality traits of the owner that are difficult to measure with a household survey. In addition, it is difficult to interpret the results related to firm performance given the small size of the sample. However</w:t>
      </w:r>
      <w:r w:rsidR="00BE4B73">
        <w:t>,</w:t>
      </w:r>
      <w:r w:rsidR="0000694B" w:rsidRPr="0000694B">
        <w:t xml:space="preserve"> it seems that most of the variations can be explained by owner and household characteristics, as well as </w:t>
      </w:r>
      <w:r w:rsidR="00BE4B73">
        <w:t xml:space="preserve">by </w:t>
      </w:r>
      <w:r w:rsidR="004B00C9">
        <w:t xml:space="preserve">a state dummy, </w:t>
      </w:r>
      <w:r w:rsidR="00717130">
        <w:t xml:space="preserve">which </w:t>
      </w:r>
      <w:r w:rsidR="004B00C9">
        <w:t xml:space="preserve">can </w:t>
      </w:r>
      <w:r w:rsidR="00717130">
        <w:t xml:space="preserve">identify </w:t>
      </w:r>
      <w:r w:rsidR="004B00C9">
        <w:t xml:space="preserve">different investment climates specific to each region. </w:t>
      </w:r>
    </w:p>
    <w:p w14:paraId="0A4A71D0" w14:textId="77777777" w:rsidR="0000694B" w:rsidRDefault="0000694B" w:rsidP="00D727BF">
      <w:pPr>
        <w:tabs>
          <w:tab w:val="left" w:pos="720"/>
        </w:tabs>
        <w:spacing w:after="0"/>
        <w:rPr>
          <w:rFonts w:ascii="AndesExtraLight"/>
          <w:color w:val="00AEEF"/>
          <w:sz w:val="38"/>
          <w:u w:color="0D2240"/>
        </w:rPr>
      </w:pPr>
      <w:r>
        <w:br w:type="page"/>
      </w:r>
    </w:p>
    <w:p w14:paraId="26C3C01B" w14:textId="3B70A91B" w:rsidR="00121178" w:rsidRDefault="0024246A" w:rsidP="00D727BF">
      <w:pPr>
        <w:pStyle w:val="Heading1"/>
        <w:numPr>
          <w:ilvl w:val="0"/>
          <w:numId w:val="0"/>
        </w:numPr>
        <w:tabs>
          <w:tab w:val="left" w:pos="720"/>
        </w:tabs>
        <w:ind w:left="20"/>
      </w:pPr>
      <w:bookmarkStart w:id="178" w:name="_Toc444877511"/>
      <w:bookmarkStart w:id="179" w:name="_Toc445450284"/>
      <w:bookmarkEnd w:id="81"/>
      <w:r>
        <w:lastRenderedPageBreak/>
        <w:t>Chapter 4</w:t>
      </w:r>
      <w:r w:rsidR="00121178" w:rsidRPr="00030BAA">
        <w:t xml:space="preserve">: </w:t>
      </w:r>
      <w:r w:rsidR="009C6DAC">
        <w:t>P</w:t>
      </w:r>
      <w:r w:rsidR="00834341">
        <w:t>erformance</w:t>
      </w:r>
      <w:r w:rsidR="009C6DAC">
        <w:t xml:space="preserve"> of the Formal Sector</w:t>
      </w:r>
      <w:r w:rsidR="00834341">
        <w:t xml:space="preserve"> and Investment Climate</w:t>
      </w:r>
      <w:bookmarkEnd w:id="178"/>
      <w:bookmarkEnd w:id="179"/>
    </w:p>
    <w:p w14:paraId="3EAD9277" w14:textId="134BFA4D" w:rsidR="00121178" w:rsidRPr="00DD3FC5" w:rsidRDefault="00121178" w:rsidP="00D727BF">
      <w:pPr>
        <w:pStyle w:val="Heading2"/>
        <w:numPr>
          <w:ilvl w:val="0"/>
          <w:numId w:val="15"/>
        </w:numPr>
        <w:tabs>
          <w:tab w:val="left" w:pos="720"/>
        </w:tabs>
      </w:pPr>
      <w:bookmarkStart w:id="180" w:name="_Toc444877512"/>
      <w:bookmarkStart w:id="181" w:name="_Toc445450285"/>
      <w:r w:rsidRPr="00DD3FC5">
        <w:t>Introduction</w:t>
      </w:r>
      <w:bookmarkEnd w:id="180"/>
      <w:bookmarkEnd w:id="181"/>
    </w:p>
    <w:p w14:paraId="4DE74633" w14:textId="4A5F5D97" w:rsidR="00514D46" w:rsidRPr="00F05684" w:rsidRDefault="009D0E38" w:rsidP="00D727BF">
      <w:pPr>
        <w:pStyle w:val="ParagraphNumbering"/>
        <w:numPr>
          <w:ilvl w:val="0"/>
          <w:numId w:val="0"/>
        </w:numPr>
        <w:tabs>
          <w:tab w:val="left" w:pos="720"/>
        </w:tabs>
        <w:spacing w:after="240"/>
      </w:pPr>
      <w:r>
        <w:rPr>
          <w:b/>
        </w:rPr>
        <w:tab/>
      </w:r>
      <w:r w:rsidR="00514D46" w:rsidRPr="000F6A00">
        <w:rPr>
          <w:b/>
        </w:rPr>
        <w:t>This chapter</w:t>
      </w:r>
      <w:r w:rsidR="00846960" w:rsidRPr="000F6A00">
        <w:rPr>
          <w:b/>
        </w:rPr>
        <w:t xml:space="preserve"> relies </w:t>
      </w:r>
      <w:r w:rsidR="00514D46" w:rsidRPr="000F6A00">
        <w:rPr>
          <w:b/>
        </w:rPr>
        <w:t xml:space="preserve">mainly on </w:t>
      </w:r>
      <w:r w:rsidR="00C176B5">
        <w:rPr>
          <w:b/>
        </w:rPr>
        <w:t xml:space="preserve">data from </w:t>
      </w:r>
      <w:r w:rsidR="00514D46" w:rsidRPr="000F6A00">
        <w:rPr>
          <w:b/>
        </w:rPr>
        <w:t>the 2014</w:t>
      </w:r>
      <w:r>
        <w:rPr>
          <w:rFonts w:ascii="Calibri" w:hAnsi="Calibri"/>
          <w:b/>
        </w:rPr>
        <w:t>‒</w:t>
      </w:r>
      <w:r w:rsidR="00514D46" w:rsidRPr="000F6A00">
        <w:rPr>
          <w:b/>
        </w:rPr>
        <w:t>15 Nigeria Enterprise Survey</w:t>
      </w:r>
      <w:r w:rsidR="00C176B5">
        <w:rPr>
          <w:b/>
        </w:rPr>
        <w:t>,</w:t>
      </w:r>
      <w:r w:rsidR="00514D46" w:rsidRPr="000F6A00">
        <w:rPr>
          <w:b/>
        </w:rPr>
        <w:t xml:space="preserve"> </w:t>
      </w:r>
      <w:r w:rsidR="000F32EE">
        <w:t xml:space="preserve">collected in Nigeria between April 2014 and February 2015 under an initiative of the World Bank. </w:t>
      </w:r>
      <w:r w:rsidR="000F32EE" w:rsidRPr="00756094">
        <w:rPr>
          <w:bCs w:val="0"/>
        </w:rPr>
        <w:t xml:space="preserve">This </w:t>
      </w:r>
      <w:r w:rsidR="000F32EE">
        <w:rPr>
          <w:bCs w:val="0"/>
        </w:rPr>
        <w:t>survey covers</w:t>
      </w:r>
      <w:r w:rsidR="000F32EE" w:rsidRPr="00756094">
        <w:rPr>
          <w:bCs w:val="0"/>
        </w:rPr>
        <w:t xml:space="preserve"> a total of </w:t>
      </w:r>
      <w:r>
        <w:rPr>
          <w:bCs w:val="0"/>
        </w:rPr>
        <w:t xml:space="preserve">nineteen </w:t>
      </w:r>
      <w:r w:rsidR="000F32EE" w:rsidRPr="00756094">
        <w:rPr>
          <w:bCs w:val="0"/>
        </w:rPr>
        <w:t>states</w:t>
      </w:r>
      <w:r w:rsidR="000F32EE">
        <w:rPr>
          <w:bCs w:val="0"/>
        </w:rPr>
        <w:t xml:space="preserve"> that we</w:t>
      </w:r>
      <w:r w:rsidR="00B77A01">
        <w:rPr>
          <w:bCs w:val="0"/>
        </w:rPr>
        <w:t>re</w:t>
      </w:r>
      <w:r w:rsidR="00A620B3">
        <w:t xml:space="preserve"> grouped in</w:t>
      </w:r>
      <w:r w:rsidR="00347108">
        <w:t>to</w:t>
      </w:r>
      <w:r w:rsidR="00A620B3">
        <w:t xml:space="preserve"> four </w:t>
      </w:r>
      <w:r w:rsidR="000F32EE">
        <w:t>regional categories</w:t>
      </w:r>
      <w:r w:rsidR="00A620B3">
        <w:t xml:space="preserve">: Lagos; </w:t>
      </w:r>
      <w:r w:rsidR="00942839">
        <w:t>Kano/Kaduna</w:t>
      </w:r>
      <w:r w:rsidR="00A620B3">
        <w:t xml:space="preserve">; other southern </w:t>
      </w:r>
      <w:r w:rsidR="000F32EE">
        <w:t>state</w:t>
      </w:r>
      <w:r w:rsidR="00A620B3">
        <w:t>s (Abia</w:t>
      </w:r>
      <w:r w:rsidR="00A620B3" w:rsidRPr="006F6E3D">
        <w:t>,</w:t>
      </w:r>
      <w:r w:rsidR="00A04061">
        <w:t xml:space="preserve"> Abuja,</w:t>
      </w:r>
      <w:r w:rsidR="00A620B3" w:rsidRPr="006F6E3D">
        <w:t xml:space="preserve"> Anambra, Cross </w:t>
      </w:r>
      <w:r>
        <w:t>R</w:t>
      </w:r>
      <w:r w:rsidR="00A620B3" w:rsidRPr="006F6E3D">
        <w:t>iver, Enugu</w:t>
      </w:r>
      <w:r>
        <w:t>,</w:t>
      </w:r>
      <w:r w:rsidR="00A620B3">
        <w:t xml:space="preserve"> Ogun, </w:t>
      </w:r>
      <w:r w:rsidR="00A620B3" w:rsidRPr="006F6E3D">
        <w:t>Oyo</w:t>
      </w:r>
      <w:r w:rsidR="00A620B3">
        <w:t xml:space="preserve">); and other northern </w:t>
      </w:r>
      <w:r w:rsidR="000F32EE">
        <w:t>stat</w:t>
      </w:r>
      <w:r w:rsidR="00A620B3">
        <w:t>es</w:t>
      </w:r>
      <w:r w:rsidR="00A44F28">
        <w:t xml:space="preserve"> </w:t>
      </w:r>
      <w:r w:rsidR="00F72CD3">
        <w:t>(</w:t>
      </w:r>
      <w:r w:rsidR="00A620B3" w:rsidRPr="006F6E3D">
        <w:t>Gombe, Jigawa, Katsina, Kebbi, Kwara, Nasarawa, Niger,</w:t>
      </w:r>
      <w:r w:rsidR="00A620B3">
        <w:t xml:space="preserve"> </w:t>
      </w:r>
      <w:r w:rsidR="00A620B3" w:rsidRPr="006F6E3D">
        <w:t>Sokoto, Zamfara</w:t>
      </w:r>
      <w:r w:rsidR="00F72CD3">
        <w:t>)</w:t>
      </w:r>
      <w:r w:rsidR="00A620B3">
        <w:t xml:space="preserve">. </w:t>
      </w:r>
      <w:r w:rsidR="000F32EE">
        <w:t>A total of 2</w:t>
      </w:r>
      <w:r w:rsidR="00717130">
        <w:t>,</w:t>
      </w:r>
      <w:r w:rsidR="000F32EE">
        <w:t xml:space="preserve">685 formal firms were interviewed in various sectors (manufacturing, construction, </w:t>
      </w:r>
      <w:r w:rsidR="000F32EE" w:rsidRPr="00F05684">
        <w:t>services, transport, storage</w:t>
      </w:r>
      <w:r>
        <w:t>,</w:t>
      </w:r>
      <w:r w:rsidR="000F32EE" w:rsidRPr="00F05684">
        <w:t xml:space="preserve"> and communication sector</w:t>
      </w:r>
      <w:r>
        <w:t>s</w:t>
      </w:r>
      <w:r w:rsidR="000F32EE" w:rsidRPr="00F05684">
        <w:t>).</w:t>
      </w:r>
      <w:r w:rsidR="000F32EE" w:rsidRPr="00F05684">
        <w:rPr>
          <w:rStyle w:val="FootnoteReference"/>
        </w:rPr>
        <w:footnoteReference w:id="34"/>
      </w:r>
      <w:r w:rsidR="005F06ED">
        <w:t xml:space="preserve"> </w:t>
      </w:r>
    </w:p>
    <w:p w14:paraId="7D955C34" w14:textId="70C79B5D" w:rsidR="00347108" w:rsidRPr="00F05684" w:rsidRDefault="009D0E38" w:rsidP="00D727BF">
      <w:pPr>
        <w:pStyle w:val="ParagraphNumbering"/>
        <w:numPr>
          <w:ilvl w:val="0"/>
          <w:numId w:val="0"/>
        </w:numPr>
        <w:tabs>
          <w:tab w:val="left" w:pos="720"/>
        </w:tabs>
        <w:spacing w:after="240"/>
      </w:pPr>
      <w:r>
        <w:tab/>
      </w:r>
      <w:r w:rsidR="00834341" w:rsidRPr="00F05684">
        <w:t xml:space="preserve">This chapter first </w:t>
      </w:r>
      <w:r w:rsidR="00347108" w:rsidRPr="00F05684">
        <w:t>presents the performance of the private sector in Nigeria between 2011 and 2014. It then turns to the main constraints highlighted by the private sector and shows how Nigeria compares to other African countries (Angola, C</w:t>
      </w:r>
      <w:r>
        <w:t>ô</w:t>
      </w:r>
      <w:r w:rsidR="00347108" w:rsidRPr="00F05684">
        <w:t>te d</w:t>
      </w:r>
      <w:r w:rsidR="00863D16">
        <w:t>’</w:t>
      </w:r>
      <w:r w:rsidR="00347108" w:rsidRPr="00F05684">
        <w:t>Ivoire, Ethiopia, Ghana</w:t>
      </w:r>
      <w:r>
        <w:t>,</w:t>
      </w:r>
      <w:r w:rsidR="00347108" w:rsidRPr="00F05684">
        <w:t xml:space="preserve"> and Kenya) and the BRICS economies. The second half of the chapter focuses on t</w:t>
      </w:r>
      <w:r w:rsidR="00F05684" w:rsidRPr="00F05684">
        <w:t xml:space="preserve">he productivity of the manufacturing sector, specifically the importance of </w:t>
      </w:r>
      <w:r w:rsidR="00717130">
        <w:t xml:space="preserve">the </w:t>
      </w:r>
      <w:r w:rsidR="00F05684" w:rsidRPr="00F05684">
        <w:t>business environment in explaining Nigeria</w:t>
      </w:r>
      <w:r w:rsidR="00863D16">
        <w:t>’</w:t>
      </w:r>
      <w:r w:rsidR="00F05684" w:rsidRPr="00F05684">
        <w:t>s low productivity when compared to peer countries.</w:t>
      </w:r>
      <w:r w:rsidR="00514D46" w:rsidRPr="00F05684">
        <w:t xml:space="preserve"> Th</w:t>
      </w:r>
      <w:r w:rsidR="00A4787D" w:rsidRPr="00F05684">
        <w:t>e</w:t>
      </w:r>
      <w:r w:rsidR="00514D46" w:rsidRPr="00F05684">
        <w:t xml:space="preserve"> chapter also includes </w:t>
      </w:r>
      <w:r w:rsidR="00A4787D" w:rsidRPr="00F05684">
        <w:t xml:space="preserve">a special section, </w:t>
      </w:r>
      <w:r w:rsidR="00514D46" w:rsidRPr="00F05684">
        <w:rPr>
          <w:i/>
        </w:rPr>
        <w:t xml:space="preserve">Focus on the </w:t>
      </w:r>
      <w:r w:rsidR="00A4787D" w:rsidRPr="00F05684">
        <w:rPr>
          <w:i/>
        </w:rPr>
        <w:t xml:space="preserve">Labor Market </w:t>
      </w:r>
      <w:r w:rsidR="00514D46" w:rsidRPr="00F05684">
        <w:rPr>
          <w:i/>
        </w:rPr>
        <w:t>in Nigeria</w:t>
      </w:r>
      <w:r w:rsidR="00A4787D" w:rsidRPr="00F05684">
        <w:t>,</w:t>
      </w:r>
      <w:r w:rsidR="00514D46" w:rsidRPr="00F05684">
        <w:t xml:space="preserve"> based on the last Enterprise Survey</w:t>
      </w:r>
      <w:r w:rsidR="001A7BC2" w:rsidRPr="00F05684">
        <w:t xml:space="preserve"> (2014</w:t>
      </w:r>
      <w:r>
        <w:rPr>
          <w:rFonts w:ascii="Calibri" w:hAnsi="Calibri"/>
        </w:rPr>
        <w:t>‒</w:t>
      </w:r>
      <w:r w:rsidR="001A7BC2" w:rsidRPr="00F05684">
        <w:t>15)</w:t>
      </w:r>
      <w:r w:rsidR="00514D46" w:rsidRPr="00F05684">
        <w:t>.</w:t>
      </w:r>
    </w:p>
    <w:p w14:paraId="6DA011B5" w14:textId="0BE49556" w:rsidR="00BC6429" w:rsidRPr="00DD3FC5" w:rsidRDefault="00365192" w:rsidP="00D727BF">
      <w:pPr>
        <w:pStyle w:val="Heading2"/>
        <w:tabs>
          <w:tab w:val="left" w:pos="720"/>
        </w:tabs>
        <w:spacing w:before="0"/>
      </w:pPr>
      <w:bookmarkStart w:id="182" w:name="_Toc444877513"/>
      <w:bookmarkStart w:id="183" w:name="_Toc445450286"/>
      <w:r>
        <w:t xml:space="preserve">The </w:t>
      </w:r>
      <w:r w:rsidR="009D0E38">
        <w:t>P</w:t>
      </w:r>
      <w:r>
        <w:t xml:space="preserve">rivate </w:t>
      </w:r>
      <w:r w:rsidR="009D0E38">
        <w:t>S</w:t>
      </w:r>
      <w:r>
        <w:t xml:space="preserve">ector, </w:t>
      </w:r>
      <w:r w:rsidR="009D0E38">
        <w:t>D</w:t>
      </w:r>
      <w:r>
        <w:t xml:space="preserve">eclining but </w:t>
      </w:r>
      <w:r w:rsidR="009D0E38">
        <w:t>H</w:t>
      </w:r>
      <w:r>
        <w:t>iring</w:t>
      </w:r>
      <w:bookmarkEnd w:id="182"/>
      <w:bookmarkEnd w:id="183"/>
    </w:p>
    <w:p w14:paraId="2CDCE57D" w14:textId="2C3C2AEC" w:rsidR="00F77895" w:rsidRDefault="00B77A01" w:rsidP="00D727BF">
      <w:pPr>
        <w:pStyle w:val="ParagraphNumbering"/>
        <w:numPr>
          <w:ilvl w:val="0"/>
          <w:numId w:val="0"/>
        </w:numPr>
        <w:tabs>
          <w:tab w:val="left" w:pos="720"/>
        </w:tabs>
        <w:spacing w:after="240"/>
      </w:pPr>
      <w:r>
        <w:rPr>
          <w:b/>
        </w:rPr>
        <w:tab/>
      </w:r>
      <w:r w:rsidR="00D41481" w:rsidRPr="008D34FE">
        <w:rPr>
          <w:b/>
        </w:rPr>
        <w:t xml:space="preserve">The manufacturing sector has been in recession in recent years while services are stagnant. </w:t>
      </w:r>
      <w:r w:rsidR="00BE3C2C">
        <w:t xml:space="preserve">Between 2011 and 2014, the average </w:t>
      </w:r>
      <w:r w:rsidR="00D41481">
        <w:t xml:space="preserve">manufacturing </w:t>
      </w:r>
      <w:r w:rsidR="00BE3C2C">
        <w:t>firm had sales growth of -5.3 percent (</w:t>
      </w:r>
      <w:r w:rsidR="00926671">
        <w:t xml:space="preserve">see </w:t>
      </w:r>
      <w:r w:rsidR="002B728F">
        <w:fldChar w:fldCharType="begin"/>
      </w:r>
      <w:r w:rsidR="002B728F">
        <w:instrText xml:space="preserve"> REF _Ref445131806 \h </w:instrText>
      </w:r>
      <w:r w:rsidR="002B728F">
        <w:fldChar w:fldCharType="separate"/>
      </w:r>
      <w:r>
        <w:t>f</w:t>
      </w:r>
      <w:r w:rsidR="008A3BBD" w:rsidRPr="00271BEF">
        <w:t xml:space="preserve">igure </w:t>
      </w:r>
      <w:r w:rsidR="008A3BBD">
        <w:rPr>
          <w:noProof/>
        </w:rPr>
        <w:t>34</w:t>
      </w:r>
      <w:r w:rsidR="002B728F">
        <w:fldChar w:fldCharType="end"/>
      </w:r>
      <w:r w:rsidR="00BE3C2C">
        <w:t xml:space="preserve">). </w:t>
      </w:r>
      <w:r w:rsidR="00CD1E86">
        <w:t xml:space="preserve">The large </w:t>
      </w:r>
      <w:r w:rsidR="00717130">
        <w:t xml:space="preserve">decline </w:t>
      </w:r>
      <w:r w:rsidR="00CD1E86">
        <w:t>in sales is not just due to inflation</w:t>
      </w:r>
      <w:r>
        <w:t>—</w:t>
      </w:r>
      <w:r w:rsidR="00CD1E86">
        <w:t>the average firm reported that sales dropped by 1.3 percent in nominal terms over this period.</w:t>
      </w:r>
      <w:r w:rsidR="005F06ED">
        <w:t xml:space="preserve"> </w:t>
      </w:r>
      <w:r w:rsidR="00BE3C2C">
        <w:t xml:space="preserve">The largest annual drop in sales between 2011 and 2014 was observed in the chemicals sector (-47 percent), </w:t>
      </w:r>
      <w:r w:rsidR="00CE2973">
        <w:t xml:space="preserve">followed by </w:t>
      </w:r>
      <w:r w:rsidR="00BE3C2C">
        <w:t>the textile industry (-19 percent), the food and beverage industry (-13 percent) and construction materials (-12 percent)</w:t>
      </w:r>
      <w:r w:rsidR="00926671">
        <w:t xml:space="preserve"> (see</w:t>
      </w:r>
      <w:r w:rsidR="008D34FE">
        <w:t xml:space="preserve"> </w:t>
      </w:r>
      <w:r>
        <w:t>t</w:t>
      </w:r>
      <w:r w:rsidR="008D34FE">
        <w:t>able 6)</w:t>
      </w:r>
      <w:r w:rsidR="00BE3C2C">
        <w:t xml:space="preserve">. Growth was positive in metals and machinery, and paper and publishing. </w:t>
      </w:r>
      <w:r w:rsidR="00CE2973">
        <w:t>In the service sector</w:t>
      </w:r>
      <w:r w:rsidR="00D41481">
        <w:t>,</w:t>
      </w:r>
      <w:r w:rsidR="00926671" w:rsidRPr="000F6A00">
        <w:t xml:space="preserve"> growth was </w:t>
      </w:r>
      <w:r w:rsidR="00CE2973">
        <w:t xml:space="preserve">overall </w:t>
      </w:r>
      <w:r w:rsidR="00926671" w:rsidRPr="000F6A00">
        <w:t xml:space="preserve">positive </w:t>
      </w:r>
      <w:r w:rsidR="00D41481">
        <w:t>(</w:t>
      </w:r>
      <w:r w:rsidR="00CE2973">
        <w:t>al</w:t>
      </w:r>
      <w:r w:rsidR="00D41481">
        <w:t xml:space="preserve">though close </w:t>
      </w:r>
      <w:r w:rsidR="00CE2973">
        <w:t>to stagnant</w:t>
      </w:r>
      <w:r w:rsidR="00D41481">
        <w:t>)</w:t>
      </w:r>
      <w:r w:rsidR="00926671" w:rsidRPr="000F6A00">
        <w:t xml:space="preserve">, </w:t>
      </w:r>
      <w:r w:rsidR="00D41481">
        <w:t xml:space="preserve">with the exception of </w:t>
      </w:r>
      <w:r w:rsidR="00926671" w:rsidRPr="000F6A00">
        <w:t>construction, hotels and restaurants, and transportation.</w:t>
      </w:r>
      <w:r w:rsidR="00926671">
        <w:t xml:space="preserve"> S</w:t>
      </w:r>
      <w:r w:rsidR="00926671" w:rsidRPr="000F6A00">
        <w:t xml:space="preserve">ales also fell </w:t>
      </w:r>
      <w:r w:rsidR="00D41481">
        <w:t xml:space="preserve">drastically </w:t>
      </w:r>
      <w:r w:rsidR="00926671">
        <w:t xml:space="preserve">in </w:t>
      </w:r>
      <w:r w:rsidR="00926671" w:rsidRPr="000F6A00">
        <w:t>retail trade.</w:t>
      </w:r>
      <w:r w:rsidR="00926671">
        <w:t xml:space="preserve"> </w:t>
      </w:r>
    </w:p>
    <w:p w14:paraId="752CD28B" w14:textId="66B6C5FE" w:rsidR="00BE3C2C" w:rsidRDefault="00B77A01" w:rsidP="00D727BF">
      <w:pPr>
        <w:pStyle w:val="ParagraphNumbering"/>
        <w:numPr>
          <w:ilvl w:val="0"/>
          <w:numId w:val="0"/>
        </w:numPr>
        <w:tabs>
          <w:tab w:val="left" w:pos="720"/>
        </w:tabs>
        <w:spacing w:after="240"/>
      </w:pPr>
      <w:r>
        <w:rPr>
          <w:b/>
        </w:rPr>
        <w:tab/>
      </w:r>
      <w:r w:rsidR="002221BF">
        <w:rPr>
          <w:b/>
        </w:rPr>
        <w:t>T</w:t>
      </w:r>
      <w:r w:rsidR="003248DE">
        <w:rPr>
          <w:b/>
        </w:rPr>
        <w:t>he n</w:t>
      </w:r>
      <w:r w:rsidR="002221BF">
        <w:rPr>
          <w:b/>
        </w:rPr>
        <w:t xml:space="preserve">orthern part of the country </w:t>
      </w:r>
      <w:r w:rsidR="003248DE">
        <w:rPr>
          <w:b/>
        </w:rPr>
        <w:t>shows a net decline in sales</w:t>
      </w:r>
      <w:r w:rsidR="00CE2973">
        <w:rPr>
          <w:b/>
        </w:rPr>
        <w:t>,</w:t>
      </w:r>
      <w:r w:rsidR="003248DE">
        <w:rPr>
          <w:b/>
        </w:rPr>
        <w:t xml:space="preserve"> while the </w:t>
      </w:r>
      <w:r w:rsidR="00A051C1">
        <w:rPr>
          <w:b/>
        </w:rPr>
        <w:t>S</w:t>
      </w:r>
      <w:r w:rsidR="003248DE">
        <w:rPr>
          <w:b/>
        </w:rPr>
        <w:t>outh grows or remains stagnant</w:t>
      </w:r>
      <w:r w:rsidR="00F77895">
        <w:t xml:space="preserve">. </w:t>
      </w:r>
      <w:r w:rsidR="00BE3C2C" w:rsidRPr="009513AC">
        <w:t>The average firm reported negative sales growth in three of four regions in Nigeria that the survey covered</w:t>
      </w:r>
      <w:r w:rsidR="00BE3C2C" w:rsidRPr="00271BEF">
        <w:t xml:space="preserve"> (</w:t>
      </w:r>
      <w:r w:rsidR="002B728F">
        <w:fldChar w:fldCharType="begin"/>
      </w:r>
      <w:r w:rsidR="002B728F">
        <w:instrText xml:space="preserve"> REF _Ref445131806 \h </w:instrText>
      </w:r>
      <w:r w:rsidR="002B728F">
        <w:fldChar w:fldCharType="separate"/>
      </w:r>
      <w:r>
        <w:t>f</w:t>
      </w:r>
      <w:r w:rsidR="008A3BBD" w:rsidRPr="00271BEF">
        <w:t xml:space="preserve">igure </w:t>
      </w:r>
      <w:r w:rsidR="008A3BBD">
        <w:rPr>
          <w:noProof/>
        </w:rPr>
        <w:t>34</w:t>
      </w:r>
      <w:r w:rsidR="002B728F">
        <w:fldChar w:fldCharType="end"/>
      </w:r>
      <w:r w:rsidR="00926671">
        <w:t>).</w:t>
      </w:r>
      <w:r w:rsidR="00BE3C2C" w:rsidRPr="00271BEF">
        <w:t xml:space="preserve"> </w:t>
      </w:r>
      <w:r w:rsidR="00CE2973">
        <w:t>Negative g</w:t>
      </w:r>
      <w:r w:rsidR="00BE3C2C">
        <w:t xml:space="preserve">rowth was </w:t>
      </w:r>
      <w:r w:rsidR="00CE2973">
        <w:t xml:space="preserve">most severe </w:t>
      </w:r>
      <w:r w:rsidR="00BE3C2C">
        <w:t xml:space="preserve">in the North. Average sales growth was -15.1 percent in Kano and Kaduna and -13.7 percent in </w:t>
      </w:r>
      <w:r w:rsidR="00926671">
        <w:t xml:space="preserve">the </w:t>
      </w:r>
      <w:r w:rsidR="00BE3C2C">
        <w:t xml:space="preserve">other </w:t>
      </w:r>
      <w:r>
        <w:t>n</w:t>
      </w:r>
      <w:r w:rsidR="00BE3C2C">
        <w:t xml:space="preserve">orthern </w:t>
      </w:r>
      <w:r w:rsidR="00926671">
        <w:t>states</w:t>
      </w:r>
      <w:r w:rsidR="00BE3C2C">
        <w:t xml:space="preserve">. </w:t>
      </w:r>
      <w:r w:rsidR="00CE2973">
        <w:t xml:space="preserve">By </w:t>
      </w:r>
      <w:r w:rsidR="00BE3C2C">
        <w:t xml:space="preserve">contrast, sales growth </w:t>
      </w:r>
      <w:r w:rsidR="002221BF">
        <w:t>was</w:t>
      </w:r>
      <w:r w:rsidR="00926671">
        <w:t xml:space="preserve"> </w:t>
      </w:r>
      <w:r w:rsidR="00BE3C2C">
        <w:t xml:space="preserve">close to zero in </w:t>
      </w:r>
      <w:r w:rsidR="00926671">
        <w:t>the</w:t>
      </w:r>
      <w:r w:rsidR="00BE3C2C">
        <w:t xml:space="preserve"> </w:t>
      </w:r>
      <w:r w:rsidR="00926671">
        <w:t xml:space="preserve">other </w:t>
      </w:r>
      <w:r>
        <w:t>s</w:t>
      </w:r>
      <w:r w:rsidR="00BE3C2C">
        <w:t xml:space="preserve">outhern </w:t>
      </w:r>
      <w:r w:rsidR="00926671" w:rsidRPr="002221BF">
        <w:t>state</w:t>
      </w:r>
      <w:r w:rsidR="00BE3C2C" w:rsidRPr="002221BF">
        <w:t>s</w:t>
      </w:r>
      <w:r w:rsidR="002221BF">
        <w:t xml:space="preserve"> (driven by Abia, Cross River, and Ogun states) and positive in Lagos</w:t>
      </w:r>
      <w:r w:rsidR="00BE3C2C" w:rsidRPr="002221BF">
        <w:t>.</w:t>
      </w:r>
      <w:r w:rsidR="00BD4870">
        <w:t xml:space="preserve"> In these two regions, the sales in nominal terms were positive.</w:t>
      </w:r>
    </w:p>
    <w:p w14:paraId="1B9ABDA4" w14:textId="09690386" w:rsidR="000A6AC3" w:rsidRDefault="00227016" w:rsidP="00D727BF">
      <w:pPr>
        <w:pStyle w:val="ParagraphNumbering"/>
        <w:numPr>
          <w:ilvl w:val="0"/>
          <w:numId w:val="0"/>
        </w:numPr>
        <w:tabs>
          <w:tab w:val="left" w:pos="720"/>
        </w:tabs>
        <w:spacing w:after="240"/>
      </w:pPr>
      <w:r>
        <w:rPr>
          <w:b/>
        </w:rPr>
        <w:lastRenderedPageBreak/>
        <w:tab/>
      </w:r>
      <w:r w:rsidR="00926671">
        <w:rPr>
          <w:b/>
        </w:rPr>
        <w:t>Despite declining sales growth, e</w:t>
      </w:r>
      <w:r w:rsidR="00926671" w:rsidRPr="009513AC">
        <w:rPr>
          <w:b/>
        </w:rPr>
        <w:t xml:space="preserve">mployment </w:t>
      </w:r>
      <w:r w:rsidR="00205F4E">
        <w:rPr>
          <w:b/>
        </w:rPr>
        <w:t>grew by an average of 6.0</w:t>
      </w:r>
      <w:r w:rsidR="00926671">
        <w:rPr>
          <w:b/>
        </w:rPr>
        <w:t xml:space="preserve"> percent a year between 2011 and 2013. </w:t>
      </w:r>
      <w:r w:rsidR="00926671">
        <w:t>Metals and machinery and the garment industry were the most dynamic industries in terms of employment growth (15 and 13 percent</w:t>
      </w:r>
      <w:r w:rsidR="00CE2973">
        <w:t>, respectively,</w:t>
      </w:r>
      <w:r w:rsidR="00926671">
        <w:t xml:space="preserve"> during the period). The number of upsizing firms (28 percent) was higher than the number of </w:t>
      </w:r>
      <w:r w:rsidR="00CE2973">
        <w:t xml:space="preserve">downsizing </w:t>
      </w:r>
      <w:r w:rsidR="00926671">
        <w:t xml:space="preserve">firms (12 percent). </w:t>
      </w:r>
      <w:r w:rsidR="000A6AC3">
        <w:t>The vast majority of firms (60 percent) report an unchanged number of employees despite a decline in sales.</w:t>
      </w:r>
    </w:p>
    <w:p w14:paraId="321745BA" w14:textId="2AFE0EF7" w:rsidR="00926671" w:rsidRPr="007C716F" w:rsidRDefault="00227016" w:rsidP="00D727BF">
      <w:pPr>
        <w:pStyle w:val="ParagraphNumbering"/>
        <w:numPr>
          <w:ilvl w:val="0"/>
          <w:numId w:val="0"/>
        </w:numPr>
        <w:tabs>
          <w:tab w:val="left" w:pos="720"/>
        </w:tabs>
        <w:rPr>
          <w:b/>
        </w:rPr>
      </w:pPr>
      <w:r>
        <w:rPr>
          <w:b/>
        </w:rPr>
        <w:tab/>
      </w:r>
      <w:r w:rsidR="00926671" w:rsidRPr="00205F4E">
        <w:rPr>
          <w:b/>
        </w:rPr>
        <w:t xml:space="preserve">Interestingly, firms in </w:t>
      </w:r>
      <w:r w:rsidR="00205F4E" w:rsidRPr="00205F4E">
        <w:rPr>
          <w:b/>
        </w:rPr>
        <w:t>Lagos reported slower employment growth than in other regions</w:t>
      </w:r>
      <w:r w:rsidR="00926671" w:rsidRPr="00205F4E">
        <w:rPr>
          <w:b/>
        </w:rPr>
        <w:t xml:space="preserve">. </w:t>
      </w:r>
      <w:r w:rsidR="00807A32">
        <w:t xml:space="preserve">This may be explained by two factors. First, firms in Lagos are larger (48.7 employees on average) compared to firms in other regions (16.1 in Kano and Kaduna, 14.3 in the other northern states and 16.3 in the other southern states). </w:t>
      </w:r>
      <w:r w:rsidR="00CE2973">
        <w:t>As</w:t>
      </w:r>
      <w:r w:rsidR="00807A32">
        <w:t xml:space="preserve"> </w:t>
      </w:r>
      <w:r w:rsidR="00CE2973">
        <w:t>firms</w:t>
      </w:r>
      <w:r w:rsidR="00807A32">
        <w:t xml:space="preserve"> get larger, the same number of hired workers will yield a smaller employment growth. In other words, the number of newly hired employees is similar between firms located in Lagos and </w:t>
      </w:r>
      <w:r w:rsidR="00965298">
        <w:t xml:space="preserve">the ones operating </w:t>
      </w:r>
      <w:r w:rsidR="00807A32">
        <w:t>in other states</w:t>
      </w:r>
      <w:r w:rsidR="00CE2973">
        <w:t xml:space="preserve">. </w:t>
      </w:r>
      <w:r w:rsidR="00965298" w:rsidRPr="00C347E0">
        <w:t>Second,</w:t>
      </w:r>
      <w:r w:rsidR="00965298">
        <w:t xml:space="preserve"> </w:t>
      </w:r>
      <w:r w:rsidR="002B728F">
        <w:fldChar w:fldCharType="begin"/>
      </w:r>
      <w:r w:rsidR="002B728F">
        <w:instrText xml:space="preserve"> REF _Ref445131838 \h </w:instrText>
      </w:r>
      <w:r w:rsidR="002B728F">
        <w:fldChar w:fldCharType="separate"/>
      </w:r>
      <w:r w:rsidR="00C347E0">
        <w:t>f</w:t>
      </w:r>
      <w:r w:rsidR="008A3BBD">
        <w:t xml:space="preserve">igure </w:t>
      </w:r>
      <w:r w:rsidR="008A3BBD">
        <w:rPr>
          <w:noProof/>
        </w:rPr>
        <w:t>35</w:t>
      </w:r>
      <w:r w:rsidR="002B728F">
        <w:fldChar w:fldCharType="end"/>
      </w:r>
      <w:r w:rsidR="002B728F">
        <w:t xml:space="preserve"> </w:t>
      </w:r>
      <w:r w:rsidR="00965298">
        <w:t xml:space="preserve">confirms the relative dynamism of the </w:t>
      </w:r>
      <w:r w:rsidR="00A051C1">
        <w:t>n</w:t>
      </w:r>
      <w:r w:rsidR="00965298">
        <w:t xml:space="preserve">orthern part of the country compared to </w:t>
      </w:r>
      <w:r w:rsidR="002A2158">
        <w:t xml:space="preserve">the south </w:t>
      </w:r>
      <w:r w:rsidR="00965298">
        <w:t>in terms of job creation, with a higher number of firms both upsizing and downsizing.</w:t>
      </w:r>
      <w:r w:rsidR="00965298">
        <w:rPr>
          <w:rStyle w:val="FootnoteReference"/>
        </w:rPr>
        <w:footnoteReference w:id="35"/>
      </w:r>
      <w:r w:rsidR="00965298">
        <w:t xml:space="preserve"> </w:t>
      </w:r>
      <w:r w:rsidR="00CE2973">
        <w:t>This finding also suggests that firms</w:t>
      </w:r>
      <w:r w:rsidR="00B7193D">
        <w:t xml:space="preserve"> </w:t>
      </w:r>
      <w:r w:rsidR="00A051C1">
        <w:t xml:space="preserve">in </w:t>
      </w:r>
      <w:r w:rsidR="002A2158">
        <w:t xml:space="preserve">the north </w:t>
      </w:r>
      <w:r w:rsidR="00CE2973">
        <w:t xml:space="preserve">tend to downsize more frequently than </w:t>
      </w:r>
      <w:r w:rsidR="00B7193D">
        <w:t>firms in the South.</w:t>
      </w:r>
    </w:p>
    <w:p w14:paraId="539604C6" w14:textId="25D7657B" w:rsidR="00BE3C2C" w:rsidRPr="00271BEF" w:rsidRDefault="00BE3C2C" w:rsidP="00D727BF">
      <w:pPr>
        <w:pStyle w:val="Caption"/>
        <w:tabs>
          <w:tab w:val="left" w:pos="720"/>
        </w:tabs>
        <w:jc w:val="center"/>
      </w:pPr>
      <w:bookmarkStart w:id="184" w:name="_Ref418445492"/>
      <w:bookmarkStart w:id="185" w:name="_Ref444353246"/>
      <w:bookmarkStart w:id="186" w:name="_Ref445131806"/>
      <w:bookmarkStart w:id="187" w:name="_Toc445449652"/>
      <w:r w:rsidRPr="00271BEF">
        <w:t xml:space="preserve">Figure </w:t>
      </w:r>
      <w:fldSimple w:instr=" SEQ Figure \* ARABIC ">
        <w:r w:rsidR="008A3BBD">
          <w:rPr>
            <w:noProof/>
          </w:rPr>
          <w:t>34</w:t>
        </w:r>
      </w:fldSimple>
      <w:bookmarkEnd w:id="184"/>
      <w:bookmarkEnd w:id="185"/>
      <w:bookmarkEnd w:id="186"/>
      <w:r w:rsidRPr="00271BEF">
        <w:t xml:space="preserve">: Sales </w:t>
      </w:r>
      <w:r>
        <w:t>G</w:t>
      </w:r>
      <w:r w:rsidRPr="00271BEF">
        <w:t xml:space="preserve">rowth </w:t>
      </w:r>
      <w:r>
        <w:t xml:space="preserve">(in </w:t>
      </w:r>
      <w:r w:rsidR="00A051C1">
        <w:t>R</w:t>
      </w:r>
      <w:r>
        <w:t xml:space="preserve">eal </w:t>
      </w:r>
      <w:r w:rsidR="00A051C1">
        <w:t>T</w:t>
      </w:r>
      <w:r>
        <w:t xml:space="preserve">erms) and Employment Growth </w:t>
      </w:r>
      <w:r w:rsidR="00926671">
        <w:t>between 2011 and 2014</w:t>
      </w:r>
      <w:bookmarkEnd w:id="187"/>
    </w:p>
    <w:p w14:paraId="132A2931" w14:textId="2F846ADF" w:rsidR="00205F4E" w:rsidRPr="001845F3" w:rsidRDefault="00BE3C2C" w:rsidP="00D727BF">
      <w:pPr>
        <w:pStyle w:val="Graph"/>
        <w:tabs>
          <w:tab w:val="left" w:pos="720"/>
        </w:tabs>
        <w:spacing w:before="0" w:after="120"/>
        <w:jc w:val="left"/>
        <w:rPr>
          <w:sz w:val="18"/>
          <w:szCs w:val="18"/>
        </w:rPr>
      </w:pPr>
      <w:r>
        <w:rPr>
          <w:noProof/>
        </w:rPr>
        <w:drawing>
          <wp:inline distT="0" distB="0" distL="0" distR="0" wp14:anchorId="24BC4D74" wp14:editId="5E682CB2">
            <wp:extent cx="5829300" cy="25622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205F4E" w:rsidRPr="001845F3">
        <w:rPr>
          <w:sz w:val="18"/>
          <w:szCs w:val="18"/>
        </w:rPr>
        <w:t>S</w:t>
      </w:r>
      <w:r w:rsidRPr="001845F3">
        <w:rPr>
          <w:sz w:val="18"/>
          <w:szCs w:val="18"/>
        </w:rPr>
        <w:t>ource: Authors</w:t>
      </w:r>
      <w:r w:rsidR="00863D16">
        <w:rPr>
          <w:sz w:val="18"/>
          <w:szCs w:val="18"/>
        </w:rPr>
        <w:t>’</w:t>
      </w:r>
      <w:r w:rsidRPr="001845F3">
        <w:rPr>
          <w:sz w:val="18"/>
          <w:szCs w:val="18"/>
        </w:rPr>
        <w:t xml:space="preserve"> calculation based on data from Enterprise Survey 2014</w:t>
      </w:r>
      <w:r w:rsidR="00A051C1">
        <w:rPr>
          <w:rFonts w:ascii="Calibri" w:hAnsi="Calibri"/>
          <w:sz w:val="18"/>
          <w:szCs w:val="18"/>
        </w:rPr>
        <w:t>‒</w:t>
      </w:r>
      <w:r w:rsidRPr="001845F3">
        <w:rPr>
          <w:sz w:val="18"/>
          <w:szCs w:val="18"/>
        </w:rPr>
        <w:t>15</w:t>
      </w:r>
    </w:p>
    <w:p w14:paraId="086279D8" w14:textId="77777777" w:rsidR="00205F4E" w:rsidRPr="001845F3" w:rsidRDefault="00205F4E" w:rsidP="00D727BF">
      <w:pPr>
        <w:pStyle w:val="Graph"/>
        <w:tabs>
          <w:tab w:val="left" w:pos="720"/>
        </w:tabs>
        <w:spacing w:before="0"/>
        <w:jc w:val="left"/>
        <w:rPr>
          <w:sz w:val="18"/>
          <w:szCs w:val="18"/>
        </w:rPr>
      </w:pPr>
      <w:r w:rsidRPr="001845F3">
        <w:rPr>
          <w:sz w:val="18"/>
          <w:szCs w:val="18"/>
        </w:rPr>
        <w:t>Note: Employment growth for firms for which sales growth is available.</w:t>
      </w:r>
      <w:bookmarkStart w:id="188" w:name="_Ref429593487"/>
    </w:p>
    <w:p w14:paraId="3C6B7030" w14:textId="77777777" w:rsidR="00205F4E" w:rsidRPr="001845F3" w:rsidRDefault="00205F4E" w:rsidP="00D727BF">
      <w:pPr>
        <w:pStyle w:val="ParagraphNumbering"/>
        <w:numPr>
          <w:ilvl w:val="0"/>
          <w:numId w:val="0"/>
        </w:numPr>
        <w:tabs>
          <w:tab w:val="left" w:pos="720"/>
        </w:tabs>
      </w:pPr>
    </w:p>
    <w:p w14:paraId="04E4C33F" w14:textId="7F9B32E2" w:rsidR="008D34FE" w:rsidRDefault="00227016" w:rsidP="00D727BF">
      <w:pPr>
        <w:pStyle w:val="ParagraphNumbering"/>
        <w:numPr>
          <w:ilvl w:val="0"/>
          <w:numId w:val="0"/>
        </w:numPr>
        <w:tabs>
          <w:tab w:val="left" w:pos="720"/>
        </w:tabs>
        <w:rPr>
          <w:b/>
        </w:rPr>
      </w:pPr>
      <w:r>
        <w:rPr>
          <w:rFonts w:eastAsiaTheme="minorHAnsi"/>
          <w:b/>
        </w:rPr>
        <w:tab/>
      </w:r>
      <w:r w:rsidR="00B7193D" w:rsidRPr="008D34FE">
        <w:rPr>
          <w:rFonts w:eastAsiaTheme="minorHAnsi"/>
          <w:b/>
        </w:rPr>
        <w:t>Small firms reported slower declines in sales than did larger firms.</w:t>
      </w:r>
      <w:r w:rsidR="00B7193D" w:rsidRPr="008D34FE">
        <w:rPr>
          <w:rFonts w:eastAsiaTheme="minorHAnsi"/>
        </w:rPr>
        <w:t xml:space="preserve"> The average small firm with fewer than </w:t>
      </w:r>
      <w:r w:rsidR="0023354A" w:rsidRPr="008D34FE">
        <w:rPr>
          <w:rFonts w:eastAsiaTheme="minorHAnsi"/>
        </w:rPr>
        <w:t>ten</w:t>
      </w:r>
      <w:r w:rsidR="00B7193D" w:rsidRPr="008D34FE">
        <w:rPr>
          <w:rFonts w:eastAsiaTheme="minorHAnsi"/>
        </w:rPr>
        <w:t xml:space="preserve"> workers in 2011 reported sales growth of -4 percent.</w:t>
      </w:r>
      <w:r w:rsidR="00D7103D" w:rsidRPr="00D727BF">
        <w:rPr>
          <w:rFonts w:eastAsiaTheme="minorHAnsi"/>
          <w:vertAlign w:val="superscript"/>
        </w:rPr>
        <w:footnoteReference w:id="36"/>
      </w:r>
      <w:r w:rsidR="00B7193D" w:rsidRPr="008D34FE">
        <w:rPr>
          <w:rFonts w:eastAsiaTheme="minorHAnsi"/>
        </w:rPr>
        <w:t xml:space="preserve"> In comparison, the average medium-sized and large firms reported sales declines by -17 and -38 percent over the same period (see</w:t>
      </w:r>
      <w:r w:rsidR="008D34FE">
        <w:rPr>
          <w:rFonts w:eastAsiaTheme="minorHAnsi"/>
        </w:rPr>
        <w:t xml:space="preserve"> </w:t>
      </w:r>
      <w:r w:rsidR="00A051C1">
        <w:rPr>
          <w:rFonts w:eastAsiaTheme="minorHAnsi"/>
        </w:rPr>
        <w:t>t</w:t>
      </w:r>
      <w:r w:rsidR="008D34FE">
        <w:rPr>
          <w:rFonts w:eastAsiaTheme="minorHAnsi"/>
        </w:rPr>
        <w:t>able 6</w:t>
      </w:r>
      <w:r w:rsidR="00B7193D">
        <w:t xml:space="preserve">). Moreover, although small firms reported employment growth, </w:t>
      </w:r>
      <w:r w:rsidR="00B7193D">
        <w:lastRenderedPageBreak/>
        <w:t xml:space="preserve">medium-sized and large firms reported negative employment growth. One concern about these comparisons is survivor bias. That is, small firms with fewer than </w:t>
      </w:r>
      <w:r w:rsidR="00A051C1">
        <w:t xml:space="preserve">twenty </w:t>
      </w:r>
      <w:r w:rsidR="00B7193D">
        <w:t>workers might be forced to close when sales drop. Large firms, with greater financial resources and possibly better access to credit, might find it easier to cope with falling sales.</w:t>
      </w:r>
      <w:r w:rsidR="008D34FE" w:rsidRPr="008D34FE">
        <w:rPr>
          <w:b/>
        </w:rPr>
        <w:t xml:space="preserve"> </w:t>
      </w:r>
      <w:bookmarkStart w:id="189" w:name="_Ref445131838"/>
    </w:p>
    <w:p w14:paraId="717FAE12" w14:textId="77777777" w:rsidR="008D34FE" w:rsidRDefault="008D34FE" w:rsidP="00D727BF">
      <w:pPr>
        <w:pStyle w:val="Caption"/>
        <w:tabs>
          <w:tab w:val="left" w:pos="720"/>
        </w:tabs>
        <w:rPr>
          <w:b w:val="0"/>
        </w:rPr>
      </w:pPr>
    </w:p>
    <w:p w14:paraId="307D199E" w14:textId="3635E983" w:rsidR="00F26471" w:rsidRDefault="008D34FE" w:rsidP="00D727BF">
      <w:pPr>
        <w:pStyle w:val="Caption"/>
        <w:tabs>
          <w:tab w:val="left" w:pos="720"/>
        </w:tabs>
      </w:pPr>
      <w:bookmarkStart w:id="190" w:name="_Toc445449653"/>
      <w:r>
        <w:t xml:space="preserve">Figure </w:t>
      </w:r>
      <w:fldSimple w:instr=" SEQ Figure \* ARABIC ">
        <w:r w:rsidR="008A3BBD">
          <w:rPr>
            <w:noProof/>
          </w:rPr>
          <w:t>35</w:t>
        </w:r>
      </w:fldSimple>
      <w:bookmarkEnd w:id="189"/>
      <w:r>
        <w:t>: Percentage of Firms Reporting Shrinking, Unchanged</w:t>
      </w:r>
      <w:r w:rsidR="00A051C1">
        <w:t>,</w:t>
      </w:r>
      <w:r>
        <w:t xml:space="preserve"> or Growing Workforce during the Last Financial Year (2014)</w:t>
      </w:r>
      <w:bookmarkEnd w:id="190"/>
    </w:p>
    <w:p w14:paraId="371100A1" w14:textId="4A4C9378" w:rsidR="008D34FE" w:rsidRDefault="008D34FE" w:rsidP="00D727BF">
      <w:pPr>
        <w:tabs>
          <w:tab w:val="left" w:pos="720"/>
        </w:tabs>
        <w:spacing w:after="0"/>
        <w:rPr>
          <w:sz w:val="18"/>
        </w:rPr>
      </w:pPr>
      <w:r>
        <w:rPr>
          <w:noProof/>
        </w:rPr>
        <w:drawing>
          <wp:inline distT="0" distB="0" distL="0" distR="0" wp14:anchorId="3B8D7640" wp14:editId="3CFE5A8E">
            <wp:extent cx="5724525" cy="2409825"/>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251EA12" w14:textId="00D2015E" w:rsidR="008D34FE" w:rsidRDefault="008D34FE" w:rsidP="00D727BF">
      <w:pPr>
        <w:keepNext/>
        <w:tabs>
          <w:tab w:val="left" w:pos="720"/>
        </w:tabs>
        <w:spacing w:after="0"/>
        <w:rPr>
          <w:rFonts w:cs="Times New Roman"/>
          <w:sz w:val="18"/>
          <w:szCs w:val="18"/>
        </w:rPr>
      </w:pPr>
      <w:r w:rsidRPr="001845F3">
        <w:rPr>
          <w:rFonts w:cs="Times New Roman"/>
          <w:sz w:val="18"/>
          <w:szCs w:val="18"/>
        </w:rPr>
        <w:t>Source: Authors</w:t>
      </w:r>
      <w:r w:rsidR="00863D16">
        <w:rPr>
          <w:rFonts w:cs="Times New Roman"/>
          <w:sz w:val="18"/>
          <w:szCs w:val="18"/>
        </w:rPr>
        <w:t>’</w:t>
      </w:r>
      <w:r w:rsidRPr="001845F3">
        <w:rPr>
          <w:rFonts w:cs="Times New Roman"/>
          <w:sz w:val="18"/>
          <w:szCs w:val="18"/>
        </w:rPr>
        <w:t xml:space="preserve"> calculations based on data from Enterprise Survey 2014</w:t>
      </w:r>
      <w:r w:rsidR="00A051C1">
        <w:rPr>
          <w:rFonts w:ascii="Calibri" w:hAnsi="Calibri" w:cs="Times New Roman"/>
          <w:sz w:val="18"/>
          <w:szCs w:val="18"/>
        </w:rPr>
        <w:t>‒</w:t>
      </w:r>
      <w:r w:rsidRPr="001845F3">
        <w:rPr>
          <w:rFonts w:cs="Times New Roman"/>
          <w:sz w:val="18"/>
          <w:szCs w:val="18"/>
        </w:rPr>
        <w:t>15</w:t>
      </w:r>
    </w:p>
    <w:p w14:paraId="28F6EEB0" w14:textId="77777777" w:rsidR="00F26471" w:rsidRPr="001845F3" w:rsidRDefault="00F26471" w:rsidP="00D727BF">
      <w:pPr>
        <w:keepNext/>
        <w:tabs>
          <w:tab w:val="left" w:pos="720"/>
        </w:tabs>
        <w:spacing w:after="0"/>
        <w:rPr>
          <w:rFonts w:cs="Times New Roman"/>
          <w:sz w:val="18"/>
          <w:szCs w:val="18"/>
        </w:rPr>
      </w:pPr>
    </w:p>
    <w:p w14:paraId="0CCB4206" w14:textId="59813A63" w:rsidR="008D34FE" w:rsidRDefault="00227016" w:rsidP="00D727BF">
      <w:pPr>
        <w:pStyle w:val="ParagraphNumbering"/>
        <w:numPr>
          <w:ilvl w:val="0"/>
          <w:numId w:val="0"/>
        </w:numPr>
        <w:tabs>
          <w:tab w:val="left" w:pos="720"/>
        </w:tabs>
        <w:spacing w:after="240"/>
        <w:rPr>
          <w:rFonts w:ascii="Trebuchet MS" w:hAnsi="Trebuchet MS"/>
          <w:sz w:val="18"/>
          <w:szCs w:val="18"/>
        </w:rPr>
      </w:pPr>
      <w:r>
        <w:rPr>
          <w:b/>
        </w:rPr>
        <w:tab/>
      </w:r>
      <w:r w:rsidR="008D34FE" w:rsidRPr="00A10C26">
        <w:rPr>
          <w:b/>
        </w:rPr>
        <w:t>Firms with ties to international markets tended to fare better than purely domestic firms.</w:t>
      </w:r>
      <w:r w:rsidR="008D34FE">
        <w:t xml:space="preserve"> For exporters, the average firm reported sales growth of 0.9 percent from 2011 to 2013. In comparison, the average nonexporter reported sales growth of -12.1 percent. Exporters also reported faster employment growth than nonexporters. Foreign-owned firms, however, reported slower growth than domestic firms.</w:t>
      </w:r>
      <w:r w:rsidR="008D34FE">
        <w:rPr>
          <w:rFonts w:ascii="Trebuchet MS" w:hAnsi="Trebuchet MS"/>
          <w:sz w:val="18"/>
          <w:szCs w:val="18"/>
        </w:rPr>
        <w:t xml:space="preserve"> </w:t>
      </w:r>
    </w:p>
    <w:p w14:paraId="2F1A4D49" w14:textId="4DA9CF8D" w:rsidR="00175186" w:rsidRDefault="00175186" w:rsidP="00D727BF">
      <w:pPr>
        <w:pStyle w:val="Heading2"/>
        <w:tabs>
          <w:tab w:val="left" w:pos="720"/>
        </w:tabs>
      </w:pPr>
      <w:bookmarkStart w:id="191" w:name="_Toc444877514"/>
      <w:bookmarkStart w:id="192" w:name="_Toc445450287"/>
      <w:bookmarkStart w:id="193" w:name="_Ref444353358"/>
      <w:bookmarkEnd w:id="188"/>
      <w:r>
        <w:t xml:space="preserve">The Business </w:t>
      </w:r>
      <w:r w:rsidR="00227016">
        <w:t>E</w:t>
      </w:r>
      <w:r>
        <w:t>nvironment in Nigeria</w:t>
      </w:r>
      <w:bookmarkEnd w:id="191"/>
      <w:bookmarkEnd w:id="192"/>
    </w:p>
    <w:p w14:paraId="1F13C35C" w14:textId="4795F231" w:rsidR="00175186" w:rsidRDefault="003E2A23" w:rsidP="00D727BF">
      <w:pPr>
        <w:pStyle w:val="ParagraphNumbering"/>
        <w:numPr>
          <w:ilvl w:val="0"/>
          <w:numId w:val="0"/>
        </w:numPr>
        <w:tabs>
          <w:tab w:val="left" w:pos="720"/>
        </w:tabs>
        <w:spacing w:after="240"/>
      </w:pPr>
      <w:r>
        <w:tab/>
      </w:r>
      <w:r w:rsidR="00175186">
        <w:t>T</w:t>
      </w:r>
      <w:r w:rsidR="00175186" w:rsidRPr="00365192">
        <w:t>he Enterprise Survey also collects information on the investment climate—including topics such as infrastructure, access to finance, taxes, competition from the informal sector</w:t>
      </w:r>
      <w:r>
        <w:t>,</w:t>
      </w:r>
      <w:r w:rsidR="00175186" w:rsidRPr="00365192">
        <w:t xml:space="preserve"> and corruption. Firms are asked two kinds of questions in the surveys: (i) subjective questions about what managers see as the major obstacles that their firm</w:t>
      </w:r>
      <w:r>
        <w:t>s</w:t>
      </w:r>
      <w:r w:rsidR="00175186" w:rsidRPr="00365192">
        <w:t xml:space="preserve"> face; and (ii) objective questions such as production lost due to power outages, whether the firm has a loan or overdraft facility, and </w:t>
      </w:r>
      <w:r w:rsidR="00175186">
        <w:t xml:space="preserve">the </w:t>
      </w:r>
      <w:r w:rsidR="00175186" w:rsidRPr="00365192">
        <w:t>amount of time managers spend dealing with government regulations. The report uses both types of information</w:t>
      </w:r>
      <w:r>
        <w:t>—</w:t>
      </w:r>
      <w:r w:rsidR="00175186" w:rsidRPr="00365192">
        <w:t>and supplementary information from other sources</w:t>
      </w:r>
      <w:r>
        <w:t>—</w:t>
      </w:r>
      <w:r w:rsidR="00175186" w:rsidRPr="00365192">
        <w:t>to assess constraints to enterprise operations and growth in Nigeria</w:t>
      </w:r>
      <w:r w:rsidR="00175186">
        <w:t>,</w:t>
      </w:r>
      <w:r w:rsidR="00175186" w:rsidRPr="00365192">
        <w:t xml:space="preserve"> and to compare constraints in Nigeria with constraints in the comparator countries.</w:t>
      </w:r>
      <w:r w:rsidR="00175186">
        <w:t xml:space="preserve"> Although subjective data has many problems, it provides a useful starting point for any analysis of the investment climate.</w:t>
      </w:r>
      <w:r w:rsidR="00175186">
        <w:rPr>
          <w:rStyle w:val="FootnoteReference"/>
        </w:rPr>
        <w:footnoteReference w:id="37"/>
      </w:r>
      <w:r w:rsidR="00175186">
        <w:t xml:space="preserve"> Business owners are likely to have a better idea about the constraints that they face than others will. </w:t>
      </w:r>
    </w:p>
    <w:p w14:paraId="543A7218" w14:textId="77777777" w:rsidR="00175186" w:rsidRPr="00F47590" w:rsidRDefault="00175186" w:rsidP="00D727BF">
      <w:pPr>
        <w:pStyle w:val="Heading3"/>
        <w:numPr>
          <w:ilvl w:val="0"/>
          <w:numId w:val="0"/>
        </w:numPr>
        <w:tabs>
          <w:tab w:val="left" w:pos="720"/>
        </w:tabs>
        <w:jc w:val="center"/>
      </w:pPr>
      <w:r>
        <w:lastRenderedPageBreak/>
        <w:t>Main constraints faced by business owners</w:t>
      </w:r>
    </w:p>
    <w:p w14:paraId="6137DC1B" w14:textId="4BF278C5" w:rsidR="00175186" w:rsidRDefault="003E2A23" w:rsidP="00D727BF">
      <w:pPr>
        <w:pStyle w:val="ParagraphNumbering"/>
        <w:numPr>
          <w:ilvl w:val="0"/>
          <w:numId w:val="0"/>
        </w:numPr>
        <w:tabs>
          <w:tab w:val="left" w:pos="720"/>
        </w:tabs>
        <w:spacing w:after="240"/>
      </w:pPr>
      <w:r>
        <w:rPr>
          <w:b/>
        </w:rPr>
        <w:tab/>
      </w:r>
      <w:r w:rsidR="00175186">
        <w:rPr>
          <w:b/>
        </w:rPr>
        <w:t>F</w:t>
      </w:r>
      <w:r w:rsidR="00175186" w:rsidRPr="006B4370">
        <w:rPr>
          <w:b/>
        </w:rPr>
        <w:t xml:space="preserve">irm managers </w:t>
      </w:r>
      <w:r w:rsidR="00175186">
        <w:rPr>
          <w:b/>
        </w:rPr>
        <w:t>are</w:t>
      </w:r>
      <w:r w:rsidR="00175186" w:rsidRPr="006B4370">
        <w:rPr>
          <w:b/>
        </w:rPr>
        <w:t xml:space="preserve"> most concerned </w:t>
      </w:r>
      <w:r w:rsidR="00175186">
        <w:rPr>
          <w:b/>
        </w:rPr>
        <w:t xml:space="preserve">with </w:t>
      </w:r>
      <w:r w:rsidR="00175186" w:rsidRPr="006B4370">
        <w:rPr>
          <w:b/>
        </w:rPr>
        <w:t>electricity, corruption</w:t>
      </w:r>
      <w:r w:rsidR="00175186">
        <w:rPr>
          <w:b/>
        </w:rPr>
        <w:t>,</w:t>
      </w:r>
      <w:r w:rsidR="00175186" w:rsidRPr="006B4370">
        <w:rPr>
          <w:b/>
        </w:rPr>
        <w:t xml:space="preserve"> and access to finance</w:t>
      </w:r>
      <w:r w:rsidR="00175186">
        <w:rPr>
          <w:b/>
        </w:rPr>
        <w:t xml:space="preserve"> (48, 45</w:t>
      </w:r>
      <w:r>
        <w:rPr>
          <w:b/>
        </w:rPr>
        <w:t>,</w:t>
      </w:r>
      <w:r w:rsidR="00175186">
        <w:rPr>
          <w:b/>
        </w:rPr>
        <w:t xml:space="preserve"> and 33 percent, respectively)</w:t>
      </w:r>
      <w:r w:rsidR="00175186" w:rsidRPr="006B4370">
        <w:rPr>
          <w:b/>
        </w:rPr>
        <w:t>.</w:t>
      </w:r>
      <w:r w:rsidR="00175186">
        <w:rPr>
          <w:rStyle w:val="FootnoteReference"/>
        </w:rPr>
        <w:footnoteReference w:id="38"/>
      </w:r>
      <w:r w:rsidR="00175186">
        <w:t xml:space="preserve"> Far fewer managers reported service problems with other areas of the investment climate, including political stability, access to land, tax rates and administration, and other areas of regulation (</w:t>
      </w:r>
      <w:r w:rsidR="00175186">
        <w:fldChar w:fldCharType="begin"/>
      </w:r>
      <w:r w:rsidR="00175186">
        <w:instrText xml:space="preserve"> REF _Ref445131861 \h </w:instrText>
      </w:r>
      <w:r w:rsidR="00175186">
        <w:fldChar w:fldCharType="separate"/>
      </w:r>
      <w:r>
        <w:t>f</w:t>
      </w:r>
      <w:r w:rsidR="008A3BBD" w:rsidRPr="00344CC4">
        <w:t xml:space="preserve">igure </w:t>
      </w:r>
      <w:r w:rsidR="008A3BBD">
        <w:rPr>
          <w:noProof/>
        </w:rPr>
        <w:t>36</w:t>
      </w:r>
      <w:r w:rsidR="00175186">
        <w:fldChar w:fldCharType="end"/>
      </w:r>
      <w:r w:rsidR="00175186">
        <w:t xml:space="preserve">). When asked about their top three constraints, the results remained the same—access to finance (30 percent of firms), electricity (27 percent), and corruption (13 percent). None of the other constraints were reported by more than </w:t>
      </w:r>
      <w:r>
        <w:t xml:space="preserve">6 </w:t>
      </w:r>
      <w:r w:rsidR="00175186">
        <w:t xml:space="preserve">percent of firms. </w:t>
      </w:r>
    </w:p>
    <w:p w14:paraId="0C6A852A" w14:textId="71A9CA65" w:rsidR="00340052" w:rsidRDefault="00340052" w:rsidP="00D727BF">
      <w:pPr>
        <w:pStyle w:val="Caption"/>
        <w:keepNext/>
        <w:tabs>
          <w:tab w:val="left" w:pos="720"/>
        </w:tabs>
        <w:spacing w:after="120"/>
      </w:pPr>
      <w:bookmarkStart w:id="194" w:name="_Toc445449527"/>
      <w:r>
        <w:t xml:space="preserve">Table </w:t>
      </w:r>
      <w:fldSimple w:instr=" SEQ Table \* ARABIC ">
        <w:r w:rsidR="008A3BBD">
          <w:rPr>
            <w:noProof/>
          </w:rPr>
          <w:t>6</w:t>
        </w:r>
      </w:fldSimple>
      <w:bookmarkEnd w:id="193"/>
      <w:r>
        <w:t xml:space="preserve">: </w:t>
      </w:r>
      <w:r w:rsidRPr="004B4F00">
        <w:t xml:space="preserve">Sales and </w:t>
      </w:r>
      <w:r w:rsidR="003E2A23">
        <w:t>E</w:t>
      </w:r>
      <w:r w:rsidRPr="004B4F00">
        <w:t xml:space="preserve">mployment </w:t>
      </w:r>
      <w:r w:rsidR="003E2A23">
        <w:t>G</w:t>
      </w:r>
      <w:r w:rsidRPr="004B4F00">
        <w:t>rowth across Nigeria.</w:t>
      </w:r>
      <w:bookmarkEnd w:id="194"/>
    </w:p>
    <w:tbl>
      <w:tblPr>
        <w:tblW w:w="5000" w:type="pct"/>
        <w:tblLook w:val="04A0" w:firstRow="1" w:lastRow="0" w:firstColumn="1" w:lastColumn="0" w:noHBand="0" w:noVBand="1"/>
      </w:tblPr>
      <w:tblGrid>
        <w:gridCol w:w="4083"/>
        <w:gridCol w:w="2166"/>
        <w:gridCol w:w="3327"/>
      </w:tblGrid>
      <w:tr w:rsidR="00BE3C2C" w:rsidRPr="001845F3" w14:paraId="047708EC" w14:textId="77777777" w:rsidTr="00340052">
        <w:trPr>
          <w:trHeight w:val="144"/>
        </w:trPr>
        <w:tc>
          <w:tcPr>
            <w:tcW w:w="2132" w:type="pct"/>
            <w:tcBorders>
              <w:top w:val="single" w:sz="4" w:space="0" w:color="auto"/>
              <w:bottom w:val="single" w:sz="4" w:space="0" w:color="auto"/>
            </w:tcBorders>
            <w:shd w:val="clear" w:color="auto" w:fill="auto"/>
            <w:noWrap/>
            <w:vAlign w:val="bottom"/>
          </w:tcPr>
          <w:p w14:paraId="05050489" w14:textId="77777777" w:rsidR="00BE3C2C" w:rsidRPr="001845F3" w:rsidRDefault="00BE3C2C" w:rsidP="00D727BF">
            <w:pPr>
              <w:tabs>
                <w:tab w:val="left" w:pos="720"/>
              </w:tabs>
              <w:spacing w:after="0"/>
              <w:rPr>
                <w:rFonts w:cs="Times New Roman"/>
                <w:b/>
                <w:color w:val="000000"/>
                <w:sz w:val="20"/>
                <w:szCs w:val="20"/>
              </w:rPr>
            </w:pPr>
          </w:p>
        </w:tc>
        <w:tc>
          <w:tcPr>
            <w:tcW w:w="1131" w:type="pct"/>
            <w:tcBorders>
              <w:top w:val="single" w:sz="4" w:space="0" w:color="auto"/>
              <w:bottom w:val="single" w:sz="4" w:space="0" w:color="auto"/>
            </w:tcBorders>
            <w:shd w:val="clear" w:color="auto" w:fill="auto"/>
            <w:noWrap/>
            <w:vAlign w:val="center"/>
          </w:tcPr>
          <w:p w14:paraId="2C8BB039" w14:textId="77777777" w:rsidR="00BE3C2C" w:rsidRPr="001845F3" w:rsidRDefault="00BE3C2C" w:rsidP="00D727BF">
            <w:pPr>
              <w:tabs>
                <w:tab w:val="left" w:pos="720"/>
              </w:tabs>
              <w:spacing w:after="0"/>
              <w:jc w:val="center"/>
              <w:rPr>
                <w:rFonts w:cs="Times New Roman"/>
                <w:b/>
                <w:color w:val="000000"/>
                <w:sz w:val="20"/>
                <w:szCs w:val="20"/>
              </w:rPr>
            </w:pPr>
            <w:r w:rsidRPr="001845F3">
              <w:rPr>
                <w:rFonts w:cs="Times New Roman"/>
                <w:b/>
                <w:color w:val="000000"/>
                <w:sz w:val="20"/>
                <w:szCs w:val="20"/>
              </w:rPr>
              <w:t>Employment Growth</w:t>
            </w:r>
          </w:p>
        </w:tc>
        <w:tc>
          <w:tcPr>
            <w:tcW w:w="1737" w:type="pct"/>
            <w:tcBorders>
              <w:top w:val="single" w:sz="4" w:space="0" w:color="auto"/>
              <w:bottom w:val="single" w:sz="4" w:space="0" w:color="auto"/>
            </w:tcBorders>
            <w:shd w:val="clear" w:color="auto" w:fill="auto"/>
            <w:noWrap/>
            <w:vAlign w:val="center"/>
          </w:tcPr>
          <w:p w14:paraId="05F433E2" w14:textId="77777777" w:rsidR="00BE3C2C" w:rsidRPr="001845F3" w:rsidRDefault="00BE3C2C" w:rsidP="00D727BF">
            <w:pPr>
              <w:tabs>
                <w:tab w:val="left" w:pos="720"/>
              </w:tabs>
              <w:spacing w:after="0"/>
              <w:jc w:val="center"/>
              <w:rPr>
                <w:rFonts w:cs="Times New Roman"/>
                <w:b/>
                <w:color w:val="000000"/>
                <w:sz w:val="20"/>
                <w:szCs w:val="20"/>
              </w:rPr>
            </w:pPr>
            <w:r w:rsidRPr="001845F3">
              <w:rPr>
                <w:rFonts w:cs="Times New Roman"/>
                <w:b/>
                <w:color w:val="000000"/>
                <w:sz w:val="20"/>
                <w:szCs w:val="20"/>
              </w:rPr>
              <w:t>Sales Growth</w:t>
            </w:r>
          </w:p>
        </w:tc>
      </w:tr>
      <w:tr w:rsidR="00BE3C2C" w:rsidRPr="00E25CD8" w14:paraId="03A3177C" w14:textId="77777777" w:rsidTr="00340052">
        <w:trPr>
          <w:trHeight w:val="144"/>
        </w:trPr>
        <w:tc>
          <w:tcPr>
            <w:tcW w:w="2132" w:type="pct"/>
            <w:tcBorders>
              <w:top w:val="single" w:sz="4" w:space="0" w:color="auto"/>
            </w:tcBorders>
            <w:shd w:val="clear" w:color="auto" w:fill="auto"/>
            <w:noWrap/>
            <w:vAlign w:val="bottom"/>
          </w:tcPr>
          <w:p w14:paraId="659DF277"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Manufacturing</w:t>
            </w:r>
          </w:p>
        </w:tc>
        <w:tc>
          <w:tcPr>
            <w:tcW w:w="1131" w:type="pct"/>
            <w:tcBorders>
              <w:top w:val="single" w:sz="4" w:space="0" w:color="auto"/>
            </w:tcBorders>
            <w:shd w:val="clear" w:color="auto" w:fill="auto"/>
            <w:noWrap/>
            <w:vAlign w:val="center"/>
          </w:tcPr>
          <w:p w14:paraId="776BA9ED"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9.7</w:t>
            </w:r>
          </w:p>
        </w:tc>
        <w:tc>
          <w:tcPr>
            <w:tcW w:w="1737" w:type="pct"/>
            <w:tcBorders>
              <w:top w:val="single" w:sz="4" w:space="0" w:color="auto"/>
            </w:tcBorders>
            <w:shd w:val="clear" w:color="auto" w:fill="auto"/>
            <w:noWrap/>
            <w:vAlign w:val="center"/>
          </w:tcPr>
          <w:p w14:paraId="7862DC1C"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-5.9</w:t>
            </w:r>
          </w:p>
        </w:tc>
      </w:tr>
      <w:tr w:rsidR="00BE3C2C" w:rsidRPr="00E25CD8" w14:paraId="5737A554" w14:textId="77777777" w:rsidTr="00340052">
        <w:trPr>
          <w:trHeight w:val="144"/>
        </w:trPr>
        <w:tc>
          <w:tcPr>
            <w:tcW w:w="2132" w:type="pct"/>
            <w:shd w:val="clear" w:color="auto" w:fill="auto"/>
            <w:noWrap/>
            <w:vAlign w:val="bottom"/>
          </w:tcPr>
          <w:p w14:paraId="22C8A686" w14:textId="19C68532"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 xml:space="preserve">Retail </w:t>
            </w:r>
            <w:r w:rsidR="003E2A23">
              <w:rPr>
                <w:rFonts w:cs="Times New Roman"/>
                <w:color w:val="000000"/>
                <w:sz w:val="20"/>
                <w:szCs w:val="20"/>
              </w:rPr>
              <w:t>t</w:t>
            </w:r>
            <w:r w:rsidRPr="001845F3">
              <w:rPr>
                <w:rFonts w:cs="Times New Roman"/>
                <w:color w:val="000000"/>
                <w:sz w:val="20"/>
                <w:szCs w:val="20"/>
              </w:rPr>
              <w:t>rade</w:t>
            </w:r>
          </w:p>
        </w:tc>
        <w:tc>
          <w:tcPr>
            <w:tcW w:w="1131" w:type="pct"/>
            <w:shd w:val="clear" w:color="auto" w:fill="auto"/>
            <w:noWrap/>
            <w:vAlign w:val="center"/>
          </w:tcPr>
          <w:p w14:paraId="06A9182F"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10.5</w:t>
            </w:r>
          </w:p>
        </w:tc>
        <w:tc>
          <w:tcPr>
            <w:tcW w:w="1737" w:type="pct"/>
            <w:shd w:val="clear" w:color="auto" w:fill="auto"/>
            <w:noWrap/>
            <w:vAlign w:val="center"/>
          </w:tcPr>
          <w:p w14:paraId="20116AB7"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-7.8</w:t>
            </w:r>
          </w:p>
        </w:tc>
      </w:tr>
      <w:tr w:rsidR="00BE3C2C" w:rsidRPr="00E25CD8" w14:paraId="124EF653" w14:textId="77777777" w:rsidTr="00340052">
        <w:trPr>
          <w:trHeight w:val="144"/>
        </w:trPr>
        <w:tc>
          <w:tcPr>
            <w:tcW w:w="2132" w:type="pct"/>
            <w:tcBorders>
              <w:bottom w:val="single" w:sz="4" w:space="0" w:color="auto"/>
            </w:tcBorders>
            <w:shd w:val="clear" w:color="auto" w:fill="auto"/>
            <w:noWrap/>
            <w:vAlign w:val="bottom"/>
          </w:tcPr>
          <w:p w14:paraId="0CCE5FDC" w14:textId="6FF0966B"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 xml:space="preserve">Other </w:t>
            </w:r>
            <w:r w:rsidR="003E2A23">
              <w:rPr>
                <w:rFonts w:cs="Times New Roman"/>
                <w:color w:val="000000"/>
                <w:sz w:val="20"/>
                <w:szCs w:val="20"/>
              </w:rPr>
              <w:t>s</w:t>
            </w:r>
            <w:r w:rsidRPr="001845F3">
              <w:rPr>
                <w:rFonts w:cs="Times New Roman"/>
                <w:color w:val="000000"/>
                <w:sz w:val="20"/>
                <w:szCs w:val="20"/>
              </w:rPr>
              <w:t>ervices</w:t>
            </w:r>
          </w:p>
        </w:tc>
        <w:tc>
          <w:tcPr>
            <w:tcW w:w="1131" w:type="pct"/>
            <w:tcBorders>
              <w:bottom w:val="single" w:sz="4" w:space="0" w:color="auto"/>
            </w:tcBorders>
            <w:shd w:val="clear" w:color="auto" w:fill="auto"/>
            <w:noWrap/>
            <w:vAlign w:val="center"/>
          </w:tcPr>
          <w:p w14:paraId="64403451"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7.7</w:t>
            </w:r>
          </w:p>
        </w:tc>
        <w:tc>
          <w:tcPr>
            <w:tcW w:w="1737" w:type="pct"/>
            <w:tcBorders>
              <w:bottom w:val="single" w:sz="4" w:space="0" w:color="auto"/>
            </w:tcBorders>
            <w:shd w:val="clear" w:color="auto" w:fill="auto"/>
            <w:noWrap/>
            <w:vAlign w:val="center"/>
          </w:tcPr>
          <w:p w14:paraId="0E23E683"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0.3</w:t>
            </w:r>
          </w:p>
        </w:tc>
      </w:tr>
      <w:tr w:rsidR="00BE3C2C" w:rsidRPr="00E25CD8" w14:paraId="7A357C26" w14:textId="77777777" w:rsidTr="00340052">
        <w:trPr>
          <w:trHeight w:val="80"/>
        </w:trPr>
        <w:tc>
          <w:tcPr>
            <w:tcW w:w="2132" w:type="pct"/>
            <w:tcBorders>
              <w:top w:val="single" w:sz="4" w:space="0" w:color="auto"/>
              <w:bottom w:val="single" w:sz="4" w:space="0" w:color="auto"/>
            </w:tcBorders>
            <w:shd w:val="clear" w:color="auto" w:fill="auto"/>
            <w:noWrap/>
            <w:vAlign w:val="bottom"/>
          </w:tcPr>
          <w:p w14:paraId="7A4C939C" w14:textId="77777777" w:rsidR="00BE3C2C" w:rsidRPr="001845F3" w:rsidRDefault="00BE3C2C" w:rsidP="00D727BF">
            <w:pPr>
              <w:tabs>
                <w:tab w:val="left" w:pos="720"/>
              </w:tabs>
              <w:spacing w:after="0"/>
              <w:rPr>
                <w:rFonts w:cs="Times New Roman"/>
                <w:color w:val="000000"/>
                <w:sz w:val="10"/>
                <w:szCs w:val="10"/>
              </w:rPr>
            </w:pPr>
          </w:p>
        </w:tc>
        <w:tc>
          <w:tcPr>
            <w:tcW w:w="1131" w:type="pct"/>
            <w:tcBorders>
              <w:top w:val="single" w:sz="4" w:space="0" w:color="auto"/>
              <w:bottom w:val="single" w:sz="4" w:space="0" w:color="auto"/>
            </w:tcBorders>
            <w:shd w:val="clear" w:color="auto" w:fill="auto"/>
            <w:noWrap/>
            <w:vAlign w:val="center"/>
          </w:tcPr>
          <w:p w14:paraId="66C7B01F" w14:textId="77777777" w:rsidR="00BE3C2C" w:rsidRPr="001845F3" w:rsidRDefault="00BE3C2C" w:rsidP="00D727BF">
            <w:pPr>
              <w:tabs>
                <w:tab w:val="left" w:pos="720"/>
              </w:tabs>
              <w:spacing w:after="0"/>
              <w:jc w:val="center"/>
              <w:rPr>
                <w:rFonts w:cs="Times New Roman"/>
                <w:color w:val="000000"/>
                <w:sz w:val="20"/>
                <w:szCs w:val="20"/>
              </w:rPr>
            </w:pPr>
          </w:p>
        </w:tc>
        <w:tc>
          <w:tcPr>
            <w:tcW w:w="1737" w:type="pct"/>
            <w:tcBorders>
              <w:top w:val="single" w:sz="4" w:space="0" w:color="auto"/>
              <w:bottom w:val="single" w:sz="4" w:space="0" w:color="auto"/>
            </w:tcBorders>
            <w:shd w:val="clear" w:color="auto" w:fill="auto"/>
            <w:noWrap/>
            <w:vAlign w:val="center"/>
          </w:tcPr>
          <w:p w14:paraId="15BC7732" w14:textId="77777777" w:rsidR="00BE3C2C" w:rsidRPr="001845F3" w:rsidRDefault="00BE3C2C" w:rsidP="00D727BF">
            <w:pPr>
              <w:tabs>
                <w:tab w:val="left" w:pos="720"/>
              </w:tabs>
              <w:spacing w:after="0"/>
              <w:jc w:val="center"/>
              <w:rPr>
                <w:rFonts w:cs="Times New Roman"/>
                <w:color w:val="000000"/>
                <w:sz w:val="20"/>
                <w:szCs w:val="20"/>
              </w:rPr>
            </w:pPr>
          </w:p>
        </w:tc>
      </w:tr>
      <w:tr w:rsidR="00BE3C2C" w:rsidRPr="00E25CD8" w14:paraId="757F6BBB" w14:textId="77777777" w:rsidTr="00340052">
        <w:trPr>
          <w:trHeight w:val="144"/>
        </w:trPr>
        <w:tc>
          <w:tcPr>
            <w:tcW w:w="2132" w:type="pct"/>
            <w:tcBorders>
              <w:top w:val="single" w:sz="4" w:space="0" w:color="auto"/>
            </w:tcBorders>
            <w:shd w:val="clear" w:color="auto" w:fill="auto"/>
            <w:noWrap/>
            <w:vAlign w:val="bottom"/>
          </w:tcPr>
          <w:p w14:paraId="70E8A67A"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Textiles</w:t>
            </w:r>
          </w:p>
        </w:tc>
        <w:tc>
          <w:tcPr>
            <w:tcW w:w="1131" w:type="pct"/>
            <w:tcBorders>
              <w:top w:val="single" w:sz="4" w:space="0" w:color="auto"/>
            </w:tcBorders>
            <w:shd w:val="clear" w:color="auto" w:fill="auto"/>
            <w:noWrap/>
            <w:vAlign w:val="center"/>
          </w:tcPr>
          <w:p w14:paraId="28478D15"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-3.6</w:t>
            </w:r>
          </w:p>
        </w:tc>
        <w:tc>
          <w:tcPr>
            <w:tcW w:w="1737" w:type="pct"/>
            <w:tcBorders>
              <w:top w:val="single" w:sz="4" w:space="0" w:color="auto"/>
            </w:tcBorders>
            <w:shd w:val="clear" w:color="auto" w:fill="auto"/>
            <w:noWrap/>
            <w:vAlign w:val="center"/>
          </w:tcPr>
          <w:p w14:paraId="5BFC34B8"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-19.2</w:t>
            </w:r>
          </w:p>
        </w:tc>
      </w:tr>
      <w:tr w:rsidR="00BE3C2C" w:rsidRPr="00E25CD8" w14:paraId="6331B4AA" w14:textId="77777777" w:rsidTr="00340052">
        <w:trPr>
          <w:trHeight w:val="144"/>
        </w:trPr>
        <w:tc>
          <w:tcPr>
            <w:tcW w:w="2132" w:type="pct"/>
            <w:shd w:val="clear" w:color="auto" w:fill="auto"/>
            <w:noWrap/>
            <w:vAlign w:val="bottom"/>
          </w:tcPr>
          <w:p w14:paraId="3454CC8F"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Garments</w:t>
            </w:r>
          </w:p>
        </w:tc>
        <w:tc>
          <w:tcPr>
            <w:tcW w:w="1131" w:type="pct"/>
            <w:shd w:val="clear" w:color="auto" w:fill="auto"/>
            <w:noWrap/>
            <w:vAlign w:val="center"/>
          </w:tcPr>
          <w:p w14:paraId="34386BE2"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13.5</w:t>
            </w:r>
          </w:p>
        </w:tc>
        <w:tc>
          <w:tcPr>
            <w:tcW w:w="1737" w:type="pct"/>
            <w:shd w:val="clear" w:color="auto" w:fill="auto"/>
            <w:noWrap/>
            <w:vAlign w:val="center"/>
          </w:tcPr>
          <w:p w14:paraId="738F8016"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-7.3</w:t>
            </w:r>
          </w:p>
        </w:tc>
      </w:tr>
      <w:tr w:rsidR="00BE3C2C" w:rsidRPr="00E25CD8" w14:paraId="566847DB" w14:textId="77777777" w:rsidTr="00340052">
        <w:trPr>
          <w:trHeight w:val="144"/>
        </w:trPr>
        <w:tc>
          <w:tcPr>
            <w:tcW w:w="2132" w:type="pct"/>
            <w:shd w:val="clear" w:color="auto" w:fill="auto"/>
            <w:noWrap/>
            <w:vAlign w:val="bottom"/>
          </w:tcPr>
          <w:p w14:paraId="04ECD486"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Food and beverage</w:t>
            </w:r>
          </w:p>
        </w:tc>
        <w:tc>
          <w:tcPr>
            <w:tcW w:w="1131" w:type="pct"/>
            <w:shd w:val="clear" w:color="auto" w:fill="auto"/>
            <w:noWrap/>
            <w:vAlign w:val="center"/>
          </w:tcPr>
          <w:p w14:paraId="0CA1C856"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5.3</w:t>
            </w:r>
          </w:p>
        </w:tc>
        <w:tc>
          <w:tcPr>
            <w:tcW w:w="1737" w:type="pct"/>
            <w:shd w:val="clear" w:color="auto" w:fill="auto"/>
            <w:noWrap/>
            <w:vAlign w:val="center"/>
          </w:tcPr>
          <w:p w14:paraId="358F52CD"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-12.6</w:t>
            </w:r>
          </w:p>
        </w:tc>
      </w:tr>
      <w:tr w:rsidR="00BE3C2C" w:rsidRPr="00E25CD8" w14:paraId="49263046" w14:textId="77777777" w:rsidTr="00340052">
        <w:trPr>
          <w:trHeight w:val="144"/>
        </w:trPr>
        <w:tc>
          <w:tcPr>
            <w:tcW w:w="2132" w:type="pct"/>
            <w:shd w:val="clear" w:color="auto" w:fill="auto"/>
            <w:noWrap/>
            <w:vAlign w:val="bottom"/>
          </w:tcPr>
          <w:p w14:paraId="79997E0A"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Chemicals</w:t>
            </w:r>
          </w:p>
        </w:tc>
        <w:tc>
          <w:tcPr>
            <w:tcW w:w="1131" w:type="pct"/>
            <w:shd w:val="clear" w:color="auto" w:fill="auto"/>
            <w:noWrap/>
            <w:vAlign w:val="center"/>
          </w:tcPr>
          <w:p w14:paraId="10852B8A"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4.0</w:t>
            </w:r>
          </w:p>
        </w:tc>
        <w:tc>
          <w:tcPr>
            <w:tcW w:w="1737" w:type="pct"/>
            <w:shd w:val="clear" w:color="auto" w:fill="auto"/>
            <w:noWrap/>
            <w:vAlign w:val="center"/>
          </w:tcPr>
          <w:p w14:paraId="5FE401CE"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-46.7</w:t>
            </w:r>
          </w:p>
        </w:tc>
      </w:tr>
      <w:tr w:rsidR="00BE3C2C" w:rsidRPr="00E25CD8" w14:paraId="204F43EF" w14:textId="77777777" w:rsidTr="00340052">
        <w:trPr>
          <w:trHeight w:val="144"/>
        </w:trPr>
        <w:tc>
          <w:tcPr>
            <w:tcW w:w="2132" w:type="pct"/>
            <w:shd w:val="clear" w:color="auto" w:fill="auto"/>
            <w:noWrap/>
            <w:vAlign w:val="bottom"/>
          </w:tcPr>
          <w:p w14:paraId="5916D19C"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Construction materials</w:t>
            </w:r>
          </w:p>
        </w:tc>
        <w:tc>
          <w:tcPr>
            <w:tcW w:w="1131" w:type="pct"/>
            <w:shd w:val="clear" w:color="auto" w:fill="auto"/>
            <w:noWrap/>
            <w:vAlign w:val="center"/>
          </w:tcPr>
          <w:p w14:paraId="5B7421E4"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4.3</w:t>
            </w:r>
          </w:p>
        </w:tc>
        <w:tc>
          <w:tcPr>
            <w:tcW w:w="1737" w:type="pct"/>
            <w:shd w:val="clear" w:color="auto" w:fill="auto"/>
            <w:noWrap/>
            <w:vAlign w:val="center"/>
          </w:tcPr>
          <w:p w14:paraId="114507F7"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-12.4</w:t>
            </w:r>
          </w:p>
        </w:tc>
      </w:tr>
      <w:tr w:rsidR="00BE3C2C" w:rsidRPr="00E25CD8" w14:paraId="56400874" w14:textId="77777777" w:rsidTr="00340052">
        <w:trPr>
          <w:trHeight w:val="144"/>
        </w:trPr>
        <w:tc>
          <w:tcPr>
            <w:tcW w:w="2132" w:type="pct"/>
            <w:shd w:val="clear" w:color="auto" w:fill="auto"/>
            <w:noWrap/>
            <w:vAlign w:val="bottom"/>
          </w:tcPr>
          <w:p w14:paraId="1BEDD9F4"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Wood and furniture</w:t>
            </w:r>
          </w:p>
        </w:tc>
        <w:tc>
          <w:tcPr>
            <w:tcW w:w="1131" w:type="pct"/>
            <w:shd w:val="clear" w:color="auto" w:fill="auto"/>
            <w:noWrap/>
            <w:vAlign w:val="center"/>
          </w:tcPr>
          <w:p w14:paraId="0ECF2CFA"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8.9</w:t>
            </w:r>
          </w:p>
        </w:tc>
        <w:tc>
          <w:tcPr>
            <w:tcW w:w="1737" w:type="pct"/>
            <w:shd w:val="clear" w:color="auto" w:fill="auto"/>
            <w:noWrap/>
            <w:vAlign w:val="center"/>
          </w:tcPr>
          <w:p w14:paraId="3CFD234D"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-2.9</w:t>
            </w:r>
          </w:p>
        </w:tc>
      </w:tr>
      <w:tr w:rsidR="00BE3C2C" w:rsidRPr="00E25CD8" w14:paraId="3F85C51B" w14:textId="77777777" w:rsidTr="00340052">
        <w:trPr>
          <w:trHeight w:val="144"/>
        </w:trPr>
        <w:tc>
          <w:tcPr>
            <w:tcW w:w="2132" w:type="pct"/>
            <w:shd w:val="clear" w:color="auto" w:fill="auto"/>
            <w:noWrap/>
            <w:vAlign w:val="bottom"/>
          </w:tcPr>
          <w:p w14:paraId="71912EEB"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Metal and machinery</w:t>
            </w:r>
          </w:p>
        </w:tc>
        <w:tc>
          <w:tcPr>
            <w:tcW w:w="1131" w:type="pct"/>
            <w:shd w:val="clear" w:color="auto" w:fill="auto"/>
            <w:noWrap/>
            <w:vAlign w:val="center"/>
          </w:tcPr>
          <w:p w14:paraId="69C1D2F9"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15.2</w:t>
            </w:r>
          </w:p>
        </w:tc>
        <w:tc>
          <w:tcPr>
            <w:tcW w:w="1737" w:type="pct"/>
            <w:shd w:val="clear" w:color="auto" w:fill="auto"/>
            <w:noWrap/>
            <w:vAlign w:val="center"/>
          </w:tcPr>
          <w:p w14:paraId="4BC77FFC"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5.3</w:t>
            </w:r>
          </w:p>
        </w:tc>
      </w:tr>
      <w:tr w:rsidR="00BE3C2C" w:rsidRPr="00E25CD8" w14:paraId="746334C4" w14:textId="77777777" w:rsidTr="00340052">
        <w:trPr>
          <w:trHeight w:val="144"/>
        </w:trPr>
        <w:tc>
          <w:tcPr>
            <w:tcW w:w="2132" w:type="pct"/>
            <w:shd w:val="clear" w:color="auto" w:fill="auto"/>
            <w:noWrap/>
            <w:vAlign w:val="bottom"/>
          </w:tcPr>
          <w:p w14:paraId="09E77F7E"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Paper and publishing</w:t>
            </w:r>
          </w:p>
        </w:tc>
        <w:tc>
          <w:tcPr>
            <w:tcW w:w="1131" w:type="pct"/>
            <w:shd w:val="clear" w:color="auto" w:fill="auto"/>
            <w:noWrap/>
            <w:vAlign w:val="center"/>
          </w:tcPr>
          <w:p w14:paraId="1112C0B8"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12.9</w:t>
            </w:r>
          </w:p>
        </w:tc>
        <w:tc>
          <w:tcPr>
            <w:tcW w:w="1737" w:type="pct"/>
            <w:shd w:val="clear" w:color="auto" w:fill="auto"/>
            <w:noWrap/>
            <w:vAlign w:val="center"/>
          </w:tcPr>
          <w:p w14:paraId="17781250"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22.1</w:t>
            </w:r>
          </w:p>
        </w:tc>
      </w:tr>
      <w:tr w:rsidR="00BE3C2C" w:rsidRPr="00E25CD8" w14:paraId="080A41D8" w14:textId="77777777" w:rsidTr="00340052">
        <w:trPr>
          <w:trHeight w:val="144"/>
        </w:trPr>
        <w:tc>
          <w:tcPr>
            <w:tcW w:w="2132" w:type="pct"/>
            <w:shd w:val="clear" w:color="auto" w:fill="auto"/>
            <w:noWrap/>
            <w:vAlign w:val="bottom"/>
          </w:tcPr>
          <w:p w14:paraId="1CEC3BC4" w14:textId="77777777" w:rsidR="00BE3C2C" w:rsidRPr="001845F3" w:rsidRDefault="00BE3C2C" w:rsidP="00D727BF">
            <w:pPr>
              <w:tabs>
                <w:tab w:val="left" w:pos="720"/>
              </w:tabs>
              <w:spacing w:after="0"/>
              <w:rPr>
                <w:rFonts w:cs="Times New Roman"/>
                <w:color w:val="000000"/>
                <w:sz w:val="20"/>
                <w:szCs w:val="20"/>
              </w:rPr>
            </w:pPr>
          </w:p>
        </w:tc>
        <w:tc>
          <w:tcPr>
            <w:tcW w:w="1131" w:type="pct"/>
            <w:shd w:val="clear" w:color="auto" w:fill="auto"/>
            <w:noWrap/>
            <w:vAlign w:val="center"/>
          </w:tcPr>
          <w:p w14:paraId="2DBD8BB8" w14:textId="77777777" w:rsidR="00BE3C2C" w:rsidRPr="001845F3" w:rsidRDefault="00BE3C2C" w:rsidP="00D727BF">
            <w:pPr>
              <w:tabs>
                <w:tab w:val="left" w:pos="720"/>
              </w:tabs>
              <w:spacing w:after="0"/>
              <w:jc w:val="center"/>
              <w:rPr>
                <w:rFonts w:cs="Times New Roman"/>
                <w:color w:val="000000"/>
                <w:sz w:val="20"/>
                <w:szCs w:val="20"/>
              </w:rPr>
            </w:pPr>
          </w:p>
        </w:tc>
        <w:tc>
          <w:tcPr>
            <w:tcW w:w="1737" w:type="pct"/>
            <w:shd w:val="clear" w:color="auto" w:fill="auto"/>
            <w:noWrap/>
            <w:vAlign w:val="center"/>
          </w:tcPr>
          <w:p w14:paraId="5BA5F08D" w14:textId="77777777" w:rsidR="00BE3C2C" w:rsidRPr="001845F3" w:rsidRDefault="00BE3C2C" w:rsidP="00D727BF">
            <w:pPr>
              <w:tabs>
                <w:tab w:val="left" w:pos="720"/>
              </w:tabs>
              <w:spacing w:after="0"/>
              <w:jc w:val="center"/>
              <w:rPr>
                <w:rFonts w:cs="Times New Roman"/>
                <w:color w:val="000000"/>
                <w:sz w:val="20"/>
                <w:szCs w:val="20"/>
              </w:rPr>
            </w:pPr>
          </w:p>
        </w:tc>
      </w:tr>
      <w:tr w:rsidR="00BE3C2C" w:rsidRPr="00E25CD8" w14:paraId="10F4A6F0" w14:textId="77777777" w:rsidTr="00340052">
        <w:trPr>
          <w:trHeight w:val="144"/>
        </w:trPr>
        <w:tc>
          <w:tcPr>
            <w:tcW w:w="2132" w:type="pct"/>
            <w:shd w:val="clear" w:color="auto" w:fill="auto"/>
            <w:noWrap/>
            <w:vAlign w:val="bottom"/>
          </w:tcPr>
          <w:p w14:paraId="0C8CAF2C"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Retail trade</w:t>
            </w:r>
          </w:p>
        </w:tc>
        <w:tc>
          <w:tcPr>
            <w:tcW w:w="1131" w:type="pct"/>
            <w:shd w:val="clear" w:color="auto" w:fill="auto"/>
            <w:noWrap/>
            <w:vAlign w:val="center"/>
          </w:tcPr>
          <w:p w14:paraId="0C28EB34"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10.5</w:t>
            </w:r>
          </w:p>
        </w:tc>
        <w:tc>
          <w:tcPr>
            <w:tcW w:w="1737" w:type="pct"/>
            <w:shd w:val="clear" w:color="auto" w:fill="auto"/>
            <w:noWrap/>
            <w:vAlign w:val="center"/>
          </w:tcPr>
          <w:p w14:paraId="18D3D08E"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-7.8</w:t>
            </w:r>
          </w:p>
        </w:tc>
      </w:tr>
      <w:tr w:rsidR="00BE3C2C" w:rsidRPr="00E25CD8" w14:paraId="67A63C06" w14:textId="77777777" w:rsidTr="00340052">
        <w:trPr>
          <w:trHeight w:val="144"/>
        </w:trPr>
        <w:tc>
          <w:tcPr>
            <w:tcW w:w="2132" w:type="pct"/>
            <w:shd w:val="clear" w:color="auto" w:fill="auto"/>
            <w:noWrap/>
            <w:vAlign w:val="bottom"/>
          </w:tcPr>
          <w:p w14:paraId="14B50661"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Hotels and restaurants</w:t>
            </w:r>
          </w:p>
        </w:tc>
        <w:tc>
          <w:tcPr>
            <w:tcW w:w="1131" w:type="pct"/>
            <w:shd w:val="clear" w:color="auto" w:fill="auto"/>
            <w:noWrap/>
            <w:vAlign w:val="center"/>
          </w:tcPr>
          <w:p w14:paraId="7FC26BC2"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6.5</w:t>
            </w:r>
          </w:p>
        </w:tc>
        <w:tc>
          <w:tcPr>
            <w:tcW w:w="1737" w:type="pct"/>
            <w:shd w:val="clear" w:color="auto" w:fill="auto"/>
            <w:noWrap/>
            <w:vAlign w:val="center"/>
          </w:tcPr>
          <w:p w14:paraId="60ACFE57"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-0.4</w:t>
            </w:r>
          </w:p>
        </w:tc>
      </w:tr>
      <w:tr w:rsidR="00BE3C2C" w:rsidRPr="00E25CD8" w14:paraId="1CBC8627" w14:textId="77777777" w:rsidTr="00340052">
        <w:trPr>
          <w:trHeight w:val="144"/>
        </w:trPr>
        <w:tc>
          <w:tcPr>
            <w:tcW w:w="2132" w:type="pct"/>
            <w:shd w:val="clear" w:color="auto" w:fill="auto"/>
            <w:noWrap/>
            <w:vAlign w:val="bottom"/>
          </w:tcPr>
          <w:p w14:paraId="6F59AC03"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Other services</w:t>
            </w:r>
          </w:p>
        </w:tc>
        <w:tc>
          <w:tcPr>
            <w:tcW w:w="1131" w:type="pct"/>
            <w:shd w:val="clear" w:color="auto" w:fill="auto"/>
            <w:noWrap/>
            <w:vAlign w:val="center"/>
          </w:tcPr>
          <w:p w14:paraId="5E28D644"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14.5</w:t>
            </w:r>
          </w:p>
        </w:tc>
        <w:tc>
          <w:tcPr>
            <w:tcW w:w="1737" w:type="pct"/>
            <w:shd w:val="clear" w:color="auto" w:fill="auto"/>
            <w:noWrap/>
            <w:vAlign w:val="center"/>
          </w:tcPr>
          <w:p w14:paraId="5FB0CD30"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39.2</w:t>
            </w:r>
          </w:p>
        </w:tc>
      </w:tr>
      <w:tr w:rsidR="00BE3C2C" w:rsidRPr="00E25CD8" w14:paraId="6989E5F6" w14:textId="77777777" w:rsidTr="00340052">
        <w:trPr>
          <w:trHeight w:val="144"/>
        </w:trPr>
        <w:tc>
          <w:tcPr>
            <w:tcW w:w="2132" w:type="pct"/>
            <w:shd w:val="clear" w:color="auto" w:fill="auto"/>
            <w:noWrap/>
            <w:vAlign w:val="bottom"/>
          </w:tcPr>
          <w:p w14:paraId="0773463C"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Constructions</w:t>
            </w:r>
          </w:p>
        </w:tc>
        <w:tc>
          <w:tcPr>
            <w:tcW w:w="1131" w:type="pct"/>
            <w:shd w:val="clear" w:color="auto" w:fill="auto"/>
            <w:noWrap/>
            <w:vAlign w:val="center"/>
          </w:tcPr>
          <w:p w14:paraId="6C5A2AE2"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-2.6</w:t>
            </w:r>
          </w:p>
        </w:tc>
        <w:tc>
          <w:tcPr>
            <w:tcW w:w="1737" w:type="pct"/>
            <w:shd w:val="clear" w:color="auto" w:fill="auto"/>
            <w:noWrap/>
            <w:vAlign w:val="center"/>
          </w:tcPr>
          <w:p w14:paraId="5A2C1E0E"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-9.5</w:t>
            </w:r>
          </w:p>
        </w:tc>
      </w:tr>
      <w:tr w:rsidR="00BE3C2C" w:rsidRPr="00E25CD8" w14:paraId="0D982565" w14:textId="77777777" w:rsidTr="00340052">
        <w:trPr>
          <w:trHeight w:val="144"/>
        </w:trPr>
        <w:tc>
          <w:tcPr>
            <w:tcW w:w="2132" w:type="pct"/>
            <w:tcBorders>
              <w:bottom w:val="single" w:sz="4" w:space="0" w:color="auto"/>
            </w:tcBorders>
            <w:shd w:val="clear" w:color="auto" w:fill="auto"/>
            <w:noWrap/>
            <w:vAlign w:val="bottom"/>
          </w:tcPr>
          <w:p w14:paraId="6A47F744"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Transportation</w:t>
            </w:r>
          </w:p>
        </w:tc>
        <w:tc>
          <w:tcPr>
            <w:tcW w:w="1131" w:type="pct"/>
            <w:tcBorders>
              <w:bottom w:val="single" w:sz="4" w:space="0" w:color="auto"/>
            </w:tcBorders>
            <w:shd w:val="clear" w:color="auto" w:fill="auto"/>
            <w:noWrap/>
            <w:vAlign w:val="center"/>
          </w:tcPr>
          <w:p w14:paraId="65E5D0EE"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11.1</w:t>
            </w:r>
          </w:p>
        </w:tc>
        <w:tc>
          <w:tcPr>
            <w:tcW w:w="1737" w:type="pct"/>
            <w:tcBorders>
              <w:bottom w:val="single" w:sz="4" w:space="0" w:color="auto"/>
            </w:tcBorders>
            <w:shd w:val="clear" w:color="auto" w:fill="auto"/>
            <w:noWrap/>
            <w:vAlign w:val="center"/>
          </w:tcPr>
          <w:p w14:paraId="3C8D2383"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-3.6</w:t>
            </w:r>
          </w:p>
        </w:tc>
      </w:tr>
      <w:tr w:rsidR="00BE3C2C" w:rsidRPr="00E25CD8" w14:paraId="494D5A4C" w14:textId="77777777" w:rsidTr="00340052">
        <w:trPr>
          <w:trHeight w:val="144"/>
        </w:trPr>
        <w:tc>
          <w:tcPr>
            <w:tcW w:w="2132" w:type="pct"/>
            <w:tcBorders>
              <w:top w:val="single" w:sz="4" w:space="0" w:color="auto"/>
              <w:bottom w:val="single" w:sz="4" w:space="0" w:color="auto"/>
            </w:tcBorders>
            <w:shd w:val="clear" w:color="auto" w:fill="auto"/>
            <w:noWrap/>
            <w:vAlign w:val="bottom"/>
          </w:tcPr>
          <w:p w14:paraId="20DF4E23" w14:textId="77777777" w:rsidR="00BE3C2C" w:rsidRPr="001845F3" w:rsidRDefault="00BE3C2C" w:rsidP="00D727BF">
            <w:pPr>
              <w:tabs>
                <w:tab w:val="left" w:pos="720"/>
              </w:tabs>
              <w:spacing w:after="0"/>
              <w:rPr>
                <w:rFonts w:cs="Times New Roman"/>
                <w:color w:val="000000"/>
                <w:sz w:val="20"/>
                <w:szCs w:val="20"/>
              </w:rPr>
            </w:pPr>
          </w:p>
        </w:tc>
        <w:tc>
          <w:tcPr>
            <w:tcW w:w="1131" w:type="pct"/>
            <w:tcBorders>
              <w:top w:val="single" w:sz="4" w:space="0" w:color="auto"/>
              <w:bottom w:val="single" w:sz="4" w:space="0" w:color="auto"/>
            </w:tcBorders>
            <w:shd w:val="clear" w:color="auto" w:fill="auto"/>
            <w:noWrap/>
            <w:vAlign w:val="center"/>
          </w:tcPr>
          <w:p w14:paraId="31C56244" w14:textId="77777777" w:rsidR="00BE3C2C" w:rsidRPr="001845F3" w:rsidRDefault="00BE3C2C" w:rsidP="00D727BF">
            <w:pPr>
              <w:tabs>
                <w:tab w:val="left" w:pos="720"/>
              </w:tabs>
              <w:spacing w:after="0"/>
              <w:jc w:val="center"/>
              <w:rPr>
                <w:rFonts w:cs="Times New Roman"/>
                <w:color w:val="000000"/>
                <w:sz w:val="20"/>
                <w:szCs w:val="20"/>
              </w:rPr>
            </w:pPr>
          </w:p>
        </w:tc>
        <w:tc>
          <w:tcPr>
            <w:tcW w:w="1737" w:type="pct"/>
            <w:tcBorders>
              <w:top w:val="single" w:sz="4" w:space="0" w:color="auto"/>
              <w:bottom w:val="single" w:sz="4" w:space="0" w:color="auto"/>
            </w:tcBorders>
            <w:shd w:val="clear" w:color="auto" w:fill="auto"/>
            <w:noWrap/>
            <w:vAlign w:val="center"/>
          </w:tcPr>
          <w:p w14:paraId="7C57A477" w14:textId="77777777" w:rsidR="00BE3C2C" w:rsidRPr="001845F3" w:rsidRDefault="00BE3C2C" w:rsidP="00D727BF">
            <w:pPr>
              <w:tabs>
                <w:tab w:val="left" w:pos="720"/>
              </w:tabs>
              <w:spacing w:after="0"/>
              <w:jc w:val="center"/>
              <w:rPr>
                <w:rFonts w:cs="Times New Roman"/>
                <w:color w:val="000000"/>
                <w:sz w:val="20"/>
                <w:szCs w:val="20"/>
              </w:rPr>
            </w:pPr>
          </w:p>
        </w:tc>
      </w:tr>
      <w:tr w:rsidR="00BE3C2C" w:rsidRPr="00E25CD8" w14:paraId="33B56AFC" w14:textId="77777777" w:rsidTr="00340052">
        <w:trPr>
          <w:trHeight w:val="144"/>
        </w:trPr>
        <w:tc>
          <w:tcPr>
            <w:tcW w:w="2132" w:type="pct"/>
            <w:tcBorders>
              <w:top w:val="single" w:sz="4" w:space="0" w:color="auto"/>
            </w:tcBorders>
            <w:shd w:val="clear" w:color="auto" w:fill="auto"/>
            <w:noWrap/>
            <w:vAlign w:val="bottom"/>
          </w:tcPr>
          <w:p w14:paraId="378DF332" w14:textId="2F1766C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Small (5</w:t>
            </w:r>
            <w:r w:rsidR="003E2A23">
              <w:rPr>
                <w:rFonts w:ascii="Calibri" w:hAnsi="Calibri" w:cs="Times New Roman"/>
                <w:color w:val="000000"/>
                <w:sz w:val="20"/>
                <w:szCs w:val="20"/>
              </w:rPr>
              <w:t>‒</w:t>
            </w:r>
            <w:r w:rsidR="003E2A23">
              <w:rPr>
                <w:rFonts w:cs="Times New Roman"/>
                <w:color w:val="000000"/>
                <w:sz w:val="20"/>
                <w:szCs w:val="20"/>
              </w:rPr>
              <w:t>1</w:t>
            </w:r>
            <w:r w:rsidRPr="001845F3">
              <w:rPr>
                <w:rFonts w:cs="Times New Roman"/>
                <w:color w:val="000000"/>
                <w:sz w:val="20"/>
                <w:szCs w:val="20"/>
              </w:rPr>
              <w:t>9 workers)</w:t>
            </w:r>
          </w:p>
        </w:tc>
        <w:tc>
          <w:tcPr>
            <w:tcW w:w="1131" w:type="pct"/>
            <w:tcBorders>
              <w:top w:val="single" w:sz="4" w:space="0" w:color="auto"/>
            </w:tcBorders>
            <w:shd w:val="clear" w:color="auto" w:fill="auto"/>
            <w:noWrap/>
            <w:vAlign w:val="center"/>
          </w:tcPr>
          <w:p w14:paraId="5BB799FB"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12.6</w:t>
            </w:r>
          </w:p>
        </w:tc>
        <w:tc>
          <w:tcPr>
            <w:tcW w:w="1737" w:type="pct"/>
            <w:tcBorders>
              <w:top w:val="single" w:sz="4" w:space="0" w:color="auto"/>
            </w:tcBorders>
            <w:shd w:val="clear" w:color="auto" w:fill="auto"/>
            <w:noWrap/>
            <w:vAlign w:val="center"/>
          </w:tcPr>
          <w:p w14:paraId="2D9B23B4"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-4.4</w:t>
            </w:r>
          </w:p>
        </w:tc>
      </w:tr>
      <w:tr w:rsidR="00BE3C2C" w:rsidRPr="00E25CD8" w14:paraId="03091500" w14:textId="77777777" w:rsidTr="00340052">
        <w:trPr>
          <w:trHeight w:val="144"/>
        </w:trPr>
        <w:tc>
          <w:tcPr>
            <w:tcW w:w="2132" w:type="pct"/>
            <w:shd w:val="clear" w:color="auto" w:fill="auto"/>
            <w:noWrap/>
            <w:vAlign w:val="bottom"/>
          </w:tcPr>
          <w:p w14:paraId="51D62109" w14:textId="2FCE9E69"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Medium (20</w:t>
            </w:r>
            <w:r w:rsidR="003E2A23">
              <w:rPr>
                <w:rFonts w:ascii="Calibri" w:hAnsi="Calibri" w:cs="Times New Roman"/>
                <w:color w:val="000000"/>
                <w:sz w:val="20"/>
                <w:szCs w:val="20"/>
              </w:rPr>
              <w:t>‒</w:t>
            </w:r>
            <w:r w:rsidRPr="001845F3">
              <w:rPr>
                <w:rFonts w:cs="Times New Roman"/>
                <w:color w:val="000000"/>
                <w:sz w:val="20"/>
                <w:szCs w:val="20"/>
              </w:rPr>
              <w:t>99 workers)</w:t>
            </w:r>
          </w:p>
        </w:tc>
        <w:tc>
          <w:tcPr>
            <w:tcW w:w="1131" w:type="pct"/>
            <w:shd w:val="clear" w:color="auto" w:fill="auto"/>
            <w:noWrap/>
            <w:vAlign w:val="center"/>
          </w:tcPr>
          <w:p w14:paraId="1EBE27CB"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-4.7</w:t>
            </w:r>
          </w:p>
        </w:tc>
        <w:tc>
          <w:tcPr>
            <w:tcW w:w="1737" w:type="pct"/>
            <w:shd w:val="clear" w:color="auto" w:fill="auto"/>
            <w:noWrap/>
            <w:vAlign w:val="center"/>
          </w:tcPr>
          <w:p w14:paraId="00096234"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-16.9</w:t>
            </w:r>
          </w:p>
        </w:tc>
      </w:tr>
      <w:tr w:rsidR="00BE3C2C" w:rsidRPr="00E25CD8" w14:paraId="25AA0C69" w14:textId="77777777" w:rsidTr="00340052">
        <w:trPr>
          <w:trHeight w:val="144"/>
        </w:trPr>
        <w:tc>
          <w:tcPr>
            <w:tcW w:w="2132" w:type="pct"/>
            <w:tcBorders>
              <w:bottom w:val="single" w:sz="4" w:space="0" w:color="auto"/>
            </w:tcBorders>
            <w:shd w:val="clear" w:color="auto" w:fill="auto"/>
            <w:noWrap/>
            <w:vAlign w:val="bottom"/>
          </w:tcPr>
          <w:p w14:paraId="0E7745A5"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Large (100+ workers)</w:t>
            </w:r>
          </w:p>
        </w:tc>
        <w:tc>
          <w:tcPr>
            <w:tcW w:w="1131" w:type="pct"/>
            <w:tcBorders>
              <w:bottom w:val="single" w:sz="4" w:space="0" w:color="auto"/>
            </w:tcBorders>
            <w:shd w:val="clear" w:color="auto" w:fill="auto"/>
            <w:noWrap/>
            <w:vAlign w:val="center"/>
          </w:tcPr>
          <w:p w14:paraId="10B78542"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-10.1</w:t>
            </w:r>
          </w:p>
        </w:tc>
        <w:tc>
          <w:tcPr>
            <w:tcW w:w="1737" w:type="pct"/>
            <w:tcBorders>
              <w:bottom w:val="single" w:sz="4" w:space="0" w:color="auto"/>
            </w:tcBorders>
            <w:shd w:val="clear" w:color="auto" w:fill="auto"/>
            <w:noWrap/>
            <w:vAlign w:val="center"/>
          </w:tcPr>
          <w:p w14:paraId="6B7FECBD"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-38.4</w:t>
            </w:r>
          </w:p>
        </w:tc>
      </w:tr>
      <w:tr w:rsidR="00BE3C2C" w:rsidRPr="00E25CD8" w14:paraId="17AB0AF2" w14:textId="77777777" w:rsidTr="00340052">
        <w:trPr>
          <w:trHeight w:val="144"/>
        </w:trPr>
        <w:tc>
          <w:tcPr>
            <w:tcW w:w="2132" w:type="pct"/>
            <w:tcBorders>
              <w:top w:val="single" w:sz="4" w:space="0" w:color="auto"/>
              <w:bottom w:val="single" w:sz="4" w:space="0" w:color="auto"/>
            </w:tcBorders>
            <w:shd w:val="clear" w:color="auto" w:fill="auto"/>
            <w:noWrap/>
            <w:vAlign w:val="bottom"/>
          </w:tcPr>
          <w:p w14:paraId="07AAE241" w14:textId="77777777" w:rsidR="00BE3C2C" w:rsidRPr="001845F3" w:rsidRDefault="00BE3C2C" w:rsidP="00D727BF">
            <w:pPr>
              <w:tabs>
                <w:tab w:val="left" w:pos="720"/>
              </w:tabs>
              <w:spacing w:after="0"/>
              <w:rPr>
                <w:rFonts w:cs="Times New Roman"/>
                <w:color w:val="000000"/>
                <w:sz w:val="20"/>
                <w:szCs w:val="20"/>
              </w:rPr>
            </w:pPr>
          </w:p>
        </w:tc>
        <w:tc>
          <w:tcPr>
            <w:tcW w:w="1131" w:type="pct"/>
            <w:tcBorders>
              <w:top w:val="single" w:sz="4" w:space="0" w:color="auto"/>
              <w:bottom w:val="single" w:sz="4" w:space="0" w:color="auto"/>
            </w:tcBorders>
            <w:shd w:val="clear" w:color="auto" w:fill="auto"/>
            <w:noWrap/>
            <w:vAlign w:val="center"/>
          </w:tcPr>
          <w:p w14:paraId="41B67D61" w14:textId="77777777" w:rsidR="00BE3C2C" w:rsidRPr="001845F3" w:rsidRDefault="00BE3C2C" w:rsidP="00D727BF">
            <w:pPr>
              <w:tabs>
                <w:tab w:val="left" w:pos="720"/>
              </w:tabs>
              <w:spacing w:after="0"/>
              <w:jc w:val="center"/>
              <w:rPr>
                <w:rFonts w:cs="Times New Roman"/>
                <w:color w:val="000000"/>
                <w:sz w:val="20"/>
                <w:szCs w:val="20"/>
              </w:rPr>
            </w:pPr>
          </w:p>
        </w:tc>
        <w:tc>
          <w:tcPr>
            <w:tcW w:w="1737" w:type="pct"/>
            <w:tcBorders>
              <w:top w:val="single" w:sz="4" w:space="0" w:color="auto"/>
              <w:bottom w:val="single" w:sz="4" w:space="0" w:color="auto"/>
            </w:tcBorders>
            <w:shd w:val="clear" w:color="auto" w:fill="auto"/>
            <w:noWrap/>
            <w:vAlign w:val="center"/>
          </w:tcPr>
          <w:p w14:paraId="10F4BAB2" w14:textId="77777777" w:rsidR="00BE3C2C" w:rsidRPr="001845F3" w:rsidRDefault="00BE3C2C" w:rsidP="00D727BF">
            <w:pPr>
              <w:tabs>
                <w:tab w:val="left" w:pos="720"/>
              </w:tabs>
              <w:spacing w:after="0"/>
              <w:jc w:val="center"/>
              <w:rPr>
                <w:rFonts w:cs="Times New Roman"/>
                <w:color w:val="000000"/>
                <w:sz w:val="20"/>
                <w:szCs w:val="20"/>
              </w:rPr>
            </w:pPr>
          </w:p>
        </w:tc>
      </w:tr>
      <w:tr w:rsidR="00BE3C2C" w:rsidRPr="00E25CD8" w14:paraId="02C6F13B" w14:textId="77777777" w:rsidTr="00340052">
        <w:trPr>
          <w:trHeight w:val="144"/>
        </w:trPr>
        <w:tc>
          <w:tcPr>
            <w:tcW w:w="2132" w:type="pct"/>
            <w:tcBorders>
              <w:top w:val="single" w:sz="4" w:space="0" w:color="auto"/>
            </w:tcBorders>
            <w:shd w:val="clear" w:color="auto" w:fill="auto"/>
            <w:noWrap/>
            <w:vAlign w:val="bottom"/>
          </w:tcPr>
          <w:p w14:paraId="17CF95F2"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Exporters</w:t>
            </w:r>
          </w:p>
        </w:tc>
        <w:tc>
          <w:tcPr>
            <w:tcW w:w="1131" w:type="pct"/>
            <w:tcBorders>
              <w:top w:val="single" w:sz="4" w:space="0" w:color="auto"/>
            </w:tcBorders>
            <w:shd w:val="clear" w:color="auto" w:fill="auto"/>
            <w:noWrap/>
            <w:vAlign w:val="center"/>
          </w:tcPr>
          <w:p w14:paraId="11B828F4"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11.4</w:t>
            </w:r>
          </w:p>
        </w:tc>
        <w:tc>
          <w:tcPr>
            <w:tcW w:w="1737" w:type="pct"/>
            <w:tcBorders>
              <w:top w:val="single" w:sz="4" w:space="0" w:color="auto"/>
            </w:tcBorders>
            <w:shd w:val="clear" w:color="auto" w:fill="auto"/>
            <w:noWrap/>
            <w:vAlign w:val="center"/>
          </w:tcPr>
          <w:p w14:paraId="6107C96B"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0.9</w:t>
            </w:r>
          </w:p>
        </w:tc>
      </w:tr>
      <w:tr w:rsidR="00BE3C2C" w:rsidRPr="00E25CD8" w14:paraId="1AEF0472" w14:textId="77777777" w:rsidTr="00340052">
        <w:trPr>
          <w:trHeight w:val="144"/>
        </w:trPr>
        <w:tc>
          <w:tcPr>
            <w:tcW w:w="2132" w:type="pct"/>
            <w:tcBorders>
              <w:bottom w:val="single" w:sz="4" w:space="0" w:color="auto"/>
            </w:tcBorders>
            <w:shd w:val="clear" w:color="auto" w:fill="auto"/>
            <w:noWrap/>
            <w:vAlign w:val="bottom"/>
          </w:tcPr>
          <w:p w14:paraId="2521125E" w14:textId="249FEBE0"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Nonexporters</w:t>
            </w:r>
          </w:p>
        </w:tc>
        <w:tc>
          <w:tcPr>
            <w:tcW w:w="1131" w:type="pct"/>
            <w:tcBorders>
              <w:bottom w:val="single" w:sz="4" w:space="0" w:color="auto"/>
            </w:tcBorders>
            <w:shd w:val="clear" w:color="auto" w:fill="auto"/>
            <w:noWrap/>
            <w:vAlign w:val="center"/>
          </w:tcPr>
          <w:p w14:paraId="00CA60E5"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9.9</w:t>
            </w:r>
          </w:p>
        </w:tc>
        <w:tc>
          <w:tcPr>
            <w:tcW w:w="1737" w:type="pct"/>
            <w:tcBorders>
              <w:bottom w:val="single" w:sz="4" w:space="0" w:color="auto"/>
            </w:tcBorders>
            <w:shd w:val="clear" w:color="auto" w:fill="auto"/>
            <w:noWrap/>
            <w:vAlign w:val="center"/>
          </w:tcPr>
          <w:p w14:paraId="6EF3D2E8"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-12.1</w:t>
            </w:r>
          </w:p>
        </w:tc>
      </w:tr>
      <w:tr w:rsidR="00BE3C2C" w:rsidRPr="00E25CD8" w14:paraId="00D6D9FF" w14:textId="77777777" w:rsidTr="00340052">
        <w:trPr>
          <w:trHeight w:val="144"/>
        </w:trPr>
        <w:tc>
          <w:tcPr>
            <w:tcW w:w="2132" w:type="pct"/>
            <w:tcBorders>
              <w:top w:val="single" w:sz="4" w:space="0" w:color="auto"/>
              <w:bottom w:val="single" w:sz="4" w:space="0" w:color="auto"/>
            </w:tcBorders>
            <w:shd w:val="clear" w:color="auto" w:fill="auto"/>
            <w:noWrap/>
            <w:vAlign w:val="bottom"/>
          </w:tcPr>
          <w:p w14:paraId="5E8A59A9" w14:textId="77777777" w:rsidR="00BE3C2C" w:rsidRPr="001845F3" w:rsidRDefault="00BE3C2C" w:rsidP="00D727BF">
            <w:pPr>
              <w:tabs>
                <w:tab w:val="left" w:pos="720"/>
              </w:tabs>
              <w:spacing w:after="0"/>
              <w:rPr>
                <w:rFonts w:cs="Times New Roman"/>
                <w:color w:val="000000"/>
                <w:sz w:val="20"/>
                <w:szCs w:val="20"/>
              </w:rPr>
            </w:pPr>
          </w:p>
        </w:tc>
        <w:tc>
          <w:tcPr>
            <w:tcW w:w="1131" w:type="pct"/>
            <w:tcBorders>
              <w:top w:val="single" w:sz="4" w:space="0" w:color="auto"/>
              <w:bottom w:val="single" w:sz="4" w:space="0" w:color="auto"/>
            </w:tcBorders>
            <w:shd w:val="clear" w:color="auto" w:fill="auto"/>
            <w:noWrap/>
            <w:vAlign w:val="center"/>
          </w:tcPr>
          <w:p w14:paraId="7C9E96D6" w14:textId="77777777" w:rsidR="00BE3C2C" w:rsidRPr="001845F3" w:rsidRDefault="00BE3C2C" w:rsidP="00D727BF">
            <w:pPr>
              <w:tabs>
                <w:tab w:val="left" w:pos="720"/>
              </w:tabs>
              <w:spacing w:after="0"/>
              <w:jc w:val="center"/>
              <w:rPr>
                <w:rFonts w:cs="Times New Roman"/>
                <w:color w:val="000000"/>
                <w:sz w:val="20"/>
                <w:szCs w:val="20"/>
              </w:rPr>
            </w:pPr>
          </w:p>
        </w:tc>
        <w:tc>
          <w:tcPr>
            <w:tcW w:w="1737" w:type="pct"/>
            <w:tcBorders>
              <w:top w:val="single" w:sz="4" w:space="0" w:color="auto"/>
              <w:bottom w:val="single" w:sz="4" w:space="0" w:color="auto"/>
            </w:tcBorders>
            <w:shd w:val="clear" w:color="auto" w:fill="auto"/>
            <w:noWrap/>
            <w:vAlign w:val="center"/>
          </w:tcPr>
          <w:p w14:paraId="6B0D85E7" w14:textId="77777777" w:rsidR="00BE3C2C" w:rsidRPr="001845F3" w:rsidRDefault="00BE3C2C" w:rsidP="00D727BF">
            <w:pPr>
              <w:tabs>
                <w:tab w:val="left" w:pos="720"/>
              </w:tabs>
              <w:spacing w:after="0"/>
              <w:jc w:val="center"/>
              <w:rPr>
                <w:rFonts w:cs="Times New Roman"/>
                <w:color w:val="000000"/>
                <w:sz w:val="20"/>
                <w:szCs w:val="20"/>
              </w:rPr>
            </w:pPr>
          </w:p>
        </w:tc>
      </w:tr>
      <w:tr w:rsidR="00BE3C2C" w:rsidRPr="00E25CD8" w14:paraId="5D39DE5D" w14:textId="77777777" w:rsidTr="00340052">
        <w:trPr>
          <w:trHeight w:val="144"/>
        </w:trPr>
        <w:tc>
          <w:tcPr>
            <w:tcW w:w="2132" w:type="pct"/>
            <w:tcBorders>
              <w:top w:val="single" w:sz="4" w:space="0" w:color="auto"/>
            </w:tcBorders>
            <w:shd w:val="clear" w:color="auto" w:fill="auto"/>
            <w:noWrap/>
            <w:vAlign w:val="bottom"/>
          </w:tcPr>
          <w:p w14:paraId="4D75AE7A" w14:textId="2628C00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Foreign</w:t>
            </w:r>
            <w:r w:rsidR="003E2A23">
              <w:rPr>
                <w:rFonts w:cs="Times New Roman"/>
                <w:color w:val="000000"/>
                <w:sz w:val="20"/>
                <w:szCs w:val="20"/>
              </w:rPr>
              <w:t xml:space="preserve"> </w:t>
            </w:r>
            <w:r w:rsidRPr="001845F3">
              <w:rPr>
                <w:rFonts w:cs="Times New Roman"/>
                <w:color w:val="000000"/>
                <w:sz w:val="20"/>
                <w:szCs w:val="20"/>
              </w:rPr>
              <w:t>owned</w:t>
            </w:r>
          </w:p>
        </w:tc>
        <w:tc>
          <w:tcPr>
            <w:tcW w:w="1131" w:type="pct"/>
            <w:tcBorders>
              <w:top w:val="single" w:sz="4" w:space="0" w:color="auto"/>
            </w:tcBorders>
            <w:shd w:val="clear" w:color="auto" w:fill="auto"/>
            <w:noWrap/>
            <w:vAlign w:val="center"/>
          </w:tcPr>
          <w:p w14:paraId="36B369EB"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1.0</w:t>
            </w:r>
          </w:p>
        </w:tc>
        <w:tc>
          <w:tcPr>
            <w:tcW w:w="1737" w:type="pct"/>
            <w:tcBorders>
              <w:top w:val="single" w:sz="4" w:space="0" w:color="auto"/>
            </w:tcBorders>
            <w:shd w:val="clear" w:color="auto" w:fill="auto"/>
            <w:noWrap/>
            <w:vAlign w:val="center"/>
          </w:tcPr>
          <w:p w14:paraId="1BF33B62"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-34.8</w:t>
            </w:r>
          </w:p>
        </w:tc>
      </w:tr>
      <w:tr w:rsidR="00BE3C2C" w:rsidRPr="00E25CD8" w14:paraId="6B98D58A" w14:textId="77777777" w:rsidTr="00340052">
        <w:trPr>
          <w:trHeight w:val="144"/>
        </w:trPr>
        <w:tc>
          <w:tcPr>
            <w:tcW w:w="2132" w:type="pct"/>
            <w:tcBorders>
              <w:bottom w:val="single" w:sz="4" w:space="0" w:color="auto"/>
            </w:tcBorders>
            <w:shd w:val="clear" w:color="auto" w:fill="auto"/>
            <w:noWrap/>
            <w:vAlign w:val="bottom"/>
          </w:tcPr>
          <w:p w14:paraId="101485BB" w14:textId="77777777" w:rsidR="00BE3C2C" w:rsidRPr="001845F3" w:rsidRDefault="00BE3C2C" w:rsidP="00D727BF">
            <w:pPr>
              <w:tabs>
                <w:tab w:val="left" w:pos="720"/>
              </w:tabs>
              <w:spacing w:after="0"/>
              <w:rPr>
                <w:rFonts w:cs="Times New Roman"/>
                <w:color w:val="000000"/>
                <w:sz w:val="20"/>
                <w:szCs w:val="20"/>
              </w:rPr>
            </w:pPr>
            <w:r w:rsidRPr="001845F3">
              <w:rPr>
                <w:rFonts w:cs="Times New Roman"/>
                <w:color w:val="000000"/>
                <w:sz w:val="20"/>
                <w:szCs w:val="20"/>
              </w:rPr>
              <w:t>Domestic</w:t>
            </w:r>
          </w:p>
        </w:tc>
        <w:tc>
          <w:tcPr>
            <w:tcW w:w="1131" w:type="pct"/>
            <w:tcBorders>
              <w:bottom w:val="single" w:sz="4" w:space="0" w:color="auto"/>
            </w:tcBorders>
            <w:shd w:val="clear" w:color="auto" w:fill="auto"/>
            <w:noWrap/>
            <w:vAlign w:val="center"/>
          </w:tcPr>
          <w:p w14:paraId="7E5B18A4"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9.8</w:t>
            </w:r>
          </w:p>
        </w:tc>
        <w:tc>
          <w:tcPr>
            <w:tcW w:w="1737" w:type="pct"/>
            <w:tcBorders>
              <w:bottom w:val="single" w:sz="4" w:space="0" w:color="auto"/>
            </w:tcBorders>
            <w:shd w:val="clear" w:color="auto" w:fill="auto"/>
            <w:noWrap/>
            <w:vAlign w:val="center"/>
          </w:tcPr>
          <w:p w14:paraId="07CD5740" w14:textId="77777777" w:rsidR="00BE3C2C" w:rsidRPr="001845F3" w:rsidRDefault="00BE3C2C" w:rsidP="00D727BF">
            <w:pPr>
              <w:tabs>
                <w:tab w:val="left" w:pos="720"/>
              </w:tabs>
              <w:spacing w:after="0"/>
              <w:jc w:val="center"/>
              <w:rPr>
                <w:rFonts w:cs="Times New Roman"/>
                <w:color w:val="000000"/>
                <w:sz w:val="20"/>
                <w:szCs w:val="20"/>
              </w:rPr>
            </w:pPr>
            <w:r w:rsidRPr="001845F3">
              <w:rPr>
                <w:rFonts w:cs="Times New Roman"/>
                <w:color w:val="000000"/>
                <w:sz w:val="20"/>
                <w:szCs w:val="20"/>
              </w:rPr>
              <w:t>-2.0</w:t>
            </w:r>
          </w:p>
        </w:tc>
      </w:tr>
    </w:tbl>
    <w:p w14:paraId="6144FE2D" w14:textId="02B73E13" w:rsidR="00BE3C2C" w:rsidRPr="001845F3" w:rsidRDefault="00BE3C2C" w:rsidP="00D727BF">
      <w:pPr>
        <w:pStyle w:val="ParagraphNumbering"/>
        <w:numPr>
          <w:ilvl w:val="0"/>
          <w:numId w:val="0"/>
        </w:numPr>
        <w:tabs>
          <w:tab w:val="left" w:pos="720"/>
        </w:tabs>
        <w:spacing w:before="120"/>
        <w:rPr>
          <w:sz w:val="18"/>
          <w:szCs w:val="18"/>
        </w:rPr>
      </w:pPr>
      <w:r w:rsidRPr="001845F3">
        <w:rPr>
          <w:sz w:val="18"/>
          <w:szCs w:val="18"/>
        </w:rPr>
        <w:t>Source:</w:t>
      </w:r>
      <w:r w:rsidR="005F06ED" w:rsidRPr="001845F3">
        <w:rPr>
          <w:sz w:val="18"/>
          <w:szCs w:val="18"/>
        </w:rPr>
        <w:t xml:space="preserve"> </w:t>
      </w:r>
      <w:r w:rsidRPr="001845F3">
        <w:rPr>
          <w:sz w:val="18"/>
          <w:szCs w:val="18"/>
        </w:rPr>
        <w:t xml:space="preserve">Authors calculation based on data from World Bank </w:t>
      </w:r>
      <w:r w:rsidR="00C32950">
        <w:rPr>
          <w:sz w:val="18"/>
          <w:szCs w:val="18"/>
        </w:rPr>
        <w:t>enterprise surveys</w:t>
      </w:r>
    </w:p>
    <w:p w14:paraId="2ED7E5AE" w14:textId="45C6ABED" w:rsidR="00BE3C2C" w:rsidRDefault="00BE3C2C" w:rsidP="00D727BF">
      <w:pPr>
        <w:pStyle w:val="ParagraphNumbering"/>
        <w:numPr>
          <w:ilvl w:val="0"/>
          <w:numId w:val="0"/>
        </w:numPr>
        <w:tabs>
          <w:tab w:val="left" w:pos="720"/>
        </w:tabs>
        <w:spacing w:after="0"/>
        <w:rPr>
          <w:sz w:val="18"/>
          <w:szCs w:val="18"/>
        </w:rPr>
      </w:pPr>
      <w:r w:rsidRPr="001845F3">
        <w:rPr>
          <w:sz w:val="18"/>
          <w:szCs w:val="18"/>
        </w:rPr>
        <w:t>Note:</w:t>
      </w:r>
      <w:r w:rsidR="005F06ED" w:rsidRPr="001845F3">
        <w:rPr>
          <w:sz w:val="18"/>
          <w:szCs w:val="18"/>
        </w:rPr>
        <w:t xml:space="preserve"> </w:t>
      </w:r>
      <w:r w:rsidRPr="001845F3">
        <w:rPr>
          <w:sz w:val="18"/>
          <w:szCs w:val="18"/>
        </w:rPr>
        <w:t>Size categories are based on number of workers in 2011 (initial size).</w:t>
      </w:r>
      <w:r w:rsidR="005F06ED" w:rsidRPr="001845F3">
        <w:rPr>
          <w:sz w:val="18"/>
          <w:szCs w:val="18"/>
        </w:rPr>
        <w:t xml:space="preserve"> </w:t>
      </w:r>
      <w:r w:rsidRPr="001845F3">
        <w:rPr>
          <w:sz w:val="18"/>
          <w:szCs w:val="18"/>
        </w:rPr>
        <w:t xml:space="preserve">Sectors and groups with fewer than </w:t>
      </w:r>
      <w:r w:rsidR="003E2A23">
        <w:rPr>
          <w:sz w:val="18"/>
          <w:szCs w:val="18"/>
        </w:rPr>
        <w:t>fifty</w:t>
      </w:r>
      <w:r w:rsidRPr="001845F3">
        <w:rPr>
          <w:sz w:val="18"/>
          <w:szCs w:val="18"/>
        </w:rPr>
        <w:t xml:space="preserve"> observations are omitted from table.</w:t>
      </w:r>
      <w:r w:rsidR="00205F4E" w:rsidRPr="001845F3">
        <w:rPr>
          <w:sz w:val="18"/>
          <w:szCs w:val="18"/>
        </w:rPr>
        <w:t xml:space="preserve"> The numbers presented in this </w:t>
      </w:r>
      <w:r w:rsidR="003E2A23">
        <w:rPr>
          <w:sz w:val="18"/>
          <w:szCs w:val="18"/>
        </w:rPr>
        <w:t>t</w:t>
      </w:r>
      <w:r w:rsidR="00205F4E" w:rsidRPr="001845F3">
        <w:rPr>
          <w:sz w:val="18"/>
          <w:szCs w:val="18"/>
        </w:rPr>
        <w:t>able are for all firms for which the information is available.</w:t>
      </w:r>
    </w:p>
    <w:p w14:paraId="4AA7612D" w14:textId="77777777" w:rsidR="00175186" w:rsidRPr="001845F3" w:rsidRDefault="00175186" w:rsidP="00D727BF">
      <w:pPr>
        <w:pStyle w:val="ParagraphNumbering"/>
        <w:numPr>
          <w:ilvl w:val="0"/>
          <w:numId w:val="0"/>
        </w:numPr>
        <w:tabs>
          <w:tab w:val="left" w:pos="720"/>
        </w:tabs>
        <w:spacing w:after="0"/>
        <w:rPr>
          <w:sz w:val="18"/>
          <w:szCs w:val="18"/>
        </w:rPr>
      </w:pPr>
    </w:p>
    <w:p w14:paraId="3168B3BB" w14:textId="606194B6" w:rsidR="00365192" w:rsidRPr="001A6886" w:rsidRDefault="003E2A23" w:rsidP="00D727BF">
      <w:pPr>
        <w:pStyle w:val="ParagraphNumbering"/>
        <w:numPr>
          <w:ilvl w:val="0"/>
          <w:numId w:val="0"/>
        </w:numPr>
        <w:tabs>
          <w:tab w:val="left" w:pos="720"/>
        </w:tabs>
        <w:spacing w:after="0"/>
        <w:rPr>
          <w:b/>
        </w:rPr>
      </w:pPr>
      <w:bookmarkStart w:id="195" w:name="_Ref417994098"/>
      <w:r>
        <w:rPr>
          <w:b/>
        </w:rPr>
        <w:tab/>
      </w:r>
      <w:r w:rsidR="00365192" w:rsidRPr="000F6A00">
        <w:rPr>
          <w:b/>
        </w:rPr>
        <w:t>Electricity and corruption are problems throughout Nigeria</w:t>
      </w:r>
      <w:r w:rsidR="00F75F4F">
        <w:t>. T</w:t>
      </w:r>
      <w:r w:rsidR="00365192" w:rsidRPr="001A6886">
        <w:t>he</w:t>
      </w:r>
      <w:r w:rsidR="00F75F4F">
        <w:t>se constraints</w:t>
      </w:r>
      <w:r w:rsidR="00365192" w:rsidRPr="001A6886">
        <w:t xml:space="preserve"> rank among the top three in all </w:t>
      </w:r>
      <w:r>
        <w:t>n</w:t>
      </w:r>
      <w:r w:rsidR="00365192" w:rsidRPr="001A6886">
        <w:t xml:space="preserve">orthern and </w:t>
      </w:r>
      <w:r>
        <w:t>s</w:t>
      </w:r>
      <w:r w:rsidR="00365192" w:rsidRPr="001A6886">
        <w:t xml:space="preserve">outhern states (see </w:t>
      </w:r>
      <w:r w:rsidR="002B728F">
        <w:fldChar w:fldCharType="begin"/>
      </w:r>
      <w:r w:rsidR="002B728F">
        <w:instrText xml:space="preserve"> REF _Ref445131871 \h </w:instrText>
      </w:r>
      <w:r w:rsidR="002B728F">
        <w:fldChar w:fldCharType="separate"/>
      </w:r>
      <w:r>
        <w:t>f</w:t>
      </w:r>
      <w:r w:rsidR="008A3BBD" w:rsidRPr="00D15501">
        <w:t xml:space="preserve">igure </w:t>
      </w:r>
      <w:r w:rsidR="008A3BBD">
        <w:rPr>
          <w:noProof/>
        </w:rPr>
        <w:t>37</w:t>
      </w:r>
      <w:r w:rsidR="002B728F">
        <w:fldChar w:fldCharType="end"/>
      </w:r>
      <w:r w:rsidR="00365192" w:rsidRPr="001A6886">
        <w:t>).</w:t>
      </w:r>
      <w:r w:rsidR="00365192">
        <w:t xml:space="preserve"> </w:t>
      </w:r>
      <w:r w:rsidR="00365192" w:rsidRPr="001A6886">
        <w:t xml:space="preserve">There are, however, some differences among </w:t>
      </w:r>
      <w:r w:rsidR="004875A2">
        <w:t>regions</w:t>
      </w:r>
      <w:r w:rsidR="00365192" w:rsidRPr="001A6886">
        <w:t>.</w:t>
      </w:r>
      <w:r w:rsidR="00365192">
        <w:t xml:space="preserve"> </w:t>
      </w:r>
      <w:r w:rsidR="00365192" w:rsidRPr="001A6886">
        <w:t xml:space="preserve">Firms in the </w:t>
      </w:r>
      <w:r>
        <w:t>n</w:t>
      </w:r>
      <w:r w:rsidR="00365192" w:rsidRPr="001A6886">
        <w:t xml:space="preserve">orthern states rank political instability among the </w:t>
      </w:r>
      <w:r w:rsidR="00365192" w:rsidRPr="001A6886">
        <w:lastRenderedPageBreak/>
        <w:t>biggest constraints.</w:t>
      </w:r>
      <w:r w:rsidR="00365192">
        <w:t xml:space="preserve"> </w:t>
      </w:r>
      <w:r w:rsidR="00365192" w:rsidRPr="001A6886">
        <w:t xml:space="preserve">In Lagos, tax rates rank among the top constraints, and in other </w:t>
      </w:r>
      <w:r>
        <w:t>s</w:t>
      </w:r>
      <w:r w:rsidR="00365192" w:rsidRPr="001A6886">
        <w:t>outhern states, a top constraint is access to finance.</w:t>
      </w:r>
      <w:r w:rsidR="00365192">
        <w:t xml:space="preserve"> </w:t>
      </w:r>
    </w:p>
    <w:p w14:paraId="18C3D877" w14:textId="77777777" w:rsidR="00365192" w:rsidRPr="001845F3" w:rsidRDefault="00365192" w:rsidP="00D727BF">
      <w:pPr>
        <w:pStyle w:val="Caption"/>
        <w:tabs>
          <w:tab w:val="left" w:pos="720"/>
        </w:tabs>
        <w:rPr>
          <w:rFonts w:ascii="Times New Roman" w:hAnsi="Times New Roman"/>
          <w:b w:val="0"/>
          <w:sz w:val="24"/>
          <w:szCs w:val="24"/>
        </w:rPr>
      </w:pPr>
      <w:bookmarkStart w:id="196" w:name="_Ref429594063"/>
    </w:p>
    <w:p w14:paraId="2EE35777" w14:textId="4C7F71CA" w:rsidR="00340052" w:rsidRPr="00344CC4" w:rsidRDefault="00340052" w:rsidP="00D727BF">
      <w:pPr>
        <w:pStyle w:val="Caption"/>
        <w:tabs>
          <w:tab w:val="left" w:pos="720"/>
        </w:tabs>
        <w:jc w:val="center"/>
      </w:pPr>
      <w:bookmarkStart w:id="197" w:name="_Ref444422143"/>
      <w:bookmarkStart w:id="198" w:name="_Ref445131861"/>
      <w:bookmarkStart w:id="199" w:name="_Toc445449654"/>
      <w:r w:rsidRPr="00344CC4">
        <w:t xml:space="preserve">Figure </w:t>
      </w:r>
      <w:fldSimple w:instr=" SEQ Figure \* ARABIC ">
        <w:r w:rsidR="008A3BBD">
          <w:rPr>
            <w:noProof/>
          </w:rPr>
          <w:t>36</w:t>
        </w:r>
      </w:fldSimple>
      <w:bookmarkEnd w:id="195"/>
      <w:bookmarkEnd w:id="196"/>
      <w:bookmarkEnd w:id="197"/>
      <w:bookmarkEnd w:id="198"/>
      <w:r w:rsidRPr="00344CC4">
        <w:t>:</w:t>
      </w:r>
      <w:r>
        <w:t xml:space="preserve"> Percentage of Firms Citing a Major Obstacle in the Investment Climate</w:t>
      </w:r>
      <w:bookmarkEnd w:id="199"/>
      <w:r>
        <w:t xml:space="preserve"> </w:t>
      </w:r>
    </w:p>
    <w:p w14:paraId="629F4D11" w14:textId="77777777" w:rsidR="00340052" w:rsidRPr="006B4370" w:rsidRDefault="00340052" w:rsidP="00D727BF">
      <w:pPr>
        <w:pStyle w:val="Graph"/>
        <w:tabs>
          <w:tab w:val="left" w:pos="720"/>
        </w:tabs>
        <w:rPr>
          <w:rFonts w:ascii="Trebuchet MS" w:hAnsi="Trebuchet MS"/>
        </w:rPr>
      </w:pPr>
      <w:r w:rsidRPr="006B4370">
        <w:rPr>
          <w:rFonts w:ascii="Trebuchet MS" w:hAnsi="Trebuchet MS"/>
          <w:noProof/>
          <w:shd w:val="clear" w:color="auto" w:fill="F2F2F2" w:themeFill="background1" w:themeFillShade="F2"/>
        </w:rPr>
        <w:drawing>
          <wp:inline distT="0" distB="0" distL="0" distR="0" wp14:anchorId="53CC6A4B" wp14:editId="64169F74">
            <wp:extent cx="57912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45C610A" w14:textId="12176A78" w:rsidR="00340052" w:rsidRPr="001845F3" w:rsidRDefault="00340052" w:rsidP="00D727BF">
      <w:pPr>
        <w:keepNext/>
        <w:tabs>
          <w:tab w:val="left" w:pos="720"/>
        </w:tabs>
        <w:rPr>
          <w:rFonts w:cs="Times New Roman"/>
          <w:sz w:val="18"/>
          <w:szCs w:val="18"/>
        </w:rPr>
      </w:pPr>
      <w:r w:rsidRPr="001845F3">
        <w:rPr>
          <w:rFonts w:cs="Times New Roman"/>
          <w:sz w:val="18"/>
          <w:szCs w:val="18"/>
        </w:rPr>
        <w:t>Source: Authors</w:t>
      </w:r>
      <w:r w:rsidR="00863D16">
        <w:rPr>
          <w:rFonts w:cs="Times New Roman"/>
          <w:sz w:val="18"/>
          <w:szCs w:val="18"/>
        </w:rPr>
        <w:t>’</w:t>
      </w:r>
      <w:r w:rsidRPr="001845F3">
        <w:rPr>
          <w:rFonts w:cs="Times New Roman"/>
          <w:sz w:val="18"/>
          <w:szCs w:val="18"/>
        </w:rPr>
        <w:t xml:space="preserve"> calculations based on data from Enterprise Survey 2014</w:t>
      </w:r>
      <w:r w:rsidR="003E2A23">
        <w:rPr>
          <w:rFonts w:ascii="Calibri" w:hAnsi="Calibri" w:cs="Times New Roman"/>
          <w:sz w:val="18"/>
          <w:szCs w:val="18"/>
        </w:rPr>
        <w:t>‒</w:t>
      </w:r>
      <w:r w:rsidRPr="001845F3">
        <w:rPr>
          <w:rFonts w:cs="Times New Roman"/>
          <w:sz w:val="18"/>
          <w:szCs w:val="18"/>
        </w:rPr>
        <w:t>15</w:t>
      </w:r>
    </w:p>
    <w:p w14:paraId="1DEA4611" w14:textId="204C0DBE" w:rsidR="00340052" w:rsidRPr="00D15501" w:rsidRDefault="00340052" w:rsidP="00D727BF">
      <w:pPr>
        <w:pStyle w:val="Caption"/>
        <w:tabs>
          <w:tab w:val="left" w:pos="720"/>
        </w:tabs>
        <w:jc w:val="center"/>
      </w:pPr>
      <w:bookmarkStart w:id="200" w:name="_Ref418107851"/>
      <w:bookmarkStart w:id="201" w:name="_Ref445131871"/>
      <w:bookmarkStart w:id="202" w:name="_Toc445449655"/>
      <w:r w:rsidRPr="00D15501">
        <w:t xml:space="preserve">Figure </w:t>
      </w:r>
      <w:fldSimple w:instr=" SEQ Figure \* ARABIC ">
        <w:r w:rsidR="008A3BBD">
          <w:rPr>
            <w:noProof/>
          </w:rPr>
          <w:t>37</w:t>
        </w:r>
      </w:fldSimple>
      <w:bookmarkEnd w:id="200"/>
      <w:bookmarkEnd w:id="201"/>
      <w:r w:rsidRPr="00D15501">
        <w:t xml:space="preserve">: </w:t>
      </w:r>
      <w:r>
        <w:t>Percentage of Firms Citing Obstacles in Different Regions</w:t>
      </w:r>
      <w:bookmarkEnd w:id="202"/>
    </w:p>
    <w:p w14:paraId="3F8EAC27" w14:textId="77777777" w:rsidR="00340052" w:rsidRPr="00A926E2" w:rsidRDefault="00340052" w:rsidP="00D727BF">
      <w:pPr>
        <w:pStyle w:val="Graph"/>
        <w:tabs>
          <w:tab w:val="left" w:pos="720"/>
        </w:tabs>
      </w:pPr>
      <w:r>
        <w:rPr>
          <w:noProof/>
        </w:rPr>
        <w:drawing>
          <wp:inline distT="0" distB="0" distL="0" distR="0" wp14:anchorId="52F007AC" wp14:editId="5D6325DA">
            <wp:extent cx="5857875" cy="2667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F6F33ED" w14:textId="275C3F4F" w:rsidR="00340052" w:rsidRPr="001845F3" w:rsidRDefault="00340052" w:rsidP="00D727BF">
      <w:pPr>
        <w:keepNext/>
        <w:tabs>
          <w:tab w:val="left" w:pos="720"/>
        </w:tabs>
        <w:ind w:left="720"/>
        <w:rPr>
          <w:rFonts w:cs="Times New Roman"/>
          <w:sz w:val="18"/>
          <w:szCs w:val="18"/>
        </w:rPr>
      </w:pPr>
      <w:r w:rsidRPr="001845F3">
        <w:rPr>
          <w:rFonts w:cs="Times New Roman"/>
          <w:sz w:val="18"/>
          <w:szCs w:val="18"/>
        </w:rPr>
        <w:t>Source: Authors</w:t>
      </w:r>
      <w:r w:rsidR="00863D16">
        <w:rPr>
          <w:rFonts w:cs="Times New Roman"/>
          <w:sz w:val="18"/>
          <w:szCs w:val="18"/>
        </w:rPr>
        <w:t>’</w:t>
      </w:r>
      <w:r w:rsidRPr="001845F3">
        <w:rPr>
          <w:rFonts w:cs="Times New Roman"/>
          <w:sz w:val="18"/>
          <w:szCs w:val="18"/>
        </w:rPr>
        <w:t xml:space="preserve"> calculations based on data from Enterprise Survey 2014</w:t>
      </w:r>
      <w:r w:rsidR="003E2A23">
        <w:rPr>
          <w:rFonts w:ascii="Calibri" w:hAnsi="Calibri" w:cs="Times New Roman"/>
          <w:sz w:val="18"/>
          <w:szCs w:val="18"/>
        </w:rPr>
        <w:t>‒</w:t>
      </w:r>
      <w:r w:rsidRPr="001845F3">
        <w:rPr>
          <w:rFonts w:cs="Times New Roman"/>
          <w:sz w:val="18"/>
          <w:szCs w:val="18"/>
        </w:rPr>
        <w:t>15</w:t>
      </w:r>
    </w:p>
    <w:p w14:paraId="3E4FD3CF" w14:textId="1B73105A" w:rsidR="00340052" w:rsidRDefault="003E2A23" w:rsidP="00D727BF">
      <w:pPr>
        <w:pStyle w:val="ParagraphNumbering"/>
        <w:numPr>
          <w:ilvl w:val="0"/>
          <w:numId w:val="0"/>
        </w:numPr>
        <w:tabs>
          <w:tab w:val="left" w:pos="720"/>
        </w:tabs>
        <w:spacing w:after="0"/>
      </w:pPr>
      <w:bookmarkStart w:id="203" w:name="_Ref418452509"/>
      <w:r>
        <w:rPr>
          <w:b/>
        </w:rPr>
        <w:tab/>
      </w:r>
      <w:r w:rsidR="00340052" w:rsidRPr="000F6A00">
        <w:rPr>
          <w:b/>
        </w:rPr>
        <w:t>Firms of different sizes face different obstacles.</w:t>
      </w:r>
      <w:r w:rsidR="00340052">
        <w:rPr>
          <w:b/>
        </w:rPr>
        <w:t xml:space="preserve"> </w:t>
      </w:r>
      <w:r w:rsidR="00340052" w:rsidRPr="00D15501">
        <w:t xml:space="preserve">Electricity ranked among the top three constraints for </w:t>
      </w:r>
      <w:r w:rsidR="00340052">
        <w:t>firms of all sizes</w:t>
      </w:r>
      <w:r w:rsidR="00340052" w:rsidRPr="00D15501">
        <w:t xml:space="preserve"> (</w:t>
      </w:r>
      <w:r w:rsidR="002B728F">
        <w:fldChar w:fldCharType="begin"/>
      </w:r>
      <w:r w:rsidR="002B728F">
        <w:instrText xml:space="preserve"> REF _Ref445131887 \h </w:instrText>
      </w:r>
      <w:r w:rsidR="002B728F">
        <w:fldChar w:fldCharType="separate"/>
      </w:r>
      <w:r>
        <w:t>f</w:t>
      </w:r>
      <w:r w:rsidR="008A3BBD" w:rsidRPr="00D15501">
        <w:t xml:space="preserve">igure </w:t>
      </w:r>
      <w:r w:rsidR="008A3BBD">
        <w:rPr>
          <w:noProof/>
        </w:rPr>
        <w:t>38</w:t>
      </w:r>
      <w:r w:rsidR="002B728F">
        <w:fldChar w:fldCharType="end"/>
      </w:r>
      <w:r w:rsidR="00340052" w:rsidRPr="00D15501">
        <w:t xml:space="preserve">). </w:t>
      </w:r>
      <w:r w:rsidR="00340052">
        <w:t xml:space="preserve">However, small and medium firms tend to be more concerned about access to finance than larger firms, with about 30 percent of firms in both groups citing it as a major obstacle. In comparison, only about </w:t>
      </w:r>
      <w:r>
        <w:t xml:space="preserve">8 </w:t>
      </w:r>
      <w:r w:rsidR="00340052">
        <w:t xml:space="preserve">percent of large firms said that access to finance was a serious obstacle. This suggests that the banking and trade credit systems work well for large firms but serve small and medium firms far less well. In contrast, large firms </w:t>
      </w:r>
      <w:r w:rsidR="00340052">
        <w:lastRenderedPageBreak/>
        <w:t xml:space="preserve">were far more concerned than smaller firms about tax rates and tax administration, with 37 and 33 percent of large firms </w:t>
      </w:r>
      <w:r w:rsidR="00321280">
        <w:t>reporting these as top constraints</w:t>
      </w:r>
      <w:r w:rsidR="00340052">
        <w:t xml:space="preserve">. In comparison, fewer than 20 percent of small firms ranked tax rates and administration as serious obstacles. It is possible that small firms might be less concerned about tax rates and administration because they find it easier </w:t>
      </w:r>
      <w:r w:rsidR="00321280">
        <w:t xml:space="preserve">than large firms to </w:t>
      </w:r>
      <w:r w:rsidR="00340052">
        <w:t>evade tax</w:t>
      </w:r>
      <w:r w:rsidR="00321280">
        <w:t xml:space="preserve"> requirements</w:t>
      </w:r>
      <w:r w:rsidR="00340052">
        <w:t>.</w:t>
      </w:r>
    </w:p>
    <w:p w14:paraId="177D71A9" w14:textId="77777777" w:rsidR="00340052" w:rsidRPr="001845F3" w:rsidRDefault="00340052" w:rsidP="00D727BF">
      <w:pPr>
        <w:pStyle w:val="Caption"/>
        <w:tabs>
          <w:tab w:val="left" w:pos="720"/>
        </w:tabs>
        <w:rPr>
          <w:rFonts w:ascii="Times New Roman" w:hAnsi="Times New Roman"/>
          <w:b w:val="0"/>
          <w:sz w:val="24"/>
          <w:szCs w:val="24"/>
        </w:rPr>
      </w:pPr>
    </w:p>
    <w:p w14:paraId="427E227B" w14:textId="04867C48" w:rsidR="00340052" w:rsidRPr="00D15501" w:rsidRDefault="00340052" w:rsidP="00D727BF">
      <w:pPr>
        <w:pStyle w:val="Caption"/>
        <w:tabs>
          <w:tab w:val="left" w:pos="720"/>
        </w:tabs>
        <w:jc w:val="center"/>
      </w:pPr>
      <w:bookmarkStart w:id="204" w:name="_Ref431565548"/>
      <w:bookmarkStart w:id="205" w:name="_Ref445131887"/>
      <w:bookmarkStart w:id="206" w:name="_Toc445449656"/>
      <w:r>
        <w:t>F</w:t>
      </w:r>
      <w:r w:rsidRPr="00D15501">
        <w:t xml:space="preserve">igure </w:t>
      </w:r>
      <w:fldSimple w:instr=" SEQ Figure \* ARABIC ">
        <w:r w:rsidR="008A3BBD">
          <w:rPr>
            <w:noProof/>
          </w:rPr>
          <w:t>38</w:t>
        </w:r>
      </w:fldSimple>
      <w:bookmarkEnd w:id="203"/>
      <w:bookmarkEnd w:id="204"/>
      <w:bookmarkEnd w:id="205"/>
      <w:r w:rsidRPr="00D15501">
        <w:t xml:space="preserve">: </w:t>
      </w:r>
      <w:r>
        <w:t>Percentage of Small, Medium and Large Firms Citing Major Obstacles</w:t>
      </w:r>
      <w:bookmarkEnd w:id="206"/>
    </w:p>
    <w:p w14:paraId="7BFDAA76" w14:textId="77777777" w:rsidR="00340052" w:rsidRPr="00264D25" w:rsidRDefault="00340052" w:rsidP="00D727BF">
      <w:pPr>
        <w:pStyle w:val="Graph"/>
        <w:tabs>
          <w:tab w:val="left" w:pos="720"/>
        </w:tabs>
        <w:spacing w:before="0"/>
        <w:rPr>
          <w:rFonts w:ascii="Trebuchet MS" w:hAnsi="Trebuchet MS"/>
        </w:rPr>
      </w:pPr>
      <w:r w:rsidRPr="00264D25">
        <w:rPr>
          <w:rFonts w:ascii="Trebuchet MS" w:hAnsi="Trebuchet MS"/>
          <w:noProof/>
        </w:rPr>
        <w:drawing>
          <wp:inline distT="0" distB="0" distL="0" distR="0" wp14:anchorId="3FB00A44" wp14:editId="5F86A606">
            <wp:extent cx="5810250" cy="24765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D8172A4" w14:textId="4AA15E55" w:rsidR="00340052" w:rsidRPr="001845F3" w:rsidRDefault="00340052" w:rsidP="00D727BF">
      <w:pPr>
        <w:keepNext/>
        <w:tabs>
          <w:tab w:val="left" w:pos="720"/>
        </w:tabs>
        <w:spacing w:before="120" w:after="0"/>
        <w:rPr>
          <w:rFonts w:cs="Times New Roman"/>
          <w:sz w:val="18"/>
          <w:szCs w:val="18"/>
        </w:rPr>
      </w:pPr>
      <w:r w:rsidRPr="001845F3">
        <w:rPr>
          <w:rFonts w:cs="Times New Roman"/>
          <w:sz w:val="18"/>
          <w:szCs w:val="18"/>
        </w:rPr>
        <w:t>Source: Authors</w:t>
      </w:r>
      <w:r w:rsidR="00863D16">
        <w:rPr>
          <w:rFonts w:cs="Times New Roman"/>
          <w:sz w:val="18"/>
          <w:szCs w:val="18"/>
        </w:rPr>
        <w:t>’</w:t>
      </w:r>
      <w:r w:rsidRPr="001845F3">
        <w:rPr>
          <w:rFonts w:cs="Times New Roman"/>
          <w:sz w:val="18"/>
          <w:szCs w:val="18"/>
        </w:rPr>
        <w:t xml:space="preserve"> calculations based on data from Enterprise Survey 2014</w:t>
      </w:r>
      <w:r w:rsidR="003E2A23">
        <w:rPr>
          <w:rFonts w:ascii="Calibri" w:hAnsi="Calibri" w:cs="Times New Roman"/>
          <w:sz w:val="18"/>
          <w:szCs w:val="18"/>
        </w:rPr>
        <w:t>‒</w:t>
      </w:r>
      <w:r w:rsidRPr="001845F3">
        <w:rPr>
          <w:rFonts w:cs="Times New Roman"/>
          <w:sz w:val="18"/>
          <w:szCs w:val="18"/>
        </w:rPr>
        <w:t>15</w:t>
      </w:r>
    </w:p>
    <w:p w14:paraId="7A17EE7E" w14:textId="2DE79CAD" w:rsidR="00340052" w:rsidRDefault="004875A2" w:rsidP="00D727BF">
      <w:pPr>
        <w:pStyle w:val="Heading3"/>
        <w:numPr>
          <w:ilvl w:val="0"/>
          <w:numId w:val="0"/>
        </w:numPr>
        <w:tabs>
          <w:tab w:val="left" w:pos="720"/>
        </w:tabs>
        <w:spacing w:before="240"/>
        <w:jc w:val="center"/>
      </w:pPr>
      <w:r>
        <w:t>The Nigerian</w:t>
      </w:r>
      <w:r w:rsidR="00673097">
        <w:t xml:space="preserve"> business environment in context</w:t>
      </w:r>
    </w:p>
    <w:p w14:paraId="34053625" w14:textId="227E0396" w:rsidR="00F47590" w:rsidRDefault="00F47590" w:rsidP="00D727BF">
      <w:pPr>
        <w:pStyle w:val="Heading4"/>
        <w:tabs>
          <w:tab w:val="left" w:pos="720"/>
        </w:tabs>
      </w:pPr>
      <w:r>
        <w:t>Electricity</w:t>
      </w:r>
    </w:p>
    <w:p w14:paraId="23248F29" w14:textId="77777777" w:rsidR="00F47590" w:rsidRPr="00F47590" w:rsidRDefault="00F47590" w:rsidP="00D727BF">
      <w:pPr>
        <w:tabs>
          <w:tab w:val="left" w:pos="720"/>
        </w:tabs>
        <w:spacing w:after="0"/>
      </w:pPr>
    </w:p>
    <w:p w14:paraId="03254DB7" w14:textId="7B56FB3B" w:rsidR="00340052" w:rsidRDefault="003E2A23" w:rsidP="00D727BF">
      <w:pPr>
        <w:pStyle w:val="ParagraphNumbering"/>
        <w:numPr>
          <w:ilvl w:val="0"/>
          <w:numId w:val="0"/>
        </w:numPr>
        <w:tabs>
          <w:tab w:val="left" w:pos="720"/>
        </w:tabs>
        <w:rPr>
          <w:noProof/>
        </w:rPr>
      </w:pPr>
      <w:r>
        <w:rPr>
          <w:b/>
          <w:noProof/>
        </w:rPr>
        <w:tab/>
      </w:r>
      <w:r w:rsidR="00340052" w:rsidRPr="00431C9A">
        <w:rPr>
          <w:b/>
          <w:noProof/>
        </w:rPr>
        <w:t>Power</w:t>
      </w:r>
      <w:r w:rsidR="00340052" w:rsidRPr="00431C9A">
        <w:rPr>
          <w:b/>
        </w:rPr>
        <w:t xml:space="preserve"> outages appear to be a more serious problem in Nigeria than in other countries</w:t>
      </w:r>
      <w:r w:rsidR="00340052" w:rsidRPr="00AC3B1E">
        <w:t xml:space="preserve"> (</w:t>
      </w:r>
      <w:r w:rsidR="002B728F">
        <w:fldChar w:fldCharType="begin"/>
      </w:r>
      <w:r w:rsidR="002B728F">
        <w:instrText xml:space="preserve"> REF _Ref445131915 \h </w:instrText>
      </w:r>
      <w:r w:rsidR="002B728F">
        <w:fldChar w:fldCharType="separate"/>
      </w:r>
      <w:r>
        <w:t>f</w:t>
      </w:r>
      <w:r w:rsidR="008A3BBD" w:rsidRPr="00AC3B1E">
        <w:t xml:space="preserve">igure </w:t>
      </w:r>
      <w:r w:rsidR="008A3BBD">
        <w:rPr>
          <w:noProof/>
        </w:rPr>
        <w:t>39</w:t>
      </w:r>
      <w:r w:rsidR="002B728F">
        <w:fldChar w:fldCharType="end"/>
      </w:r>
      <w:r w:rsidR="00340052" w:rsidRPr="00AC3B1E">
        <w:t>).</w:t>
      </w:r>
      <w:r w:rsidR="00340052">
        <w:t xml:space="preserve"> </w:t>
      </w:r>
      <w:r w:rsidR="00340052" w:rsidRPr="00AC3B1E">
        <w:t xml:space="preserve">The average firm </w:t>
      </w:r>
      <w:r w:rsidR="00340052">
        <w:t>r</w:t>
      </w:r>
      <w:r w:rsidR="00340052" w:rsidRPr="00AC3B1E">
        <w:t>eported that losses due to power outages were equal to about 17 percent of sales</w:t>
      </w:r>
      <w:r w:rsidR="00E67B8C">
        <w:t>—</w:t>
      </w:r>
      <w:r w:rsidR="00340052" w:rsidRPr="00AC3B1E">
        <w:t>higher than in any comparator countr</w:t>
      </w:r>
      <w:r w:rsidR="00340052">
        <w:t>y</w:t>
      </w:r>
      <w:r w:rsidR="00340052" w:rsidRPr="00AC3B1E">
        <w:t>.</w:t>
      </w:r>
      <w:r w:rsidR="00340052">
        <w:t xml:space="preserve"> Only Ghana comes close, with </w:t>
      </w:r>
      <w:r w:rsidR="00340052" w:rsidRPr="00AC3B1E">
        <w:t>losses equal to 15 percent of sales.</w:t>
      </w:r>
      <w:r w:rsidR="00340052">
        <w:t xml:space="preserve"> </w:t>
      </w:r>
      <w:r w:rsidR="00340052" w:rsidRPr="00AC3B1E">
        <w:t>Firms in China a</w:t>
      </w:r>
      <w:r w:rsidR="00340052">
        <w:t>nd</w:t>
      </w:r>
      <w:r w:rsidR="00340052" w:rsidRPr="00AC3B1E">
        <w:t xml:space="preserve"> Russia</w:t>
      </w:r>
      <w:r w:rsidR="00321280">
        <w:t xml:space="preserve"> </w:t>
      </w:r>
      <w:r w:rsidR="00340052" w:rsidRPr="00AC3B1E">
        <w:t>report los</w:t>
      </w:r>
      <w:r w:rsidR="00340052">
        <w:t>ses</w:t>
      </w:r>
      <w:r w:rsidR="00340052" w:rsidRPr="00AC3B1E">
        <w:t xml:space="preserve"> </w:t>
      </w:r>
      <w:r w:rsidR="00340052">
        <w:t xml:space="preserve">of </w:t>
      </w:r>
      <w:r w:rsidR="00340052" w:rsidRPr="00AC3B1E">
        <w:t>less than 0.5 percent</w:t>
      </w:r>
      <w:r w:rsidR="00340052">
        <w:t xml:space="preserve"> </w:t>
      </w:r>
      <w:r w:rsidR="00340052" w:rsidRPr="00AC3B1E">
        <w:t>due to power outages.</w:t>
      </w:r>
      <w:bookmarkStart w:id="207" w:name="_Ref418455526"/>
    </w:p>
    <w:p w14:paraId="77C2847C" w14:textId="5FB484A0" w:rsidR="004875A2" w:rsidRDefault="003E2A23" w:rsidP="00D727BF">
      <w:pPr>
        <w:pStyle w:val="ParagraphNumbering"/>
        <w:numPr>
          <w:ilvl w:val="0"/>
          <w:numId w:val="0"/>
        </w:numPr>
        <w:tabs>
          <w:tab w:val="left" w:pos="720"/>
        </w:tabs>
        <w:spacing w:before="240" w:after="240"/>
        <w:rPr>
          <w:noProof/>
        </w:rPr>
      </w:pPr>
      <w:r>
        <w:rPr>
          <w:b/>
          <w:noProof/>
        </w:rPr>
        <w:tab/>
      </w:r>
      <w:r w:rsidR="004875A2" w:rsidRPr="00431C9A">
        <w:rPr>
          <w:b/>
          <w:noProof/>
        </w:rPr>
        <w:t>Power outages appear to be a concern throughout the country</w:t>
      </w:r>
      <w:r w:rsidR="004875A2">
        <w:rPr>
          <w:noProof/>
        </w:rPr>
        <w:t xml:space="preserve"> (</w:t>
      </w:r>
      <w:r w:rsidR="002B728F">
        <w:rPr>
          <w:noProof/>
        </w:rPr>
        <w:fldChar w:fldCharType="begin"/>
      </w:r>
      <w:r w:rsidR="002B728F">
        <w:rPr>
          <w:noProof/>
        </w:rPr>
        <w:instrText xml:space="preserve"> REF _Ref445131942 \h </w:instrText>
      </w:r>
      <w:r w:rsidR="002B728F">
        <w:rPr>
          <w:noProof/>
        </w:rPr>
      </w:r>
      <w:r w:rsidR="002B728F">
        <w:rPr>
          <w:noProof/>
        </w:rPr>
        <w:fldChar w:fldCharType="separate"/>
      </w:r>
      <w:r w:rsidR="00E67B8C">
        <w:t>f</w:t>
      </w:r>
      <w:r w:rsidR="008A3BBD" w:rsidRPr="00CF650E">
        <w:t xml:space="preserve">igure </w:t>
      </w:r>
      <w:r w:rsidR="008A3BBD">
        <w:rPr>
          <w:noProof/>
        </w:rPr>
        <w:t>40</w:t>
      </w:r>
      <w:r w:rsidR="002B728F">
        <w:rPr>
          <w:noProof/>
        </w:rPr>
        <w:fldChar w:fldCharType="end"/>
      </w:r>
      <w:r w:rsidR="004875A2">
        <w:rPr>
          <w:noProof/>
        </w:rPr>
        <w:t xml:space="preserve">). Outages in the </w:t>
      </w:r>
      <w:r w:rsidR="006425D4">
        <w:rPr>
          <w:noProof/>
        </w:rPr>
        <w:t>less affected</w:t>
      </w:r>
      <w:r w:rsidR="004875A2">
        <w:rPr>
          <w:noProof/>
        </w:rPr>
        <w:t xml:space="preserve"> region (</w:t>
      </w:r>
      <w:r w:rsidR="00E67B8C">
        <w:rPr>
          <w:noProof/>
        </w:rPr>
        <w:t>n</w:t>
      </w:r>
      <w:r w:rsidR="004875A2">
        <w:rPr>
          <w:noProof/>
        </w:rPr>
        <w:t>orthern</w:t>
      </w:r>
      <w:r w:rsidR="006425D4">
        <w:rPr>
          <w:noProof/>
        </w:rPr>
        <w:t xml:space="preserve"> states, except Kano and Kaduna</w:t>
      </w:r>
      <w:r w:rsidR="004875A2">
        <w:rPr>
          <w:noProof/>
        </w:rPr>
        <w:t>) were worse than in any of the comparator countries except</w:t>
      </w:r>
      <w:r w:rsidR="006425D4">
        <w:rPr>
          <w:noProof/>
        </w:rPr>
        <w:t xml:space="preserve"> for Ghana. Firms in Lagos and o</w:t>
      </w:r>
      <w:r w:rsidR="004875A2">
        <w:rPr>
          <w:noProof/>
        </w:rPr>
        <w:t xml:space="preserve">ther </w:t>
      </w:r>
      <w:r w:rsidR="00E67B8C">
        <w:rPr>
          <w:noProof/>
        </w:rPr>
        <w:t>s</w:t>
      </w:r>
      <w:r w:rsidR="004875A2">
        <w:rPr>
          <w:noProof/>
        </w:rPr>
        <w:t>outhern states reported the highest losses</w:t>
      </w:r>
      <w:r w:rsidR="00E67B8C">
        <w:rPr>
          <w:noProof/>
        </w:rPr>
        <w:t>—</w:t>
      </w:r>
      <w:r w:rsidR="004875A2">
        <w:rPr>
          <w:noProof/>
        </w:rPr>
        <w:t>equivalent to more than 20 percent of sales.</w:t>
      </w:r>
      <w:r w:rsidR="006425D4">
        <w:rPr>
          <w:noProof/>
        </w:rPr>
        <w:t xml:space="preserve"> It should be noted that this does not mean that the number of outages is lower in the northern part of the country, rather they report to be less affected in terms of their losses.</w:t>
      </w:r>
    </w:p>
    <w:p w14:paraId="03B27CA5" w14:textId="663BD1AA" w:rsidR="004875A2" w:rsidRPr="00431C9A" w:rsidRDefault="003E2A23" w:rsidP="00D727BF">
      <w:pPr>
        <w:pStyle w:val="ParagraphNumbering"/>
        <w:numPr>
          <w:ilvl w:val="0"/>
          <w:numId w:val="0"/>
        </w:numPr>
        <w:tabs>
          <w:tab w:val="left" w:pos="720"/>
        </w:tabs>
        <w:spacing w:after="0"/>
        <w:rPr>
          <w:noProof/>
        </w:rPr>
      </w:pPr>
      <w:r>
        <w:rPr>
          <w:b/>
          <w:noProof/>
        </w:rPr>
        <w:tab/>
      </w:r>
      <w:r w:rsidR="004875A2" w:rsidRPr="00FD4743">
        <w:rPr>
          <w:b/>
          <w:noProof/>
        </w:rPr>
        <w:t>One way that firms respond to frequent outages is to buy generators.</w:t>
      </w:r>
      <w:r w:rsidR="004875A2">
        <w:rPr>
          <w:noProof/>
        </w:rPr>
        <w:t xml:space="preserve"> Although generators reduce losses due to outages, they are expensive to purchase and </w:t>
      </w:r>
      <w:r w:rsidR="00321280">
        <w:rPr>
          <w:noProof/>
        </w:rPr>
        <w:t>operate</w:t>
      </w:r>
      <w:r w:rsidR="004875A2">
        <w:rPr>
          <w:noProof/>
        </w:rPr>
        <w:t>, and therefore are an imperfect substitute for reliable infrastructure. About 71 percent of Nigerian</w:t>
      </w:r>
      <w:r w:rsidR="004875A2">
        <w:t xml:space="preserve"> </w:t>
      </w:r>
      <w:r w:rsidR="004875A2">
        <w:lastRenderedPageBreak/>
        <w:t>firms reported that they use generators</w:t>
      </w:r>
      <w:r w:rsidR="006425D4">
        <w:t>, a percentage higher than any comparator country</w:t>
      </w:r>
      <w:r w:rsidR="004875A2">
        <w:t>.</w:t>
      </w:r>
      <w:r w:rsidR="006425D4">
        <w:rPr>
          <w:rStyle w:val="FootnoteReference"/>
        </w:rPr>
        <w:footnoteReference w:id="39"/>
      </w:r>
      <w:r w:rsidR="004875A2">
        <w:t xml:space="preserve"> In Russia and China, where firms reported losses due to outages of less</w:t>
      </w:r>
      <w:r w:rsidR="006425D4">
        <w:t xml:space="preserve"> than </w:t>
      </w:r>
      <w:r w:rsidR="00E67B8C">
        <w:t xml:space="preserve">1 </w:t>
      </w:r>
      <w:r w:rsidR="006425D4">
        <w:t xml:space="preserve">percent of sales, only </w:t>
      </w:r>
      <w:r w:rsidR="00E67B8C">
        <w:t xml:space="preserve">9 </w:t>
      </w:r>
      <w:r w:rsidR="006425D4">
        <w:t xml:space="preserve">and </w:t>
      </w:r>
      <w:r w:rsidR="00E67B8C">
        <w:t>8</w:t>
      </w:r>
      <w:r w:rsidR="00127EAF">
        <w:t xml:space="preserve"> </w:t>
      </w:r>
      <w:r w:rsidR="004875A2">
        <w:t>percent of firms, respectively, reported that they have generators.</w:t>
      </w:r>
    </w:p>
    <w:p w14:paraId="6591FF13" w14:textId="77777777" w:rsidR="006425D4" w:rsidRPr="001845F3" w:rsidRDefault="006425D4" w:rsidP="00D727BF">
      <w:pPr>
        <w:pStyle w:val="Caption"/>
        <w:tabs>
          <w:tab w:val="left" w:pos="720"/>
        </w:tabs>
        <w:rPr>
          <w:rFonts w:ascii="Times New Roman" w:hAnsi="Times New Roman"/>
          <w:b w:val="0"/>
          <w:sz w:val="24"/>
          <w:szCs w:val="24"/>
        </w:rPr>
      </w:pPr>
      <w:bookmarkStart w:id="208" w:name="_Ref431670806"/>
      <w:bookmarkStart w:id="209" w:name="_Ref444422460"/>
    </w:p>
    <w:p w14:paraId="6667427C" w14:textId="5A63CB8B" w:rsidR="00340052" w:rsidRPr="00AC3B1E" w:rsidRDefault="00340052" w:rsidP="00D727BF">
      <w:pPr>
        <w:pStyle w:val="Caption"/>
        <w:tabs>
          <w:tab w:val="left" w:pos="720"/>
        </w:tabs>
        <w:jc w:val="center"/>
      </w:pPr>
      <w:bookmarkStart w:id="210" w:name="_Ref445131915"/>
      <w:bookmarkStart w:id="211" w:name="_Toc445449657"/>
      <w:r w:rsidRPr="00AC3B1E">
        <w:t xml:space="preserve">Figure </w:t>
      </w:r>
      <w:fldSimple w:instr=" SEQ Figure \* ARABIC ">
        <w:r w:rsidR="008A3BBD">
          <w:rPr>
            <w:noProof/>
          </w:rPr>
          <w:t>39</w:t>
        </w:r>
      </w:fldSimple>
      <w:bookmarkEnd w:id="207"/>
      <w:bookmarkEnd w:id="208"/>
      <w:bookmarkEnd w:id="209"/>
      <w:bookmarkEnd w:id="210"/>
      <w:r w:rsidRPr="00AC3B1E">
        <w:t>:</w:t>
      </w:r>
      <w:r>
        <w:t xml:space="preserve"> </w:t>
      </w:r>
      <w:r w:rsidRPr="00AC3B1E">
        <w:t xml:space="preserve">Losses </w:t>
      </w:r>
      <w:r>
        <w:t>D</w:t>
      </w:r>
      <w:r w:rsidRPr="00AC3B1E">
        <w:t xml:space="preserve">ue to </w:t>
      </w:r>
      <w:r>
        <w:t>P</w:t>
      </w:r>
      <w:r w:rsidRPr="00AC3B1E">
        <w:t xml:space="preserve">ower </w:t>
      </w:r>
      <w:r>
        <w:t>O</w:t>
      </w:r>
      <w:r w:rsidRPr="00AC3B1E">
        <w:t>utages</w:t>
      </w:r>
      <w:r>
        <w:t>, Nigeria and Comparator Countries</w:t>
      </w:r>
      <w:bookmarkEnd w:id="211"/>
    </w:p>
    <w:p w14:paraId="226E8EF4" w14:textId="77777777" w:rsidR="00340052" w:rsidRPr="00F21DC7" w:rsidRDefault="00340052" w:rsidP="00D727BF">
      <w:pPr>
        <w:pStyle w:val="Graph"/>
        <w:tabs>
          <w:tab w:val="left" w:pos="720"/>
        </w:tabs>
        <w:spacing w:before="0"/>
        <w:rPr>
          <w:rFonts w:ascii="Trebuchet MS" w:hAnsi="Trebuchet MS"/>
        </w:rPr>
      </w:pPr>
      <w:r w:rsidRPr="00F21DC7">
        <w:rPr>
          <w:rFonts w:ascii="Trebuchet MS" w:hAnsi="Trebuchet MS"/>
          <w:noProof/>
        </w:rPr>
        <w:drawing>
          <wp:inline distT="0" distB="0" distL="0" distR="0" wp14:anchorId="4B9C0D6B" wp14:editId="3CBBA886">
            <wp:extent cx="5705475" cy="2238375"/>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6EDC71" w14:textId="06441825" w:rsidR="00340052" w:rsidRPr="001845F3" w:rsidRDefault="00340052" w:rsidP="00D727BF">
      <w:pPr>
        <w:keepNext/>
        <w:tabs>
          <w:tab w:val="left" w:pos="720"/>
        </w:tabs>
        <w:spacing w:after="0"/>
        <w:rPr>
          <w:rFonts w:cs="Times New Roman"/>
          <w:sz w:val="18"/>
          <w:szCs w:val="18"/>
        </w:rPr>
      </w:pPr>
      <w:r w:rsidRPr="001845F3">
        <w:rPr>
          <w:rFonts w:cs="Times New Roman"/>
          <w:sz w:val="18"/>
          <w:szCs w:val="18"/>
        </w:rPr>
        <w:t>Source: Authors</w:t>
      </w:r>
      <w:r w:rsidR="00863D16">
        <w:rPr>
          <w:rFonts w:cs="Times New Roman"/>
          <w:sz w:val="18"/>
          <w:szCs w:val="18"/>
        </w:rPr>
        <w:t>’</w:t>
      </w:r>
      <w:r w:rsidRPr="001845F3">
        <w:rPr>
          <w:rFonts w:cs="Times New Roman"/>
          <w:sz w:val="18"/>
          <w:szCs w:val="18"/>
        </w:rPr>
        <w:t xml:space="preserve"> calculations based on data from Enterprise Survey (2014</w:t>
      </w:r>
      <w:r w:rsidR="00E67B8C">
        <w:rPr>
          <w:rFonts w:ascii="Calibri" w:hAnsi="Calibri" w:cs="Times New Roman"/>
          <w:sz w:val="18"/>
          <w:szCs w:val="18"/>
        </w:rPr>
        <w:t>‒</w:t>
      </w:r>
      <w:r w:rsidRPr="001845F3">
        <w:rPr>
          <w:rFonts w:cs="Times New Roman"/>
          <w:sz w:val="18"/>
          <w:szCs w:val="18"/>
        </w:rPr>
        <w:t xml:space="preserve">15 for Nigeria, </w:t>
      </w:r>
      <w:r w:rsidR="00E67B8C">
        <w:rPr>
          <w:rFonts w:cs="Times New Roman"/>
          <w:sz w:val="18"/>
          <w:szCs w:val="18"/>
        </w:rPr>
        <w:t>l</w:t>
      </w:r>
      <w:r w:rsidRPr="001845F3">
        <w:rPr>
          <w:rFonts w:cs="Times New Roman"/>
          <w:sz w:val="18"/>
          <w:szCs w:val="18"/>
        </w:rPr>
        <w:t>atest available year for other countries)</w:t>
      </w:r>
    </w:p>
    <w:p w14:paraId="25B6A479" w14:textId="77777777" w:rsidR="00340052" w:rsidRPr="00C759C4" w:rsidRDefault="00340052" w:rsidP="00D727BF">
      <w:pPr>
        <w:pStyle w:val="Caption"/>
        <w:tabs>
          <w:tab w:val="left" w:pos="720"/>
        </w:tabs>
        <w:rPr>
          <w:rFonts w:ascii="Times New Roman" w:hAnsi="Times New Roman"/>
          <w:sz w:val="24"/>
          <w:szCs w:val="24"/>
        </w:rPr>
      </w:pPr>
      <w:bookmarkStart w:id="212" w:name="_Ref418455821"/>
    </w:p>
    <w:p w14:paraId="6AD087A0" w14:textId="78806B54" w:rsidR="00340052" w:rsidRPr="00CF650E" w:rsidRDefault="00340052" w:rsidP="00D727BF">
      <w:pPr>
        <w:pStyle w:val="Caption"/>
        <w:tabs>
          <w:tab w:val="left" w:pos="720"/>
        </w:tabs>
        <w:jc w:val="center"/>
      </w:pPr>
      <w:bookmarkStart w:id="213" w:name="_Ref431670831"/>
      <w:bookmarkStart w:id="214" w:name="_Ref445131942"/>
      <w:bookmarkStart w:id="215" w:name="_Toc445449658"/>
      <w:r w:rsidRPr="00CF650E">
        <w:t xml:space="preserve">Figure </w:t>
      </w:r>
      <w:fldSimple w:instr=" SEQ Figure \* ARABIC ">
        <w:r w:rsidR="008A3BBD">
          <w:rPr>
            <w:noProof/>
          </w:rPr>
          <w:t>40</w:t>
        </w:r>
      </w:fldSimple>
      <w:bookmarkEnd w:id="212"/>
      <w:bookmarkEnd w:id="213"/>
      <w:bookmarkEnd w:id="214"/>
      <w:r w:rsidRPr="00CF650E">
        <w:t>:</w:t>
      </w:r>
      <w:r>
        <w:t xml:space="preserve"> </w:t>
      </w:r>
      <w:r w:rsidRPr="00CF650E">
        <w:t xml:space="preserve">Losses </w:t>
      </w:r>
      <w:r>
        <w:t>D</w:t>
      </w:r>
      <w:r w:rsidRPr="00CF650E">
        <w:t xml:space="preserve">ue to </w:t>
      </w:r>
      <w:r>
        <w:t>P</w:t>
      </w:r>
      <w:r w:rsidRPr="00CF650E">
        <w:t xml:space="preserve">ower </w:t>
      </w:r>
      <w:r>
        <w:t>O</w:t>
      </w:r>
      <w:r w:rsidRPr="00CF650E">
        <w:t>utages</w:t>
      </w:r>
      <w:r>
        <w:t>, by Region</w:t>
      </w:r>
      <w:bookmarkEnd w:id="215"/>
    </w:p>
    <w:p w14:paraId="5CF004E0" w14:textId="77777777" w:rsidR="00340052" w:rsidRPr="00AC3B1E" w:rsidRDefault="00340052" w:rsidP="00D727BF">
      <w:pPr>
        <w:pStyle w:val="Graph"/>
        <w:tabs>
          <w:tab w:val="left" w:pos="720"/>
        </w:tabs>
        <w:rPr>
          <w:rFonts w:ascii="Trebuchet MS" w:hAnsi="Trebuchet MS"/>
        </w:rPr>
      </w:pPr>
      <w:r w:rsidRPr="00AC3B1E">
        <w:rPr>
          <w:rFonts w:ascii="Trebuchet MS" w:hAnsi="Trebuchet MS"/>
          <w:noProof/>
        </w:rPr>
        <w:drawing>
          <wp:inline distT="0" distB="0" distL="0" distR="0" wp14:anchorId="063CF0AE" wp14:editId="6AE9E813">
            <wp:extent cx="5372100" cy="21621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EF7FA09" w14:textId="7D5EF9FC" w:rsidR="00340052" w:rsidRPr="001845F3" w:rsidRDefault="00340052" w:rsidP="00D727BF">
      <w:pPr>
        <w:pStyle w:val="FootnoteText"/>
        <w:tabs>
          <w:tab w:val="left" w:pos="720"/>
        </w:tabs>
        <w:spacing w:after="240"/>
        <w:rPr>
          <w:rFonts w:ascii="Times New Roman" w:hAnsi="Times New Roman"/>
        </w:rPr>
      </w:pPr>
      <w:r w:rsidRPr="001845F3">
        <w:rPr>
          <w:rFonts w:ascii="Times New Roman" w:hAnsi="Times New Roman"/>
        </w:rPr>
        <w:t>Source: Authors</w:t>
      </w:r>
      <w:r w:rsidR="00863D16">
        <w:rPr>
          <w:rFonts w:ascii="Times New Roman" w:hAnsi="Times New Roman"/>
        </w:rPr>
        <w:t>’</w:t>
      </w:r>
      <w:r w:rsidRPr="001845F3">
        <w:rPr>
          <w:rFonts w:ascii="Times New Roman" w:hAnsi="Times New Roman"/>
        </w:rPr>
        <w:t xml:space="preserve"> calculations based on data from Enterprise Survey 2014</w:t>
      </w:r>
      <w:r w:rsidR="00E67B8C">
        <w:rPr>
          <w:rFonts w:ascii="Calibri" w:hAnsi="Calibri"/>
        </w:rPr>
        <w:t>‒</w:t>
      </w:r>
      <w:r w:rsidRPr="001845F3">
        <w:rPr>
          <w:rFonts w:ascii="Times New Roman" w:hAnsi="Times New Roman"/>
        </w:rPr>
        <w:t>15</w:t>
      </w:r>
    </w:p>
    <w:p w14:paraId="2274B844" w14:textId="091D5994" w:rsidR="00E67B8C" w:rsidRDefault="00E67B8C" w:rsidP="00E67B8C">
      <w:pPr>
        <w:pStyle w:val="ParagraphNumbering"/>
        <w:numPr>
          <w:ilvl w:val="0"/>
          <w:numId w:val="0"/>
        </w:numPr>
        <w:tabs>
          <w:tab w:val="left" w:pos="720"/>
        </w:tabs>
        <w:spacing w:after="0"/>
      </w:pPr>
      <w:r>
        <w:rPr>
          <w:b/>
          <w:noProof/>
        </w:rPr>
        <w:tab/>
      </w:r>
      <w:r w:rsidR="00340052" w:rsidRPr="000F6A00">
        <w:rPr>
          <w:b/>
          <w:noProof/>
        </w:rPr>
        <w:t>High</w:t>
      </w:r>
      <w:r w:rsidR="00340052" w:rsidRPr="000F6A00">
        <w:rPr>
          <w:b/>
        </w:rPr>
        <w:t xml:space="preserve"> generator use often leads to high costs for electricity and fuel.</w:t>
      </w:r>
      <w:r w:rsidR="00340052">
        <w:t xml:space="preserve"> Therefore, it is not surprising that Nigerian firms report very high </w:t>
      </w:r>
      <w:r w:rsidR="00321280">
        <w:t xml:space="preserve">electricity and fuel </w:t>
      </w:r>
      <w:r w:rsidR="00340052">
        <w:t xml:space="preserve">costs, equal to about 3.9 percent of sales. In comparison, </w:t>
      </w:r>
      <w:r w:rsidR="00321280">
        <w:t xml:space="preserve">these </w:t>
      </w:r>
      <w:r w:rsidR="00340052">
        <w:t xml:space="preserve">costs are equal to only about </w:t>
      </w:r>
      <w:r>
        <w:t xml:space="preserve">1 </w:t>
      </w:r>
      <w:r w:rsidR="00340052">
        <w:t xml:space="preserve">percent of sales in Russia and about </w:t>
      </w:r>
      <w:r>
        <w:t xml:space="preserve">2 </w:t>
      </w:r>
      <w:r w:rsidR="00340052">
        <w:t xml:space="preserve">percent in China. Combined with high losses due to power outages, this suggests that unreliable </w:t>
      </w:r>
      <w:r w:rsidR="00321280">
        <w:t xml:space="preserve">and expensive </w:t>
      </w:r>
      <w:r w:rsidR="00340052">
        <w:t xml:space="preserve">power will make it challenging for Nigerian firms to compete </w:t>
      </w:r>
      <w:r w:rsidR="00321280">
        <w:t xml:space="preserve">in </w:t>
      </w:r>
      <w:r w:rsidR="00340052">
        <w:t xml:space="preserve">international markets. </w:t>
      </w:r>
    </w:p>
    <w:p w14:paraId="387F9534" w14:textId="77777777" w:rsidR="00E67B8C" w:rsidRDefault="00E67B8C">
      <w:pPr>
        <w:rPr>
          <w:rFonts w:eastAsia="Times New Roman" w:cs="Times New Roman"/>
          <w:bCs/>
          <w:szCs w:val="24"/>
        </w:rPr>
      </w:pPr>
      <w:r>
        <w:br w:type="page"/>
      </w:r>
    </w:p>
    <w:p w14:paraId="5813732B" w14:textId="77777777" w:rsidR="00717FAB" w:rsidRDefault="00717FAB" w:rsidP="00D727BF">
      <w:pPr>
        <w:pStyle w:val="ParagraphNumbering"/>
        <w:numPr>
          <w:ilvl w:val="0"/>
          <w:numId w:val="0"/>
        </w:numPr>
        <w:tabs>
          <w:tab w:val="left" w:pos="720"/>
        </w:tabs>
        <w:spacing w:after="0"/>
        <w:ind w:left="720" w:hanging="360"/>
      </w:pPr>
    </w:p>
    <w:p w14:paraId="72CDD9B3" w14:textId="0994E3E9" w:rsidR="00340052" w:rsidRPr="00344CC4" w:rsidRDefault="00340052" w:rsidP="00D727BF">
      <w:pPr>
        <w:pStyle w:val="Caption"/>
        <w:tabs>
          <w:tab w:val="left" w:pos="720"/>
        </w:tabs>
        <w:jc w:val="center"/>
      </w:pPr>
      <w:bookmarkStart w:id="216" w:name="_Toc445449659"/>
      <w:r w:rsidRPr="00344CC4">
        <w:t xml:space="preserve">Figure </w:t>
      </w:r>
      <w:fldSimple w:instr=" SEQ Figure \* ARABIC ">
        <w:r w:rsidR="008A3BBD">
          <w:rPr>
            <w:noProof/>
          </w:rPr>
          <w:t>41</w:t>
        </w:r>
      </w:fldSimple>
      <w:r w:rsidRPr="00344CC4">
        <w:t>:</w:t>
      </w:r>
      <w:r>
        <w:t xml:space="preserve"> </w:t>
      </w:r>
      <w:r w:rsidRPr="00344CC4">
        <w:t xml:space="preserve">Electricity and </w:t>
      </w:r>
      <w:r>
        <w:t>F</w:t>
      </w:r>
      <w:r w:rsidRPr="00344CC4">
        <w:t xml:space="preserve">uel </w:t>
      </w:r>
      <w:r>
        <w:t>C</w:t>
      </w:r>
      <w:r w:rsidRPr="00344CC4">
        <w:t>osts</w:t>
      </w:r>
      <w:r>
        <w:t>, Nigeria and Comparator Countries</w:t>
      </w:r>
      <w:bookmarkEnd w:id="216"/>
    </w:p>
    <w:p w14:paraId="5E258F6D" w14:textId="77777777" w:rsidR="00340052" w:rsidRDefault="00340052" w:rsidP="00D727BF">
      <w:pPr>
        <w:pStyle w:val="Graph"/>
        <w:keepNext/>
        <w:tabs>
          <w:tab w:val="left" w:pos="720"/>
        </w:tabs>
      </w:pPr>
      <w:r>
        <w:rPr>
          <w:noProof/>
        </w:rPr>
        <w:drawing>
          <wp:inline distT="0" distB="0" distL="0" distR="0" wp14:anchorId="2A7908D4" wp14:editId="00548476">
            <wp:extent cx="5486400" cy="218122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1FC3BE9" w14:textId="5BC2B2E5" w:rsidR="00340052" w:rsidRPr="001845F3" w:rsidRDefault="00340052" w:rsidP="00D727BF">
      <w:pPr>
        <w:pStyle w:val="FootnoteText"/>
        <w:tabs>
          <w:tab w:val="left" w:pos="720"/>
        </w:tabs>
        <w:spacing w:after="240"/>
        <w:rPr>
          <w:rFonts w:ascii="Times New Roman" w:hAnsi="Times New Roman"/>
        </w:rPr>
      </w:pPr>
      <w:r w:rsidRPr="001845F3">
        <w:rPr>
          <w:rFonts w:ascii="Times New Roman" w:hAnsi="Times New Roman"/>
        </w:rPr>
        <w:t>Source: Authors</w:t>
      </w:r>
      <w:r w:rsidR="00863D16">
        <w:rPr>
          <w:rFonts w:ascii="Times New Roman" w:hAnsi="Times New Roman"/>
        </w:rPr>
        <w:t>’</w:t>
      </w:r>
      <w:r w:rsidRPr="001845F3">
        <w:rPr>
          <w:rFonts w:ascii="Times New Roman" w:hAnsi="Times New Roman"/>
        </w:rPr>
        <w:t xml:space="preserve"> calculations based on data from Enterprise Survey </w:t>
      </w:r>
      <w:r w:rsidRPr="001845F3">
        <w:rPr>
          <w:rFonts w:ascii="Times New Roman" w:hAnsi="Times New Roman"/>
          <w:szCs w:val="18"/>
        </w:rPr>
        <w:t>(2014</w:t>
      </w:r>
      <w:r w:rsidR="007A0260">
        <w:rPr>
          <w:rFonts w:ascii="Calibri" w:hAnsi="Calibri"/>
          <w:szCs w:val="18"/>
        </w:rPr>
        <w:t>‒</w:t>
      </w:r>
      <w:r w:rsidRPr="001845F3">
        <w:rPr>
          <w:rFonts w:ascii="Times New Roman" w:hAnsi="Times New Roman"/>
          <w:szCs w:val="18"/>
        </w:rPr>
        <w:t xml:space="preserve">15 for Nigeria, </w:t>
      </w:r>
      <w:r w:rsidR="007A0260">
        <w:rPr>
          <w:rFonts w:ascii="Times New Roman" w:hAnsi="Times New Roman"/>
          <w:szCs w:val="18"/>
        </w:rPr>
        <w:t>l</w:t>
      </w:r>
      <w:r w:rsidRPr="001845F3">
        <w:rPr>
          <w:rFonts w:ascii="Times New Roman" w:hAnsi="Times New Roman"/>
          <w:szCs w:val="18"/>
        </w:rPr>
        <w:t>atest available year for other countries)</w:t>
      </w:r>
    </w:p>
    <w:p w14:paraId="24934864" w14:textId="77777777" w:rsidR="00340052" w:rsidRDefault="00340052" w:rsidP="00D727BF">
      <w:pPr>
        <w:pStyle w:val="Heading4"/>
        <w:tabs>
          <w:tab w:val="left" w:pos="720"/>
        </w:tabs>
      </w:pPr>
      <w:r>
        <w:t>Corruption</w:t>
      </w:r>
    </w:p>
    <w:p w14:paraId="11D4F780" w14:textId="77777777" w:rsidR="006425D4" w:rsidRPr="006425D4" w:rsidRDefault="006425D4" w:rsidP="00D727BF">
      <w:pPr>
        <w:tabs>
          <w:tab w:val="left" w:pos="720"/>
        </w:tabs>
        <w:spacing w:after="0"/>
      </w:pPr>
    </w:p>
    <w:p w14:paraId="3EABECBB" w14:textId="532C9E0D" w:rsidR="00340052" w:rsidRPr="006425D4" w:rsidRDefault="007A0260" w:rsidP="00D727BF">
      <w:pPr>
        <w:pStyle w:val="ParagraphNumbering"/>
        <w:numPr>
          <w:ilvl w:val="0"/>
          <w:numId w:val="0"/>
        </w:numPr>
        <w:tabs>
          <w:tab w:val="left" w:pos="720"/>
        </w:tabs>
        <w:spacing w:after="240"/>
      </w:pPr>
      <w:r>
        <w:rPr>
          <w:b/>
          <w:noProof/>
        </w:rPr>
        <w:tab/>
      </w:r>
      <w:r w:rsidR="00321280">
        <w:rPr>
          <w:b/>
          <w:noProof/>
        </w:rPr>
        <w:t>Approximately</w:t>
      </w:r>
      <w:r w:rsidR="00321280" w:rsidRPr="000F6A00">
        <w:rPr>
          <w:b/>
        </w:rPr>
        <w:t xml:space="preserve"> </w:t>
      </w:r>
      <w:r w:rsidR="00340052" w:rsidRPr="000F6A00">
        <w:rPr>
          <w:b/>
        </w:rPr>
        <w:t xml:space="preserve">45 percent of Nigerian firms </w:t>
      </w:r>
      <w:r w:rsidR="00321280">
        <w:rPr>
          <w:b/>
        </w:rPr>
        <w:t>report</w:t>
      </w:r>
      <w:r w:rsidR="00321280" w:rsidRPr="000F6A00">
        <w:rPr>
          <w:b/>
        </w:rPr>
        <w:t xml:space="preserve"> </w:t>
      </w:r>
      <w:r w:rsidR="00340052" w:rsidRPr="000F6A00">
        <w:rPr>
          <w:b/>
        </w:rPr>
        <w:t xml:space="preserve">corruption </w:t>
      </w:r>
      <w:r w:rsidR="00321280">
        <w:rPr>
          <w:b/>
        </w:rPr>
        <w:t>as</w:t>
      </w:r>
      <w:r w:rsidR="00321280" w:rsidRPr="000F6A00">
        <w:rPr>
          <w:b/>
        </w:rPr>
        <w:t xml:space="preserve"> </w:t>
      </w:r>
      <w:r w:rsidR="00340052" w:rsidRPr="000F6A00">
        <w:rPr>
          <w:b/>
        </w:rPr>
        <w:t xml:space="preserve">their second most serious problem, </w:t>
      </w:r>
      <w:r w:rsidR="00340052">
        <w:t xml:space="preserve">after electricity. Corruption appears to be a problem across most of the country, although managers of large firms were less likely </w:t>
      </w:r>
      <w:r w:rsidR="00321280">
        <w:t xml:space="preserve">than small firms </w:t>
      </w:r>
      <w:r w:rsidR="00340052">
        <w:t xml:space="preserve">to </w:t>
      </w:r>
      <w:r w:rsidR="00321280">
        <w:t>report it as a</w:t>
      </w:r>
      <w:r w:rsidR="00340052">
        <w:t xml:space="preserve"> serious problem.</w:t>
      </w:r>
      <w:r w:rsidR="00340052" w:rsidRPr="002A4B7E">
        <w:t xml:space="preserve"> </w:t>
      </w:r>
      <w:r w:rsidR="00340052">
        <w:t>Objective data on corruption confirm this view (</w:t>
      </w:r>
      <w:r w:rsidR="002B728F" w:rsidRPr="004F4472">
        <w:fldChar w:fldCharType="begin"/>
      </w:r>
      <w:r w:rsidR="002B728F" w:rsidRPr="00086B78">
        <w:instrText xml:space="preserve"> REF _Ref445131980 \h  \* MERGEFORMAT </w:instrText>
      </w:r>
      <w:r w:rsidR="002B728F" w:rsidRPr="004F4472">
        <w:fldChar w:fldCharType="separate"/>
      </w:r>
      <w:r>
        <w:t>f</w:t>
      </w:r>
      <w:r w:rsidR="008A3BBD" w:rsidRPr="00D727BF">
        <w:t>igure 42</w:t>
      </w:r>
      <w:r w:rsidR="002B728F" w:rsidRPr="004F4472">
        <w:fldChar w:fldCharType="end"/>
      </w:r>
      <w:r w:rsidR="00340052" w:rsidRPr="00086B78">
        <w:t>)</w:t>
      </w:r>
      <w:r w:rsidR="00340052">
        <w:t xml:space="preserve">. About 24 percent of managers said that bribes are needed to get things done in Nigeria, compared to only about </w:t>
      </w:r>
      <w:r>
        <w:t xml:space="preserve">5 </w:t>
      </w:r>
      <w:r w:rsidR="00340052">
        <w:t xml:space="preserve">percent of Chinese managers, </w:t>
      </w:r>
      <w:r w:rsidR="00E66EA5">
        <w:t xml:space="preserve">10 </w:t>
      </w:r>
      <w:r w:rsidR="00340052">
        <w:t>percent of Brazilian managers, and 15 percent of managers in South Africa.</w:t>
      </w:r>
      <w:r w:rsidR="00340052">
        <w:rPr>
          <w:rStyle w:val="FootnoteReference"/>
        </w:rPr>
        <w:footnoteReference w:id="40"/>
      </w:r>
      <w:r w:rsidR="00340052" w:rsidRPr="006425D4">
        <w:t xml:space="preserve"> </w:t>
      </w:r>
      <w:bookmarkStart w:id="217" w:name="_Ref429752505"/>
      <w:r w:rsidR="00340052" w:rsidRPr="006425D4">
        <w:rPr>
          <w:noProof/>
        </w:rPr>
        <w:t>In practice, this is likely to underestimate the extent of corruption in Nigeria and in most of the comparator countries.</w:t>
      </w:r>
      <w:r w:rsidR="00340052" w:rsidRPr="006425D4">
        <w:rPr>
          <w:b/>
          <w:noProof/>
        </w:rPr>
        <w:t xml:space="preserve"> </w:t>
      </w:r>
      <w:r w:rsidR="00340052" w:rsidRPr="00EE47DD">
        <w:rPr>
          <w:noProof/>
        </w:rPr>
        <w:t>Although the questions on corruption are asked indirectly (</w:t>
      </w:r>
      <w:r w:rsidR="00321280">
        <w:rPr>
          <w:noProof/>
        </w:rPr>
        <w:t>industry-level questions instead of firm-level</w:t>
      </w:r>
      <w:r w:rsidR="00340052" w:rsidRPr="00EE47DD">
        <w:rPr>
          <w:noProof/>
        </w:rPr>
        <w:t xml:space="preserve">), this appears to be only </w:t>
      </w:r>
      <w:r w:rsidR="00321280">
        <w:rPr>
          <w:noProof/>
        </w:rPr>
        <w:t>partially</w:t>
      </w:r>
      <w:r w:rsidR="00321280" w:rsidRPr="00EE47DD">
        <w:rPr>
          <w:noProof/>
        </w:rPr>
        <w:t xml:space="preserve"> </w:t>
      </w:r>
      <w:r w:rsidR="00340052" w:rsidRPr="00EE47DD">
        <w:rPr>
          <w:noProof/>
        </w:rPr>
        <w:t>successful.</w:t>
      </w:r>
      <w:r w:rsidR="00340052">
        <w:rPr>
          <w:noProof/>
        </w:rPr>
        <w:t xml:space="preserve"> </w:t>
      </w:r>
      <w:r w:rsidR="00340052" w:rsidRPr="00EE47DD">
        <w:rPr>
          <w:noProof/>
        </w:rPr>
        <w:t>Studies have found that managers in Nigeria significantly underreport corruption even when questions are asked indirectly.</w:t>
      </w:r>
      <w:r w:rsidR="00340052">
        <w:rPr>
          <w:noProof/>
        </w:rPr>
        <w:t xml:space="preserve"> </w:t>
      </w:r>
      <w:r w:rsidR="00340052" w:rsidRPr="00EE47DD">
        <w:rPr>
          <w:noProof/>
        </w:rPr>
        <w:t>This is, however, likely to affect the comparator countries as well</w:t>
      </w:r>
      <w:r w:rsidR="00340052" w:rsidRPr="000F6A00">
        <w:rPr>
          <w:noProof/>
        </w:rPr>
        <w:t>.</w:t>
      </w:r>
      <w:r w:rsidR="00340052" w:rsidRPr="006425D4">
        <w:rPr>
          <w:b/>
          <w:noProof/>
        </w:rPr>
        <w:t xml:space="preserve"> </w:t>
      </w:r>
    </w:p>
    <w:p w14:paraId="3A307C2D" w14:textId="40E06259" w:rsidR="006425D4" w:rsidRDefault="00E66EA5" w:rsidP="00D727BF">
      <w:pPr>
        <w:pStyle w:val="ParagraphNumbering"/>
        <w:numPr>
          <w:ilvl w:val="0"/>
          <w:numId w:val="0"/>
        </w:numPr>
        <w:tabs>
          <w:tab w:val="left" w:pos="720"/>
        </w:tabs>
        <w:spacing w:after="240"/>
        <w:rPr>
          <w:noProof/>
        </w:rPr>
      </w:pPr>
      <w:r>
        <w:rPr>
          <w:noProof/>
        </w:rPr>
        <w:tab/>
      </w:r>
      <w:r w:rsidR="006425D4" w:rsidRPr="0035258E">
        <w:rPr>
          <w:noProof/>
        </w:rPr>
        <w:t xml:space="preserve">Although large firms </w:t>
      </w:r>
      <w:r w:rsidR="00321280">
        <w:rPr>
          <w:noProof/>
        </w:rPr>
        <w:t>are</w:t>
      </w:r>
      <w:r w:rsidR="00321280" w:rsidRPr="0035258E">
        <w:rPr>
          <w:noProof/>
        </w:rPr>
        <w:t xml:space="preserve"> </w:t>
      </w:r>
      <w:r w:rsidR="006425D4" w:rsidRPr="0035258E">
        <w:rPr>
          <w:noProof/>
        </w:rPr>
        <w:t xml:space="preserve">less </w:t>
      </w:r>
      <w:r w:rsidR="00321280">
        <w:rPr>
          <w:noProof/>
        </w:rPr>
        <w:t xml:space="preserve">concerned with </w:t>
      </w:r>
      <w:r w:rsidR="006425D4" w:rsidRPr="0035258E">
        <w:rPr>
          <w:noProof/>
        </w:rPr>
        <w:t>corruption</w:t>
      </w:r>
      <w:r w:rsidR="006425D4">
        <w:rPr>
          <w:noProof/>
        </w:rPr>
        <w:t xml:space="preserve"> (</w:t>
      </w:r>
      <w:r w:rsidR="002B728F">
        <w:rPr>
          <w:noProof/>
        </w:rPr>
        <w:fldChar w:fldCharType="begin"/>
      </w:r>
      <w:r w:rsidR="002B728F">
        <w:rPr>
          <w:noProof/>
        </w:rPr>
        <w:instrText xml:space="preserve"> REF _Ref445132018 \h </w:instrText>
      </w:r>
      <w:r w:rsidR="002B728F">
        <w:rPr>
          <w:noProof/>
        </w:rPr>
      </w:r>
      <w:r w:rsidR="002B728F">
        <w:rPr>
          <w:noProof/>
        </w:rPr>
        <w:fldChar w:fldCharType="separate"/>
      </w:r>
      <w:r>
        <w:t>f</w:t>
      </w:r>
      <w:r w:rsidR="008A3BBD">
        <w:t xml:space="preserve">igure </w:t>
      </w:r>
      <w:r w:rsidR="008A3BBD">
        <w:rPr>
          <w:noProof/>
        </w:rPr>
        <w:t>43</w:t>
      </w:r>
      <w:r w:rsidR="002B728F">
        <w:rPr>
          <w:noProof/>
        </w:rPr>
        <w:fldChar w:fldCharType="end"/>
      </w:r>
      <w:r w:rsidR="006425D4">
        <w:rPr>
          <w:noProof/>
        </w:rPr>
        <w:t>), this does not appear to be because they are less likely to pay bribes. Nearly two</w:t>
      </w:r>
      <w:r>
        <w:rPr>
          <w:noProof/>
        </w:rPr>
        <w:t>-</w:t>
      </w:r>
      <w:r w:rsidR="006425D4">
        <w:rPr>
          <w:noProof/>
        </w:rPr>
        <w:t xml:space="preserve">thirds of those managers </w:t>
      </w:r>
      <w:r w:rsidR="00321280">
        <w:rPr>
          <w:noProof/>
        </w:rPr>
        <w:t xml:space="preserve">reported that </w:t>
      </w:r>
      <w:r w:rsidR="006425D4">
        <w:rPr>
          <w:noProof/>
        </w:rPr>
        <w:t>bribes are needed to get things done, compared to only 21 percent of managers of small firms. This appears, in part, to be because large firms are more likely than small firms to interact with regulators. Previous studies have found similar results for other countries.</w:t>
      </w:r>
    </w:p>
    <w:p w14:paraId="68E99DDF" w14:textId="374E70AE" w:rsidR="00333ACC" w:rsidRDefault="00E66EA5" w:rsidP="00D727BF">
      <w:pPr>
        <w:pStyle w:val="ParagraphNumbering"/>
        <w:numPr>
          <w:ilvl w:val="0"/>
          <w:numId w:val="0"/>
        </w:numPr>
        <w:tabs>
          <w:tab w:val="left" w:pos="720"/>
        </w:tabs>
        <w:spacing w:after="240"/>
        <w:rPr>
          <w:noProof/>
        </w:rPr>
      </w:pPr>
      <w:r>
        <w:rPr>
          <w:b/>
          <w:noProof/>
        </w:rPr>
        <w:tab/>
      </w:r>
      <w:r w:rsidR="0089089C">
        <w:rPr>
          <w:b/>
          <w:noProof/>
        </w:rPr>
        <w:t xml:space="preserve">Firms in Kano and Kaduna </w:t>
      </w:r>
      <w:r w:rsidR="00321280">
        <w:rPr>
          <w:b/>
          <w:noProof/>
        </w:rPr>
        <w:t>are significantly more concerned with</w:t>
      </w:r>
      <w:r w:rsidR="0089089C">
        <w:rPr>
          <w:b/>
          <w:noProof/>
        </w:rPr>
        <w:t xml:space="preserve"> corruption. </w:t>
      </w:r>
      <w:r w:rsidR="0089089C" w:rsidRPr="0089089C">
        <w:rPr>
          <w:noProof/>
        </w:rPr>
        <w:t>About 60 percent of the managers in Kano and Kaduna states said bribes are need</w:t>
      </w:r>
      <w:r w:rsidR="0089089C">
        <w:rPr>
          <w:noProof/>
        </w:rPr>
        <w:t xml:space="preserve">ed to get things done. </w:t>
      </w:r>
      <w:r w:rsidR="0089089C">
        <w:rPr>
          <w:noProof/>
        </w:rPr>
        <w:lastRenderedPageBreak/>
        <w:t xml:space="preserve">The percentage is also quite high in Lagos (36 percent). On the other hand, </w:t>
      </w:r>
      <w:r w:rsidR="00B47511">
        <w:rPr>
          <w:noProof/>
        </w:rPr>
        <w:t>in the other northern and souther</w:t>
      </w:r>
      <w:r>
        <w:rPr>
          <w:noProof/>
        </w:rPr>
        <w:t>n</w:t>
      </w:r>
      <w:r w:rsidR="00B47511">
        <w:rPr>
          <w:noProof/>
        </w:rPr>
        <w:t xml:space="preserve"> states, </w:t>
      </w:r>
      <w:r w:rsidR="0089089C">
        <w:rPr>
          <w:noProof/>
        </w:rPr>
        <w:t xml:space="preserve">only 14 percent and 18 percent of </w:t>
      </w:r>
      <w:r w:rsidR="00B47511">
        <w:rPr>
          <w:noProof/>
        </w:rPr>
        <w:t xml:space="preserve">firm managers report on the importance of </w:t>
      </w:r>
      <w:r w:rsidR="0089089C">
        <w:rPr>
          <w:noProof/>
        </w:rPr>
        <w:t>bribes, respectively.</w:t>
      </w:r>
    </w:p>
    <w:p w14:paraId="64A58598" w14:textId="49C70711" w:rsidR="00340052" w:rsidRDefault="00340052" w:rsidP="00D727BF">
      <w:pPr>
        <w:tabs>
          <w:tab w:val="left" w:pos="720"/>
        </w:tabs>
      </w:pPr>
      <w:bookmarkStart w:id="218" w:name="_Ref431564283"/>
      <w:bookmarkStart w:id="219" w:name="_Ref445131980"/>
      <w:bookmarkStart w:id="220" w:name="_Toc445449660"/>
      <w:r w:rsidRPr="00431C9A">
        <w:rPr>
          <w:rStyle w:val="CaptionChar"/>
        </w:rPr>
        <w:t xml:space="preserve">Figure </w:t>
      </w:r>
      <w:r w:rsidR="00D92B55">
        <w:rPr>
          <w:rStyle w:val="CaptionChar"/>
        </w:rPr>
        <w:fldChar w:fldCharType="begin"/>
      </w:r>
      <w:r w:rsidR="00D92B55">
        <w:rPr>
          <w:rStyle w:val="CaptionChar"/>
        </w:rPr>
        <w:instrText xml:space="preserve"> SEQ Figure \* ARABIC </w:instrText>
      </w:r>
      <w:r w:rsidR="00D92B55">
        <w:rPr>
          <w:rStyle w:val="CaptionChar"/>
        </w:rPr>
        <w:fldChar w:fldCharType="separate"/>
      </w:r>
      <w:r w:rsidR="008A3BBD">
        <w:rPr>
          <w:rStyle w:val="CaptionChar"/>
          <w:noProof/>
        </w:rPr>
        <w:t>42</w:t>
      </w:r>
      <w:r w:rsidR="00D92B55">
        <w:rPr>
          <w:rStyle w:val="CaptionChar"/>
        </w:rPr>
        <w:fldChar w:fldCharType="end"/>
      </w:r>
      <w:bookmarkEnd w:id="217"/>
      <w:bookmarkEnd w:id="218"/>
      <w:bookmarkEnd w:id="219"/>
      <w:r w:rsidRPr="00431C9A">
        <w:rPr>
          <w:rStyle w:val="CaptionChar"/>
        </w:rPr>
        <w:t>:</w:t>
      </w:r>
      <w:r>
        <w:rPr>
          <w:rStyle w:val="CaptionChar"/>
        </w:rPr>
        <w:t xml:space="preserve"> </w:t>
      </w:r>
      <w:r w:rsidRPr="00431C9A">
        <w:rPr>
          <w:rStyle w:val="CaptionChar"/>
        </w:rPr>
        <w:t>Firms Saying that Bribes Are Needed</w:t>
      </w:r>
      <w:bookmarkEnd w:id="220"/>
      <w:r>
        <w:t xml:space="preserve"> </w:t>
      </w:r>
    </w:p>
    <w:p w14:paraId="3D02F2E2" w14:textId="77777777" w:rsidR="00340052" w:rsidRDefault="00340052" w:rsidP="00D727BF">
      <w:pPr>
        <w:tabs>
          <w:tab w:val="left" w:pos="720"/>
        </w:tabs>
      </w:pPr>
      <w:r>
        <w:rPr>
          <w:noProof/>
        </w:rPr>
        <w:drawing>
          <wp:inline distT="0" distB="0" distL="0" distR="0" wp14:anchorId="456A555E" wp14:editId="1B59E153">
            <wp:extent cx="5838825" cy="254317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52C99B3" w14:textId="0EA23BA0" w:rsidR="00340052" w:rsidRPr="001845F3" w:rsidRDefault="00340052" w:rsidP="00D727BF">
      <w:pPr>
        <w:pStyle w:val="FootnoteText"/>
        <w:tabs>
          <w:tab w:val="left" w:pos="720"/>
        </w:tabs>
        <w:spacing w:after="0"/>
        <w:rPr>
          <w:rFonts w:ascii="Times New Roman" w:hAnsi="Times New Roman"/>
        </w:rPr>
      </w:pPr>
      <w:r w:rsidRPr="001845F3">
        <w:rPr>
          <w:rFonts w:ascii="Times New Roman" w:hAnsi="Times New Roman"/>
        </w:rPr>
        <w:t>Source: Authors</w:t>
      </w:r>
      <w:r w:rsidR="00E66EA5">
        <w:rPr>
          <w:rFonts w:ascii="Times New Roman" w:hAnsi="Times New Roman"/>
        </w:rPr>
        <w:t>’</w:t>
      </w:r>
      <w:r w:rsidRPr="001845F3">
        <w:rPr>
          <w:rFonts w:ascii="Times New Roman" w:hAnsi="Times New Roman"/>
        </w:rPr>
        <w:t xml:space="preserve"> calculation based on data from World Bank </w:t>
      </w:r>
      <w:r w:rsidR="00C32950">
        <w:rPr>
          <w:rFonts w:ascii="Times New Roman" w:hAnsi="Times New Roman"/>
        </w:rPr>
        <w:t>enterprise surveys</w:t>
      </w:r>
      <w:r w:rsidRPr="001845F3">
        <w:rPr>
          <w:rFonts w:ascii="Times New Roman" w:hAnsi="Times New Roman"/>
        </w:rPr>
        <w:t>.</w:t>
      </w:r>
      <w:r w:rsidRPr="001845F3">
        <w:rPr>
          <w:rFonts w:ascii="Times New Roman" w:hAnsi="Times New Roman"/>
          <w:szCs w:val="18"/>
        </w:rPr>
        <w:t xml:space="preserve"> (2014</w:t>
      </w:r>
      <w:r w:rsidR="00E66EA5">
        <w:rPr>
          <w:rFonts w:ascii="Calibri" w:hAnsi="Calibri"/>
          <w:szCs w:val="18"/>
        </w:rPr>
        <w:t>‒</w:t>
      </w:r>
      <w:r w:rsidRPr="001845F3">
        <w:rPr>
          <w:rFonts w:ascii="Times New Roman" w:hAnsi="Times New Roman"/>
          <w:szCs w:val="18"/>
        </w:rPr>
        <w:t xml:space="preserve">15 for Nigeria, </w:t>
      </w:r>
      <w:r w:rsidR="00E66EA5">
        <w:rPr>
          <w:rFonts w:ascii="Times New Roman" w:hAnsi="Times New Roman"/>
          <w:szCs w:val="18"/>
        </w:rPr>
        <w:t>l</w:t>
      </w:r>
      <w:r w:rsidRPr="001845F3">
        <w:rPr>
          <w:rFonts w:ascii="Times New Roman" w:hAnsi="Times New Roman"/>
          <w:szCs w:val="18"/>
        </w:rPr>
        <w:t>atest available year for other countries)</w:t>
      </w:r>
    </w:p>
    <w:p w14:paraId="0B113A74" w14:textId="77777777" w:rsidR="00340052" w:rsidRPr="00717FAB" w:rsidRDefault="00340052" w:rsidP="00D727BF">
      <w:pPr>
        <w:pStyle w:val="Caption"/>
        <w:tabs>
          <w:tab w:val="left" w:pos="720"/>
        </w:tabs>
        <w:rPr>
          <w:rFonts w:ascii="Times New Roman" w:hAnsi="Times New Roman"/>
          <w:b w:val="0"/>
          <w:sz w:val="24"/>
          <w:szCs w:val="24"/>
        </w:rPr>
      </w:pPr>
      <w:bookmarkStart w:id="221" w:name="_Ref429692596"/>
    </w:p>
    <w:p w14:paraId="19693701" w14:textId="3C122CC2" w:rsidR="00340052" w:rsidRDefault="00340052" w:rsidP="00D727BF">
      <w:pPr>
        <w:pStyle w:val="Caption"/>
        <w:tabs>
          <w:tab w:val="left" w:pos="720"/>
        </w:tabs>
      </w:pPr>
      <w:bookmarkStart w:id="222" w:name="_Ref431670905"/>
      <w:bookmarkStart w:id="223" w:name="_Ref445132018"/>
      <w:bookmarkStart w:id="224" w:name="_Toc445449661"/>
      <w:r>
        <w:t xml:space="preserve">Figure </w:t>
      </w:r>
      <w:fldSimple w:instr=" SEQ Figure \* ARABIC ">
        <w:r w:rsidR="008A3BBD">
          <w:rPr>
            <w:noProof/>
          </w:rPr>
          <w:t>43</w:t>
        </w:r>
      </w:fldSimple>
      <w:bookmarkEnd w:id="221"/>
      <w:bookmarkEnd w:id="222"/>
      <w:bookmarkEnd w:id="223"/>
      <w:r>
        <w:t xml:space="preserve">: Firms Identifying Corruption as a Problem and Firms Believing They Need </w:t>
      </w:r>
      <w:r w:rsidR="00342802">
        <w:t xml:space="preserve">to </w:t>
      </w:r>
      <w:r>
        <w:t>Pay Bribes</w:t>
      </w:r>
      <w:bookmarkEnd w:id="224"/>
    </w:p>
    <w:p w14:paraId="746FF0DC" w14:textId="77777777" w:rsidR="00340052" w:rsidRDefault="00340052" w:rsidP="00D727BF">
      <w:pPr>
        <w:pStyle w:val="Graph"/>
        <w:tabs>
          <w:tab w:val="left" w:pos="720"/>
        </w:tabs>
      </w:pPr>
      <w:r>
        <w:rPr>
          <w:noProof/>
        </w:rPr>
        <w:drawing>
          <wp:inline distT="0" distB="0" distL="0" distR="0" wp14:anchorId="6225FDC6" wp14:editId="66857FDA">
            <wp:extent cx="5372100" cy="231457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5781D6A" w14:textId="00D60FDE" w:rsidR="00340052" w:rsidRPr="001845F3" w:rsidRDefault="00340052" w:rsidP="00D727BF">
      <w:pPr>
        <w:pStyle w:val="FootnoteText"/>
        <w:tabs>
          <w:tab w:val="left" w:pos="720"/>
        </w:tabs>
        <w:spacing w:after="0"/>
        <w:rPr>
          <w:rFonts w:ascii="Times New Roman" w:hAnsi="Times New Roman"/>
        </w:rPr>
      </w:pPr>
      <w:r w:rsidRPr="001845F3">
        <w:rPr>
          <w:rFonts w:ascii="Times New Roman" w:hAnsi="Times New Roman"/>
        </w:rPr>
        <w:t>Source: Authors</w:t>
      </w:r>
      <w:r w:rsidR="00E66EA5">
        <w:rPr>
          <w:rFonts w:ascii="Times New Roman" w:hAnsi="Times New Roman"/>
        </w:rPr>
        <w:t>’</w:t>
      </w:r>
      <w:r w:rsidRPr="001845F3">
        <w:rPr>
          <w:rFonts w:ascii="Times New Roman" w:hAnsi="Times New Roman"/>
        </w:rPr>
        <w:t xml:space="preserve"> calculation based on data from World Bank </w:t>
      </w:r>
      <w:r w:rsidR="00C32950">
        <w:rPr>
          <w:rFonts w:ascii="Times New Roman" w:hAnsi="Times New Roman"/>
        </w:rPr>
        <w:t>enterprise surveys</w:t>
      </w:r>
      <w:r w:rsidRPr="001845F3">
        <w:rPr>
          <w:rFonts w:ascii="Times New Roman" w:hAnsi="Times New Roman"/>
        </w:rPr>
        <w:t xml:space="preserve"> 2014</w:t>
      </w:r>
      <w:r w:rsidR="00E66EA5">
        <w:rPr>
          <w:rFonts w:ascii="Calibri" w:hAnsi="Calibri"/>
        </w:rPr>
        <w:t>‒</w:t>
      </w:r>
      <w:r w:rsidRPr="001845F3">
        <w:rPr>
          <w:rFonts w:ascii="Times New Roman" w:hAnsi="Times New Roman"/>
        </w:rPr>
        <w:t>15</w:t>
      </w:r>
    </w:p>
    <w:p w14:paraId="4D5687A2" w14:textId="64963BC7" w:rsidR="00340052" w:rsidRDefault="00340052" w:rsidP="00D727BF">
      <w:pPr>
        <w:pStyle w:val="Heading4"/>
        <w:tabs>
          <w:tab w:val="left" w:pos="720"/>
        </w:tabs>
        <w:spacing w:before="240"/>
      </w:pPr>
      <w:r>
        <w:t xml:space="preserve">Access to </w:t>
      </w:r>
      <w:r w:rsidR="004E78E7">
        <w:t>F</w:t>
      </w:r>
      <w:r>
        <w:t>inance</w:t>
      </w:r>
    </w:p>
    <w:p w14:paraId="2BF95D1C" w14:textId="77777777" w:rsidR="006425D4" w:rsidRPr="006425D4" w:rsidRDefault="006425D4" w:rsidP="00D727BF">
      <w:pPr>
        <w:tabs>
          <w:tab w:val="left" w:pos="720"/>
        </w:tabs>
        <w:spacing w:after="0"/>
      </w:pPr>
    </w:p>
    <w:p w14:paraId="0B9E3762" w14:textId="3AF4E3A4" w:rsidR="00340052" w:rsidRDefault="00E66EA5" w:rsidP="00D727BF">
      <w:pPr>
        <w:pStyle w:val="ParagraphNumbering"/>
        <w:numPr>
          <w:ilvl w:val="0"/>
          <w:numId w:val="0"/>
        </w:numPr>
        <w:tabs>
          <w:tab w:val="left" w:pos="720"/>
        </w:tabs>
        <w:spacing w:after="240"/>
        <w:rPr>
          <w:noProof/>
        </w:rPr>
      </w:pPr>
      <w:r>
        <w:rPr>
          <w:b/>
          <w:noProof/>
        </w:rPr>
        <w:tab/>
      </w:r>
      <w:r w:rsidR="00B47511">
        <w:rPr>
          <w:b/>
          <w:noProof/>
        </w:rPr>
        <w:t>Approximately</w:t>
      </w:r>
      <w:r w:rsidR="00B47511" w:rsidRPr="000F6A00">
        <w:rPr>
          <w:b/>
          <w:noProof/>
        </w:rPr>
        <w:t xml:space="preserve"> </w:t>
      </w:r>
      <w:r w:rsidR="00340052" w:rsidRPr="000F6A00">
        <w:rPr>
          <w:b/>
          <w:noProof/>
        </w:rPr>
        <w:t xml:space="preserve">33 percent of managers in Nigeria said that access to finance is a serious problem. </w:t>
      </w:r>
      <w:r w:rsidR="00340052">
        <w:rPr>
          <w:noProof/>
        </w:rPr>
        <w:t xml:space="preserve">This was higher than any other constraint except electricity and corruption. When </w:t>
      </w:r>
      <w:r w:rsidR="00B47511">
        <w:rPr>
          <w:noProof/>
        </w:rPr>
        <w:t>considering</w:t>
      </w:r>
      <w:r w:rsidR="00340052">
        <w:rPr>
          <w:noProof/>
        </w:rPr>
        <w:t xml:space="preserve"> objective measures, Nigerian firms are less likely to have bank credit than firms in most comparator countries (</w:t>
      </w:r>
      <w:r w:rsidR="002B728F">
        <w:rPr>
          <w:noProof/>
        </w:rPr>
        <w:fldChar w:fldCharType="begin"/>
      </w:r>
      <w:r w:rsidR="002B728F">
        <w:rPr>
          <w:noProof/>
        </w:rPr>
        <w:instrText xml:space="preserve"> REF _Ref445132037 \h </w:instrText>
      </w:r>
      <w:r w:rsidR="002B728F">
        <w:rPr>
          <w:noProof/>
        </w:rPr>
      </w:r>
      <w:r w:rsidR="002B728F">
        <w:rPr>
          <w:noProof/>
        </w:rPr>
        <w:fldChar w:fldCharType="separate"/>
      </w:r>
      <w:r>
        <w:t>f</w:t>
      </w:r>
      <w:r w:rsidR="008A3BBD">
        <w:t xml:space="preserve">igure </w:t>
      </w:r>
      <w:r w:rsidR="008A3BBD">
        <w:rPr>
          <w:noProof/>
        </w:rPr>
        <w:t>44</w:t>
      </w:r>
      <w:r w:rsidR="002B728F">
        <w:rPr>
          <w:noProof/>
        </w:rPr>
        <w:fldChar w:fldCharType="end"/>
      </w:r>
      <w:r w:rsidR="00340052">
        <w:rPr>
          <w:noProof/>
        </w:rPr>
        <w:t xml:space="preserve">). Only about 28 percent of Nigerian firms have </w:t>
      </w:r>
      <w:r w:rsidR="00340052">
        <w:rPr>
          <w:noProof/>
        </w:rPr>
        <w:lastRenderedPageBreak/>
        <w:t>either a loan or overdraft facility from a bank, compared to about 29 percent in Russia, 36 percent in China, 60 percent in South Africa, and 92 percent in Brazil. Although Nigeria compares more favorably with African countries, Nigerian firms are less likely to have bank credit than firms in Ghana, Ethiopia</w:t>
      </w:r>
      <w:r>
        <w:rPr>
          <w:noProof/>
        </w:rPr>
        <w:t>,</w:t>
      </w:r>
      <w:r w:rsidR="00340052">
        <w:rPr>
          <w:noProof/>
        </w:rPr>
        <w:t xml:space="preserve"> or Kenya.</w:t>
      </w:r>
      <w:r w:rsidR="00907702">
        <w:rPr>
          <w:noProof/>
        </w:rPr>
        <w:t xml:space="preserve"> However</w:t>
      </w:r>
      <w:r>
        <w:rPr>
          <w:noProof/>
        </w:rPr>
        <w:t>,</w:t>
      </w:r>
      <w:r w:rsidR="00907702">
        <w:rPr>
          <w:noProof/>
        </w:rPr>
        <w:t xml:space="preserve"> there are importance differences across Nigerian regions. </w:t>
      </w:r>
      <w:r w:rsidR="00B47511">
        <w:rPr>
          <w:noProof/>
        </w:rPr>
        <w:t xml:space="preserve">Approximately </w:t>
      </w:r>
      <w:r w:rsidR="00907702">
        <w:rPr>
          <w:noProof/>
        </w:rPr>
        <w:t>66 percent of Nigerian firms in Lagos have either a loan or overdraft facility from a bank</w:t>
      </w:r>
      <w:r w:rsidR="00B47511">
        <w:rPr>
          <w:noProof/>
        </w:rPr>
        <w:t xml:space="preserve">, compared with </w:t>
      </w:r>
      <w:r w:rsidR="00907702">
        <w:rPr>
          <w:noProof/>
        </w:rPr>
        <w:t xml:space="preserve">18 percent in Kano and Kaduna, 11 percent in the other </w:t>
      </w:r>
      <w:r w:rsidR="00044CD3">
        <w:rPr>
          <w:noProof/>
        </w:rPr>
        <w:t>northern</w:t>
      </w:r>
      <w:r w:rsidR="00907702">
        <w:rPr>
          <w:noProof/>
        </w:rPr>
        <w:t xml:space="preserve"> states</w:t>
      </w:r>
      <w:r w:rsidR="00B47511">
        <w:rPr>
          <w:noProof/>
        </w:rPr>
        <w:t>,</w:t>
      </w:r>
      <w:r w:rsidR="00044CD3">
        <w:rPr>
          <w:noProof/>
        </w:rPr>
        <w:t xml:space="preserve"> and 33 percent in the other northern states</w:t>
      </w:r>
      <w:r w:rsidR="00907702">
        <w:rPr>
          <w:noProof/>
        </w:rPr>
        <w:t xml:space="preserve">. This suggests that firms are better </w:t>
      </w:r>
      <w:r w:rsidR="00B47511">
        <w:rPr>
          <w:noProof/>
        </w:rPr>
        <w:t xml:space="preserve">financed </w:t>
      </w:r>
      <w:r w:rsidR="00907702">
        <w:rPr>
          <w:noProof/>
        </w:rPr>
        <w:t xml:space="preserve">in Lagos </w:t>
      </w:r>
      <w:r w:rsidR="00044CD3">
        <w:rPr>
          <w:noProof/>
        </w:rPr>
        <w:t xml:space="preserve">and </w:t>
      </w:r>
      <w:r w:rsidR="002A2158">
        <w:rPr>
          <w:noProof/>
        </w:rPr>
        <w:t xml:space="preserve">the south </w:t>
      </w:r>
      <w:r w:rsidR="00907702">
        <w:rPr>
          <w:noProof/>
        </w:rPr>
        <w:t xml:space="preserve">than in any </w:t>
      </w:r>
      <w:r w:rsidR="00044CD3">
        <w:rPr>
          <w:noProof/>
        </w:rPr>
        <w:t xml:space="preserve">states in </w:t>
      </w:r>
      <w:r w:rsidR="002A2158">
        <w:rPr>
          <w:noProof/>
        </w:rPr>
        <w:t xml:space="preserve">the north </w:t>
      </w:r>
      <w:r w:rsidR="00044CD3">
        <w:rPr>
          <w:noProof/>
        </w:rPr>
        <w:t>of Nigeria</w:t>
      </w:r>
      <w:r w:rsidR="00907702">
        <w:rPr>
          <w:noProof/>
        </w:rPr>
        <w:t>.</w:t>
      </w:r>
    </w:p>
    <w:p w14:paraId="4FBF62CC" w14:textId="5FCDD5D8" w:rsidR="00340052" w:rsidRDefault="00340052" w:rsidP="00D727BF">
      <w:pPr>
        <w:pStyle w:val="Caption"/>
        <w:tabs>
          <w:tab w:val="left" w:pos="720"/>
        </w:tabs>
        <w:jc w:val="center"/>
      </w:pPr>
      <w:bookmarkStart w:id="225" w:name="_Ref429687531"/>
      <w:bookmarkStart w:id="226" w:name="_Ref445132037"/>
      <w:bookmarkStart w:id="227" w:name="_Toc445449662"/>
      <w:r>
        <w:t xml:space="preserve">Figure </w:t>
      </w:r>
      <w:fldSimple w:instr=" SEQ Figure \* ARABIC ">
        <w:r w:rsidR="008A3BBD">
          <w:rPr>
            <w:noProof/>
          </w:rPr>
          <w:t>44</w:t>
        </w:r>
      </w:fldSimple>
      <w:bookmarkEnd w:id="225"/>
      <w:bookmarkEnd w:id="226"/>
      <w:r>
        <w:t>: Percentage of Firms with Credit</w:t>
      </w:r>
      <w:r w:rsidR="00D7103D" w:rsidRPr="00D7103D">
        <w:rPr>
          <w:vertAlign w:val="superscript"/>
        </w:rPr>
        <w:t>1</w:t>
      </w:r>
      <w:r>
        <w:t xml:space="preserve"> and Firms Credit Constrained</w:t>
      </w:r>
      <w:r w:rsidR="00D7103D" w:rsidRPr="00D7103D">
        <w:rPr>
          <w:vertAlign w:val="superscript"/>
        </w:rPr>
        <w:t>2</w:t>
      </w:r>
      <w:bookmarkEnd w:id="227"/>
    </w:p>
    <w:p w14:paraId="7C3E0EC9" w14:textId="77777777" w:rsidR="00340052" w:rsidRDefault="00340052" w:rsidP="00D727BF">
      <w:pPr>
        <w:pStyle w:val="Graph"/>
        <w:tabs>
          <w:tab w:val="left" w:pos="720"/>
        </w:tabs>
      </w:pPr>
      <w:r>
        <w:rPr>
          <w:noProof/>
        </w:rPr>
        <w:drawing>
          <wp:inline distT="0" distB="0" distL="0" distR="0" wp14:anchorId="2A86AFC1" wp14:editId="0C1145A0">
            <wp:extent cx="5886450" cy="271462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3CA3DB0" w14:textId="08346577" w:rsidR="00340052" w:rsidRPr="001845F3" w:rsidRDefault="00340052" w:rsidP="00D727BF">
      <w:pPr>
        <w:pStyle w:val="FootnoteText"/>
        <w:tabs>
          <w:tab w:val="left" w:pos="720"/>
        </w:tabs>
        <w:rPr>
          <w:rFonts w:ascii="Times New Roman" w:hAnsi="Times New Roman"/>
          <w:szCs w:val="18"/>
        </w:rPr>
      </w:pPr>
      <w:r w:rsidRPr="001845F3">
        <w:rPr>
          <w:rFonts w:ascii="Times New Roman" w:hAnsi="Times New Roman"/>
        </w:rPr>
        <w:t xml:space="preserve">Source: Authors calculation based on data from World Bank </w:t>
      </w:r>
      <w:r w:rsidR="00C32950">
        <w:rPr>
          <w:rFonts w:ascii="Times New Roman" w:hAnsi="Times New Roman"/>
        </w:rPr>
        <w:t>enterprise surveys</w:t>
      </w:r>
      <w:r w:rsidRPr="001845F3">
        <w:rPr>
          <w:rFonts w:ascii="Times New Roman" w:hAnsi="Times New Roman"/>
        </w:rPr>
        <w:t xml:space="preserve"> </w:t>
      </w:r>
      <w:r w:rsidRPr="001845F3">
        <w:rPr>
          <w:rFonts w:ascii="Times New Roman" w:hAnsi="Times New Roman"/>
          <w:szCs w:val="18"/>
        </w:rPr>
        <w:t>(2014</w:t>
      </w:r>
      <w:r w:rsidR="00D14A36">
        <w:rPr>
          <w:rFonts w:ascii="Calibri" w:hAnsi="Calibri"/>
          <w:szCs w:val="18"/>
        </w:rPr>
        <w:t>‒</w:t>
      </w:r>
      <w:r w:rsidRPr="001845F3">
        <w:rPr>
          <w:rFonts w:ascii="Times New Roman" w:hAnsi="Times New Roman"/>
          <w:szCs w:val="18"/>
        </w:rPr>
        <w:t xml:space="preserve">15 for Nigeria, </w:t>
      </w:r>
      <w:r w:rsidR="00D14A36">
        <w:rPr>
          <w:rFonts w:ascii="Times New Roman" w:hAnsi="Times New Roman"/>
          <w:szCs w:val="18"/>
        </w:rPr>
        <w:t>l</w:t>
      </w:r>
      <w:r w:rsidRPr="001845F3">
        <w:rPr>
          <w:rFonts w:ascii="Times New Roman" w:hAnsi="Times New Roman"/>
          <w:szCs w:val="18"/>
        </w:rPr>
        <w:t>atest available year for other countries)</w:t>
      </w:r>
    </w:p>
    <w:p w14:paraId="0A91CF0D" w14:textId="523F114F" w:rsidR="002B0CC4" w:rsidRPr="001845F3" w:rsidRDefault="002B0CC4" w:rsidP="00D727BF">
      <w:pPr>
        <w:pStyle w:val="FootnoteText"/>
        <w:tabs>
          <w:tab w:val="left" w:pos="720"/>
        </w:tabs>
        <w:spacing w:after="0"/>
        <w:rPr>
          <w:rFonts w:ascii="Times New Roman" w:hAnsi="Times New Roman"/>
          <w:szCs w:val="18"/>
        </w:rPr>
      </w:pPr>
      <w:r w:rsidRPr="001845F3">
        <w:rPr>
          <w:rFonts w:ascii="Times New Roman" w:hAnsi="Times New Roman"/>
          <w:szCs w:val="18"/>
        </w:rPr>
        <w:t>Note 1: Credit covers loan and line of credit from a financial institution (k8) and/or overdraft facility (k7). If one data is missing for k7 or k8, the computed variable is considered as missing. This explains why the statistics differ from the data published on the Enterprise Survey website.</w:t>
      </w:r>
    </w:p>
    <w:p w14:paraId="16C0DE26" w14:textId="5CBA4118" w:rsidR="002B0CC4" w:rsidRPr="001845F3" w:rsidRDefault="002B0CC4" w:rsidP="00D727BF">
      <w:pPr>
        <w:pStyle w:val="FootnoteText"/>
        <w:tabs>
          <w:tab w:val="left" w:pos="720"/>
        </w:tabs>
        <w:spacing w:after="0"/>
        <w:rPr>
          <w:rFonts w:ascii="Times New Roman" w:hAnsi="Times New Roman"/>
          <w:bCs/>
          <w:color w:val="010202"/>
          <w:szCs w:val="18"/>
        </w:rPr>
      </w:pPr>
      <w:r w:rsidRPr="001845F3">
        <w:rPr>
          <w:rFonts w:ascii="Times New Roman" w:hAnsi="Times New Roman"/>
          <w:szCs w:val="18"/>
        </w:rPr>
        <w:t xml:space="preserve">Note 2: The definition of </w:t>
      </w:r>
      <w:r w:rsidR="00863D16">
        <w:rPr>
          <w:rFonts w:ascii="Times New Roman" w:hAnsi="Times New Roman"/>
          <w:szCs w:val="18"/>
        </w:rPr>
        <w:t>“</w:t>
      </w:r>
      <w:r w:rsidRPr="001845F3">
        <w:rPr>
          <w:rFonts w:ascii="Times New Roman" w:hAnsi="Times New Roman"/>
          <w:szCs w:val="18"/>
        </w:rPr>
        <w:t>Being Credit Constrained</w:t>
      </w:r>
      <w:r w:rsidR="00863D16">
        <w:rPr>
          <w:rFonts w:ascii="Times New Roman" w:hAnsi="Times New Roman"/>
          <w:szCs w:val="18"/>
        </w:rPr>
        <w:t>”</w:t>
      </w:r>
      <w:r w:rsidRPr="001845F3">
        <w:rPr>
          <w:rFonts w:ascii="Times New Roman" w:hAnsi="Times New Roman"/>
          <w:szCs w:val="18"/>
        </w:rPr>
        <w:t xml:space="preserve"> is to be found in the following publication: </w:t>
      </w:r>
      <w:r w:rsidRPr="001845F3">
        <w:rPr>
          <w:rFonts w:ascii="Times New Roman" w:hAnsi="Times New Roman"/>
          <w:noProof/>
          <w:szCs w:val="18"/>
        </w:rPr>
        <w:t xml:space="preserve">World Bank. 2014. </w:t>
      </w:r>
      <w:r w:rsidRPr="001845F3">
        <w:rPr>
          <w:rFonts w:ascii="Times New Roman" w:hAnsi="Times New Roman"/>
          <w:bCs/>
          <w:i/>
          <w:color w:val="010202"/>
          <w:szCs w:val="18"/>
        </w:rPr>
        <w:t>What Have We Learned from the Enterprise Surveys Regarding Access to Credit by SMEs?</w:t>
      </w:r>
      <w:r w:rsidRPr="001845F3">
        <w:rPr>
          <w:rFonts w:ascii="Times New Roman" w:hAnsi="Times New Roman"/>
          <w:bCs/>
          <w:color w:val="010202"/>
          <w:szCs w:val="18"/>
        </w:rPr>
        <w:t xml:space="preserve"> Enterprise Analysis Unit.</w:t>
      </w:r>
    </w:p>
    <w:p w14:paraId="19E0AB38" w14:textId="77777777" w:rsidR="00907702" w:rsidRPr="001845F3" w:rsidRDefault="00907702" w:rsidP="00D727BF">
      <w:pPr>
        <w:pStyle w:val="FootnoteText"/>
        <w:tabs>
          <w:tab w:val="left" w:pos="720"/>
        </w:tabs>
        <w:spacing w:after="0"/>
        <w:rPr>
          <w:rFonts w:ascii="Times New Roman" w:hAnsi="Times New Roman"/>
          <w:bCs/>
          <w:color w:val="010202"/>
          <w:sz w:val="24"/>
          <w:szCs w:val="24"/>
        </w:rPr>
      </w:pPr>
    </w:p>
    <w:p w14:paraId="30C79DFA" w14:textId="4A76E016" w:rsidR="00717FAB" w:rsidRDefault="00E66EA5" w:rsidP="00D727BF">
      <w:pPr>
        <w:pStyle w:val="ParagraphNumbering"/>
        <w:numPr>
          <w:ilvl w:val="0"/>
          <w:numId w:val="0"/>
        </w:numPr>
        <w:tabs>
          <w:tab w:val="left" w:pos="720"/>
        </w:tabs>
        <w:spacing w:after="240"/>
      </w:pPr>
      <w:bookmarkStart w:id="228" w:name="_Ref429689339"/>
      <w:r>
        <w:rPr>
          <w:noProof/>
        </w:rPr>
        <w:tab/>
      </w:r>
      <w:r w:rsidR="00340052" w:rsidRPr="00BF1D97">
        <w:rPr>
          <w:noProof/>
        </w:rPr>
        <w:t xml:space="preserve">Although </w:t>
      </w:r>
      <w:r w:rsidR="00B47511">
        <w:rPr>
          <w:noProof/>
        </w:rPr>
        <w:t xml:space="preserve">relatively </w:t>
      </w:r>
      <w:r w:rsidR="00340052" w:rsidRPr="00BF1D97">
        <w:rPr>
          <w:noProof/>
        </w:rPr>
        <w:t>few Nigerian firms have bank credit,</w:t>
      </w:r>
      <w:r w:rsidR="00340052" w:rsidRPr="00E7282C">
        <w:rPr>
          <w:noProof/>
        </w:rPr>
        <w:t xml:space="preserve"> only about 54 percent </w:t>
      </w:r>
      <w:r w:rsidR="00B47511">
        <w:rPr>
          <w:noProof/>
        </w:rPr>
        <w:t xml:space="preserve">reported to be </w:t>
      </w:r>
      <w:r w:rsidR="00340052" w:rsidRPr="00E7282C">
        <w:rPr>
          <w:noProof/>
        </w:rPr>
        <w:t>credit</w:t>
      </w:r>
      <w:r>
        <w:rPr>
          <w:noProof/>
        </w:rPr>
        <w:t xml:space="preserve"> </w:t>
      </w:r>
      <w:r w:rsidR="00340052" w:rsidRPr="00E7282C">
        <w:rPr>
          <w:noProof/>
        </w:rPr>
        <w:t>constrained</w:t>
      </w:r>
      <w:r w:rsidR="00340052">
        <w:rPr>
          <w:noProof/>
        </w:rPr>
        <w:t xml:space="preserve">. This suggests that </w:t>
      </w:r>
      <w:r w:rsidR="00340052" w:rsidRPr="008D34FE">
        <w:rPr>
          <w:b/>
          <w:noProof/>
        </w:rPr>
        <w:t>demand for credit is relatively low in Nigeria</w:t>
      </w:r>
      <w:r w:rsidR="00340052" w:rsidRPr="00D026BE">
        <w:rPr>
          <w:noProof/>
        </w:rPr>
        <w:t xml:space="preserve">. </w:t>
      </w:r>
      <w:r w:rsidR="00340052" w:rsidRPr="000F6A00">
        <w:rPr>
          <w:noProof/>
        </w:rPr>
        <w:t>Small</w:t>
      </w:r>
      <w:r w:rsidR="00340052" w:rsidRPr="000F6A00">
        <w:t xml:space="preserve"> firms are </w:t>
      </w:r>
      <w:r w:rsidR="00340052" w:rsidRPr="00D026BE">
        <w:rPr>
          <w:noProof/>
        </w:rPr>
        <w:t>far le</w:t>
      </w:r>
      <w:r w:rsidR="00340052">
        <w:rPr>
          <w:noProof/>
        </w:rPr>
        <w:t>ss likely to have banks loans than large firms (</w:t>
      </w:r>
      <w:r>
        <w:rPr>
          <w:noProof/>
        </w:rPr>
        <w:t>figure 45</w:t>
      </w:r>
      <w:r w:rsidR="00340052">
        <w:rPr>
          <w:noProof/>
        </w:rPr>
        <w:t>). This is also the case in all comparator countries; however, the difference is particularly striking in Nigeria, where only about 26 percent of small and medium firms have bank loans, compared to 55 percent of large firms—a difference of 29 percent. This is larger than in any of the comparator countries except Ethiopia, where the difference is 31 percent. This suggests that although small firms commonly</w:t>
      </w:r>
      <w:r w:rsidR="00340052">
        <w:t xml:space="preserve"> have worse access than large firms, small firms in Nigeria appear to be particularly disadvantaged in this respect.</w:t>
      </w:r>
      <w:bookmarkStart w:id="229" w:name="_Ref431564368"/>
    </w:p>
    <w:p w14:paraId="235B8D5F" w14:textId="77777777" w:rsidR="007C716F" w:rsidRDefault="007C716F" w:rsidP="00D727BF">
      <w:pPr>
        <w:pStyle w:val="ParagraphNumbering"/>
        <w:numPr>
          <w:ilvl w:val="0"/>
          <w:numId w:val="0"/>
        </w:numPr>
        <w:tabs>
          <w:tab w:val="left" w:pos="720"/>
        </w:tabs>
        <w:spacing w:after="240"/>
      </w:pPr>
    </w:p>
    <w:p w14:paraId="18EAD367" w14:textId="77777777" w:rsidR="007C716F" w:rsidRDefault="007C716F" w:rsidP="00D727BF">
      <w:pPr>
        <w:pStyle w:val="ParagraphNumbering"/>
        <w:numPr>
          <w:ilvl w:val="0"/>
          <w:numId w:val="0"/>
        </w:numPr>
        <w:tabs>
          <w:tab w:val="left" w:pos="720"/>
        </w:tabs>
        <w:spacing w:after="240"/>
      </w:pPr>
    </w:p>
    <w:p w14:paraId="2114845F" w14:textId="77777777" w:rsidR="007C716F" w:rsidRDefault="007C716F" w:rsidP="00D727BF">
      <w:pPr>
        <w:pStyle w:val="ParagraphNumbering"/>
        <w:numPr>
          <w:ilvl w:val="0"/>
          <w:numId w:val="0"/>
        </w:numPr>
        <w:tabs>
          <w:tab w:val="left" w:pos="720"/>
        </w:tabs>
        <w:spacing w:after="240"/>
      </w:pPr>
    </w:p>
    <w:p w14:paraId="7AB92BD1" w14:textId="6B937896" w:rsidR="00340052" w:rsidRDefault="00340052" w:rsidP="00D727BF">
      <w:pPr>
        <w:pStyle w:val="Caption"/>
        <w:tabs>
          <w:tab w:val="left" w:pos="720"/>
        </w:tabs>
        <w:jc w:val="center"/>
      </w:pPr>
      <w:bookmarkStart w:id="230" w:name="_Ref445132058"/>
      <w:bookmarkStart w:id="231" w:name="_Toc445449663"/>
      <w:r>
        <w:t xml:space="preserve">Figure </w:t>
      </w:r>
      <w:fldSimple w:instr=" SEQ Figure \* ARABIC ">
        <w:r w:rsidR="008A3BBD">
          <w:rPr>
            <w:noProof/>
          </w:rPr>
          <w:t>45</w:t>
        </w:r>
      </w:fldSimple>
      <w:bookmarkEnd w:id="228"/>
      <w:bookmarkEnd w:id="229"/>
      <w:bookmarkEnd w:id="230"/>
      <w:r>
        <w:t xml:space="preserve">: Percentage of Firms with a Credit, by </w:t>
      </w:r>
      <w:r w:rsidR="00D7103D">
        <w:t xml:space="preserve">Firm </w:t>
      </w:r>
      <w:r>
        <w:t>Size</w:t>
      </w:r>
      <w:bookmarkEnd w:id="231"/>
    </w:p>
    <w:p w14:paraId="2CD2EF68" w14:textId="77777777" w:rsidR="00340052" w:rsidRDefault="00340052" w:rsidP="00D727BF">
      <w:pPr>
        <w:pStyle w:val="Graph"/>
        <w:tabs>
          <w:tab w:val="left" w:pos="720"/>
        </w:tabs>
        <w:spacing w:before="0"/>
      </w:pPr>
      <w:r w:rsidRPr="00DC2BE0">
        <w:rPr>
          <w:rFonts w:ascii="Trebuchet MS" w:hAnsi="Trebuchet MS"/>
          <w:noProof/>
          <w:sz w:val="18"/>
          <w:szCs w:val="18"/>
        </w:rPr>
        <w:drawing>
          <wp:inline distT="0" distB="0" distL="0" distR="0" wp14:anchorId="0DA8BBAF" wp14:editId="1D34D0AA">
            <wp:extent cx="5886450" cy="25527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33733A3" w14:textId="31A83DC2" w:rsidR="00340052" w:rsidRPr="001845F3" w:rsidRDefault="00340052" w:rsidP="00D727BF">
      <w:pPr>
        <w:pStyle w:val="FootnoteText"/>
        <w:tabs>
          <w:tab w:val="left" w:pos="720"/>
        </w:tabs>
        <w:spacing w:after="0"/>
        <w:rPr>
          <w:rFonts w:ascii="Times New Roman" w:hAnsi="Times New Roman"/>
        </w:rPr>
      </w:pPr>
      <w:r w:rsidRPr="001845F3">
        <w:rPr>
          <w:rFonts w:ascii="Times New Roman" w:hAnsi="Times New Roman"/>
        </w:rPr>
        <w:t>Source: Authors</w:t>
      </w:r>
      <w:r w:rsidR="00E66EA5">
        <w:rPr>
          <w:rFonts w:ascii="Times New Roman" w:hAnsi="Times New Roman"/>
        </w:rPr>
        <w:t>’</w:t>
      </w:r>
      <w:r w:rsidRPr="001845F3">
        <w:rPr>
          <w:rFonts w:ascii="Times New Roman" w:hAnsi="Times New Roman"/>
        </w:rPr>
        <w:t xml:space="preserve"> calculation based on data from World Bank </w:t>
      </w:r>
      <w:r w:rsidR="00C32950">
        <w:rPr>
          <w:rFonts w:ascii="Times New Roman" w:hAnsi="Times New Roman"/>
        </w:rPr>
        <w:t>enterprise surveys</w:t>
      </w:r>
      <w:r w:rsidRPr="001845F3">
        <w:rPr>
          <w:rFonts w:ascii="Times New Roman" w:hAnsi="Times New Roman"/>
        </w:rPr>
        <w:t xml:space="preserve"> </w:t>
      </w:r>
      <w:r w:rsidRPr="001845F3">
        <w:rPr>
          <w:rFonts w:ascii="Times New Roman" w:hAnsi="Times New Roman"/>
          <w:szCs w:val="18"/>
        </w:rPr>
        <w:t>(2014</w:t>
      </w:r>
      <w:r w:rsidR="00E66EA5">
        <w:rPr>
          <w:rFonts w:ascii="Calibri" w:hAnsi="Calibri"/>
          <w:szCs w:val="18"/>
        </w:rPr>
        <w:t>‒</w:t>
      </w:r>
      <w:r w:rsidRPr="001845F3">
        <w:rPr>
          <w:rFonts w:ascii="Times New Roman" w:hAnsi="Times New Roman"/>
          <w:szCs w:val="18"/>
        </w:rPr>
        <w:t xml:space="preserve">15 for Nigeria, </w:t>
      </w:r>
      <w:r w:rsidR="00E66EA5">
        <w:rPr>
          <w:rFonts w:ascii="Times New Roman" w:hAnsi="Times New Roman"/>
          <w:szCs w:val="18"/>
        </w:rPr>
        <w:t>l</w:t>
      </w:r>
      <w:r w:rsidRPr="001845F3">
        <w:rPr>
          <w:rFonts w:ascii="Times New Roman" w:hAnsi="Times New Roman"/>
          <w:szCs w:val="18"/>
        </w:rPr>
        <w:t>atest available year for other countries)</w:t>
      </w:r>
    </w:p>
    <w:p w14:paraId="67C4B94C" w14:textId="08D58C82" w:rsidR="00340052" w:rsidRPr="00FA1248" w:rsidRDefault="00340052" w:rsidP="00D727BF">
      <w:pPr>
        <w:pStyle w:val="Heading4"/>
        <w:tabs>
          <w:tab w:val="left" w:pos="720"/>
        </w:tabs>
        <w:spacing w:before="240"/>
      </w:pPr>
      <w:r w:rsidRPr="00FA1248">
        <w:t xml:space="preserve">Tax </w:t>
      </w:r>
      <w:r w:rsidR="004E78E7">
        <w:t>R</w:t>
      </w:r>
      <w:r w:rsidRPr="00FA1248">
        <w:t>ates</w:t>
      </w:r>
      <w:r>
        <w:t xml:space="preserve"> and </w:t>
      </w:r>
      <w:r w:rsidR="004E78E7">
        <w:t>A</w:t>
      </w:r>
      <w:r>
        <w:t>dministration</w:t>
      </w:r>
    </w:p>
    <w:p w14:paraId="01058496" w14:textId="45812BBC" w:rsidR="00340052" w:rsidRDefault="00E66EA5" w:rsidP="00D727BF">
      <w:pPr>
        <w:pStyle w:val="ParagraphNumbering"/>
        <w:numPr>
          <w:ilvl w:val="0"/>
          <w:numId w:val="0"/>
        </w:numPr>
        <w:tabs>
          <w:tab w:val="left" w:pos="720"/>
        </w:tabs>
        <w:spacing w:before="240" w:after="240"/>
      </w:pPr>
      <w:r>
        <w:rPr>
          <w:b/>
        </w:rPr>
        <w:tab/>
      </w:r>
      <w:r w:rsidR="00340052" w:rsidRPr="000F6A00">
        <w:rPr>
          <w:b/>
        </w:rPr>
        <w:t>Taxes did not rank among the greatest constraints in Nigeria overall;</w:t>
      </w:r>
      <w:r w:rsidR="00340052">
        <w:t xml:space="preserve"> however, many large firms</w:t>
      </w:r>
      <w:r>
        <w:t>’</w:t>
      </w:r>
      <w:r w:rsidR="00340052">
        <w:t xml:space="preserve"> </w:t>
      </w:r>
      <w:r w:rsidR="00B47511">
        <w:t xml:space="preserve">managers reported to be concerned with </w:t>
      </w:r>
      <w:r w:rsidR="00340052">
        <w:t xml:space="preserve">both tax rates and tax administration. The </w:t>
      </w:r>
      <w:r w:rsidR="00C32950">
        <w:t>enterprise survey</w:t>
      </w:r>
      <w:r w:rsidR="00340052">
        <w:t xml:space="preserve"> did not include any objective questions on taxes. It is possible, however, to look at the Doing Business Report to compare tax rates and tax administration in Nigeria with those in other countries.</w:t>
      </w:r>
    </w:p>
    <w:p w14:paraId="4BBC1827" w14:textId="6457BA4F" w:rsidR="00340052" w:rsidRPr="00E53341" w:rsidRDefault="00E66EA5" w:rsidP="00D727BF">
      <w:pPr>
        <w:pStyle w:val="ParagraphNumbering"/>
        <w:numPr>
          <w:ilvl w:val="0"/>
          <w:numId w:val="0"/>
        </w:numPr>
        <w:tabs>
          <w:tab w:val="left" w:pos="720"/>
        </w:tabs>
        <w:rPr>
          <w:rFonts w:eastAsia="Calibri"/>
        </w:rPr>
      </w:pPr>
      <w:r>
        <w:tab/>
      </w:r>
      <w:r w:rsidR="00340052" w:rsidRPr="00E53341">
        <w:t>Large firms reported that tax rates are a serious obstacle</w:t>
      </w:r>
      <w:r>
        <w:t>,</w:t>
      </w:r>
      <w:r w:rsidR="00340052" w:rsidRPr="00E53341">
        <w:t xml:space="preserve"> but they do not appear </w:t>
      </w:r>
      <w:r w:rsidR="00B47511">
        <w:t xml:space="preserve">inconsistent </w:t>
      </w:r>
      <w:r w:rsidR="00340052" w:rsidRPr="00E53341">
        <w:t>with tax rates in the comparator countries. According to the Doing Business Report, the total tax rate in Nigeria is about 33 percent (</w:t>
      </w:r>
      <w:r>
        <w:t>f</w:t>
      </w:r>
      <w:r w:rsidR="00E73CE3">
        <w:t>igure 46</w:t>
      </w:r>
      <w:r w:rsidR="00340052" w:rsidRPr="00E53341">
        <w:t>). Although this is slightly higher than in South Africa and Ethiopia</w:t>
      </w:r>
      <w:r w:rsidR="00B47511">
        <w:t xml:space="preserve">, it is similar to Ghana and </w:t>
      </w:r>
      <w:r w:rsidR="00340052" w:rsidRPr="00E53341">
        <w:t>lower than in India, China</w:t>
      </w:r>
      <w:r>
        <w:t>,</w:t>
      </w:r>
      <w:r w:rsidR="00340052" w:rsidRPr="00E53341">
        <w:t xml:space="preserve"> and Brazil, where rates are 62, 65</w:t>
      </w:r>
      <w:r>
        <w:t>,</w:t>
      </w:r>
      <w:r w:rsidR="00340052" w:rsidRPr="00E53341">
        <w:t xml:space="preserve"> and 69 percent, respectively. </w:t>
      </w:r>
    </w:p>
    <w:p w14:paraId="6D02ED75" w14:textId="77777777" w:rsidR="00D707F1" w:rsidRDefault="00D707F1" w:rsidP="00D727BF">
      <w:pPr>
        <w:pStyle w:val="Caption"/>
        <w:tabs>
          <w:tab w:val="left" w:pos="720"/>
        </w:tabs>
        <w:jc w:val="center"/>
      </w:pPr>
      <w:bookmarkStart w:id="232" w:name="_Ref429754802"/>
      <w:bookmarkStart w:id="233" w:name="_Ref431670946"/>
      <w:bookmarkStart w:id="234" w:name="_Ref445132074"/>
      <w:r>
        <w:br w:type="page"/>
      </w:r>
    </w:p>
    <w:p w14:paraId="739F2C60" w14:textId="50ABBBB2" w:rsidR="00340052" w:rsidRDefault="00340052" w:rsidP="00D727BF">
      <w:pPr>
        <w:pStyle w:val="Caption"/>
        <w:tabs>
          <w:tab w:val="left" w:pos="720"/>
        </w:tabs>
        <w:jc w:val="center"/>
      </w:pPr>
      <w:bookmarkStart w:id="235" w:name="_Toc445449664"/>
      <w:r>
        <w:lastRenderedPageBreak/>
        <w:t xml:space="preserve">Figure </w:t>
      </w:r>
      <w:fldSimple w:instr=" SEQ Figure \* ARABIC ">
        <w:r w:rsidR="008A3BBD">
          <w:rPr>
            <w:noProof/>
          </w:rPr>
          <w:t>46</w:t>
        </w:r>
      </w:fldSimple>
      <w:bookmarkEnd w:id="232"/>
      <w:bookmarkEnd w:id="233"/>
      <w:bookmarkEnd w:id="234"/>
      <w:r>
        <w:t>: Total Tax Rate - Percentage of Profits</w:t>
      </w:r>
      <w:bookmarkEnd w:id="235"/>
    </w:p>
    <w:p w14:paraId="3C766718" w14:textId="77777777" w:rsidR="00340052" w:rsidRDefault="00340052" w:rsidP="00D727BF">
      <w:pPr>
        <w:pStyle w:val="Graph"/>
        <w:tabs>
          <w:tab w:val="left" w:pos="720"/>
        </w:tabs>
        <w:spacing w:before="0"/>
      </w:pPr>
      <w:r>
        <w:rPr>
          <w:noProof/>
        </w:rPr>
        <w:drawing>
          <wp:inline distT="0" distB="0" distL="0" distR="0" wp14:anchorId="0E35C40E" wp14:editId="497F64FC">
            <wp:extent cx="5767753" cy="2239108"/>
            <wp:effectExtent l="0" t="0" r="4445" b="889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55DE640" w14:textId="77777777" w:rsidR="00340052" w:rsidRPr="001845F3" w:rsidRDefault="00340052" w:rsidP="00D727BF">
      <w:pPr>
        <w:pStyle w:val="FootnoteText"/>
        <w:tabs>
          <w:tab w:val="left" w:pos="720"/>
        </w:tabs>
        <w:rPr>
          <w:rFonts w:ascii="Times New Roman" w:hAnsi="Times New Roman"/>
        </w:rPr>
      </w:pPr>
      <w:r w:rsidRPr="001845F3">
        <w:rPr>
          <w:rFonts w:ascii="Times New Roman" w:hAnsi="Times New Roman"/>
        </w:rPr>
        <w:t>Source: Doing Business Report (2014).</w:t>
      </w:r>
    </w:p>
    <w:p w14:paraId="1E56F99F" w14:textId="77777777" w:rsidR="00340052" w:rsidRPr="001845F3" w:rsidRDefault="00340052" w:rsidP="00D727BF">
      <w:pPr>
        <w:pStyle w:val="FootnoteText"/>
        <w:tabs>
          <w:tab w:val="left" w:pos="720"/>
        </w:tabs>
        <w:spacing w:after="0"/>
        <w:rPr>
          <w:rFonts w:ascii="Times New Roman" w:hAnsi="Times New Roman"/>
          <w:sz w:val="24"/>
          <w:szCs w:val="24"/>
        </w:rPr>
      </w:pPr>
    </w:p>
    <w:p w14:paraId="09B31079" w14:textId="31E3BD82" w:rsidR="00340052" w:rsidRDefault="00762380" w:rsidP="00D727BF">
      <w:pPr>
        <w:pStyle w:val="ParagraphNumbering"/>
        <w:numPr>
          <w:ilvl w:val="0"/>
          <w:numId w:val="0"/>
        </w:numPr>
        <w:tabs>
          <w:tab w:val="left" w:pos="720"/>
        </w:tabs>
        <w:spacing w:after="240"/>
      </w:pPr>
      <w:bookmarkStart w:id="236" w:name="_Ref429755230"/>
      <w:r>
        <w:rPr>
          <w:b/>
        </w:rPr>
        <w:tab/>
      </w:r>
      <w:r w:rsidR="00340052" w:rsidRPr="008E632B">
        <w:rPr>
          <w:b/>
        </w:rPr>
        <w:t>Nigeria compares less well with respect to tax administration.</w:t>
      </w:r>
      <w:r w:rsidR="00340052">
        <w:t xml:space="preserve"> It takes more than 900 hours to deal with tax requirements in Nigeria, according to the Doing Business Report</w:t>
      </w:r>
      <w:r>
        <w:t>—</w:t>
      </w:r>
      <w:r w:rsidR="00340052">
        <w:t>far higher than in any comparator country other than Brazil (</w:t>
      </w:r>
      <w:r w:rsidR="002B728F">
        <w:fldChar w:fldCharType="begin"/>
      </w:r>
      <w:r w:rsidR="002B728F">
        <w:instrText xml:space="preserve"> REF _Ref445132087 \h </w:instrText>
      </w:r>
      <w:r w:rsidR="002B728F">
        <w:fldChar w:fldCharType="separate"/>
      </w:r>
      <w:r>
        <w:t>f</w:t>
      </w:r>
      <w:r w:rsidR="008A3BBD">
        <w:t xml:space="preserve">igure </w:t>
      </w:r>
      <w:r w:rsidR="008A3BBD">
        <w:rPr>
          <w:noProof/>
        </w:rPr>
        <w:t>47</w:t>
      </w:r>
      <w:r w:rsidR="002B728F">
        <w:fldChar w:fldCharType="end"/>
      </w:r>
      <w:r w:rsidR="00340052">
        <w:t xml:space="preserve">). Firms in Russia only spend 168 hours dealing with tax requirements, and firms in China spend only 261 hours. In summary, although tax rates do not appear </w:t>
      </w:r>
      <w:r w:rsidR="00B47511">
        <w:t>inconsistent</w:t>
      </w:r>
      <w:r w:rsidR="00340052">
        <w:t xml:space="preserve"> with rates in other countries, tax administration is more burdensome in Nigeria than in most comparator countries. In addition, the YouWin survey asked business owners an open-ended question about what </w:t>
      </w:r>
      <w:r w:rsidR="00340052" w:rsidRPr="007C0EFA">
        <w:t>law they would change if they could and how they would change it</w:t>
      </w:r>
      <w:r w:rsidR="00340052" w:rsidRPr="009832AE">
        <w:t>.</w:t>
      </w:r>
      <w:r w:rsidR="00340052">
        <w:t xml:space="preserve"> The most common response was </w:t>
      </w:r>
      <w:r w:rsidR="00340052" w:rsidRPr="00D727BF">
        <w:rPr>
          <w:i/>
        </w:rPr>
        <w:t>tax law</w:t>
      </w:r>
      <w:r w:rsidR="00340052">
        <w:t>. In addition to wanting lower taxes, business owners would like there to be a unified tax policy, with only one body in charge of collecting a single business tax instead of having to make multiple payments to different entities</w:t>
      </w:r>
      <w:r w:rsidR="00340052">
        <w:rPr>
          <w:i/>
        </w:rPr>
        <w:t>.</w:t>
      </w:r>
    </w:p>
    <w:p w14:paraId="358B9EEA" w14:textId="7BA77BF6" w:rsidR="00340052" w:rsidRDefault="00340052" w:rsidP="00D727BF">
      <w:pPr>
        <w:pStyle w:val="Caption"/>
        <w:tabs>
          <w:tab w:val="left" w:pos="720"/>
        </w:tabs>
        <w:jc w:val="center"/>
      </w:pPr>
      <w:bookmarkStart w:id="237" w:name="_Ref431564417"/>
      <w:bookmarkStart w:id="238" w:name="_Ref445132087"/>
      <w:bookmarkStart w:id="239" w:name="_Toc445449665"/>
      <w:r>
        <w:t xml:space="preserve">Figure </w:t>
      </w:r>
      <w:fldSimple w:instr=" SEQ Figure \* ARABIC ">
        <w:r w:rsidR="008A3BBD">
          <w:rPr>
            <w:noProof/>
          </w:rPr>
          <w:t>47</w:t>
        </w:r>
      </w:fldSimple>
      <w:bookmarkEnd w:id="236"/>
      <w:bookmarkEnd w:id="237"/>
      <w:bookmarkEnd w:id="238"/>
      <w:r>
        <w:t xml:space="preserve">: Hours </w:t>
      </w:r>
      <w:r w:rsidR="00342802">
        <w:t>p</w:t>
      </w:r>
      <w:r>
        <w:t>er Year Spent on Tax Administration</w:t>
      </w:r>
      <w:bookmarkEnd w:id="239"/>
    </w:p>
    <w:p w14:paraId="485C503F" w14:textId="77777777" w:rsidR="00340052" w:rsidRDefault="00340052" w:rsidP="00D727BF">
      <w:pPr>
        <w:pStyle w:val="Graph"/>
        <w:tabs>
          <w:tab w:val="left" w:pos="720"/>
        </w:tabs>
        <w:spacing w:before="0"/>
      </w:pPr>
      <w:r>
        <w:rPr>
          <w:noProof/>
        </w:rPr>
        <w:drawing>
          <wp:inline distT="0" distB="0" distL="0" distR="0" wp14:anchorId="39871109" wp14:editId="0DA5503A">
            <wp:extent cx="5767753" cy="2590800"/>
            <wp:effectExtent l="0" t="0" r="444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87F678B" w14:textId="08E9FF45" w:rsidR="00340052" w:rsidRDefault="00340052" w:rsidP="00D727BF">
      <w:pPr>
        <w:pStyle w:val="FootnoteText"/>
        <w:tabs>
          <w:tab w:val="left" w:pos="720"/>
        </w:tabs>
        <w:spacing w:after="240"/>
        <w:rPr>
          <w:rFonts w:ascii="Times New Roman" w:hAnsi="Times New Roman"/>
        </w:rPr>
      </w:pPr>
      <w:r w:rsidRPr="001845F3">
        <w:rPr>
          <w:rFonts w:ascii="Times New Roman" w:hAnsi="Times New Roman"/>
        </w:rPr>
        <w:t>Source: Doing Business Report (2014)</w:t>
      </w:r>
    </w:p>
    <w:p w14:paraId="064D9146" w14:textId="77777777" w:rsidR="00C8596B" w:rsidRPr="001845F3" w:rsidRDefault="00C8596B" w:rsidP="00D727BF">
      <w:pPr>
        <w:pStyle w:val="FootnoteText"/>
        <w:tabs>
          <w:tab w:val="left" w:pos="720"/>
        </w:tabs>
        <w:spacing w:after="240"/>
        <w:rPr>
          <w:rFonts w:ascii="Times New Roman" w:hAnsi="Times New Roman"/>
        </w:rPr>
      </w:pPr>
    </w:p>
    <w:p w14:paraId="6AB3ED20" w14:textId="77777777" w:rsidR="00340052" w:rsidRPr="00DD3B62" w:rsidRDefault="00340052"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line="22" w:lineRule="atLeast"/>
        <w:ind w:left="14" w:hanging="14"/>
        <w:jc w:val="center"/>
        <w:rPr>
          <w:rFonts w:eastAsia="Calibri"/>
          <w:b/>
          <w:color w:val="920016" w:themeColor="accent4"/>
          <w:sz w:val="22"/>
        </w:rPr>
      </w:pPr>
      <w:r w:rsidRPr="00DD3B62">
        <w:rPr>
          <w:rFonts w:eastAsia="Calibri"/>
          <w:b/>
          <w:color w:val="920016" w:themeColor="accent4"/>
          <w:sz w:val="22"/>
        </w:rPr>
        <w:lastRenderedPageBreak/>
        <w:t>Box 2:</w:t>
      </w:r>
      <w:r>
        <w:rPr>
          <w:rFonts w:eastAsia="Calibri"/>
          <w:b/>
          <w:color w:val="920016" w:themeColor="accent4"/>
          <w:sz w:val="22"/>
        </w:rPr>
        <w:t xml:space="preserve"> </w:t>
      </w:r>
      <w:r w:rsidRPr="00DD3B62">
        <w:rPr>
          <w:rFonts w:eastAsia="Calibri"/>
          <w:b/>
          <w:color w:val="920016" w:themeColor="accent4"/>
          <w:sz w:val="22"/>
        </w:rPr>
        <w:t>Trade in Nigeria</w:t>
      </w:r>
    </w:p>
    <w:p w14:paraId="139CD638" w14:textId="269B1C6E" w:rsidR="00340052" w:rsidRPr="000F6A00" w:rsidRDefault="00340052"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20"/>
        <w:ind w:left="14" w:hanging="14"/>
        <w:rPr>
          <w:rFonts w:eastAsia="Calibri"/>
          <w:sz w:val="22"/>
        </w:rPr>
      </w:pPr>
      <w:r w:rsidRPr="000F6A00">
        <w:rPr>
          <w:rFonts w:eastAsia="Calibri"/>
          <w:sz w:val="22"/>
        </w:rPr>
        <w:t>The Nigerian market is relatively closed. Most manufacturing firms serve the domestic market. Only 16 percent indeed report exporting</w:t>
      </w:r>
      <w:r w:rsidR="00BD4850">
        <w:rPr>
          <w:rFonts w:eastAsia="Calibri"/>
          <w:sz w:val="22"/>
        </w:rPr>
        <w:t>,</w:t>
      </w:r>
      <w:r w:rsidRPr="000F6A00">
        <w:rPr>
          <w:rFonts w:eastAsia="Calibri"/>
          <w:sz w:val="22"/>
        </w:rPr>
        <w:t xml:space="preserve"> and the proportion of sales being exported is relatively small (about 38 percent). On the other hand, a large proportion of firms indicate that they import products from abroad (about 42 percent). However</w:t>
      </w:r>
      <w:r w:rsidR="00BD4850">
        <w:rPr>
          <w:rFonts w:eastAsia="Calibri"/>
          <w:sz w:val="22"/>
        </w:rPr>
        <w:t>,</w:t>
      </w:r>
      <w:r w:rsidRPr="000F6A00">
        <w:rPr>
          <w:rFonts w:eastAsia="Calibri"/>
          <w:sz w:val="22"/>
        </w:rPr>
        <w:t xml:space="preserve"> most of their inputs are sourced locally. On average, only 17 percent of the material inputs and supplies are imported.</w:t>
      </w:r>
    </w:p>
    <w:p w14:paraId="02D2E3E9" w14:textId="13F2A1C8" w:rsidR="00340052" w:rsidRDefault="00340052"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20"/>
        <w:rPr>
          <w:rFonts w:eastAsia="Calibri"/>
          <w:sz w:val="22"/>
        </w:rPr>
      </w:pPr>
      <w:r w:rsidRPr="000F6A00">
        <w:rPr>
          <w:rFonts w:eastAsia="Calibri"/>
          <w:sz w:val="22"/>
        </w:rPr>
        <w:t>Nigeria fares relatively well when looking at the functioning of the customs</w:t>
      </w:r>
      <w:r>
        <w:rPr>
          <w:rFonts w:eastAsia="Calibri"/>
          <w:sz w:val="22"/>
        </w:rPr>
        <w:t>, though there is a difference between Lagos and Kano that is due to inland transportation costs.</w:t>
      </w:r>
      <w:r w:rsidRPr="000F6A00">
        <w:rPr>
          <w:rFonts w:eastAsia="Calibri"/>
          <w:sz w:val="22"/>
        </w:rPr>
        <w:t xml:space="preserve"> </w:t>
      </w:r>
      <w:r>
        <w:rPr>
          <w:rFonts w:eastAsia="Calibri"/>
          <w:sz w:val="22"/>
        </w:rPr>
        <w:t xml:space="preserve">According to </w:t>
      </w:r>
      <w:r w:rsidRPr="000F6A00">
        <w:rPr>
          <w:rFonts w:eastAsia="Calibri"/>
          <w:i/>
          <w:sz w:val="22"/>
        </w:rPr>
        <w:t>Trading Across Borders</w:t>
      </w:r>
      <w:r w:rsidRPr="000F6A00">
        <w:rPr>
          <w:rFonts w:eastAsia="Calibri"/>
          <w:sz w:val="22"/>
        </w:rPr>
        <w:t xml:space="preserve"> (</w:t>
      </w:r>
      <w:r>
        <w:rPr>
          <w:rFonts w:eastAsia="Calibri"/>
          <w:sz w:val="22"/>
        </w:rPr>
        <w:t>2014</w:t>
      </w:r>
      <w:r w:rsidRPr="000F6A00">
        <w:rPr>
          <w:rFonts w:eastAsia="Calibri"/>
          <w:sz w:val="22"/>
        </w:rPr>
        <w:t>)</w:t>
      </w:r>
      <w:r>
        <w:rPr>
          <w:rFonts w:eastAsia="Calibri"/>
          <w:sz w:val="22"/>
        </w:rPr>
        <w:t>, cost</w:t>
      </w:r>
      <w:r w:rsidR="00BD4850">
        <w:rPr>
          <w:rFonts w:eastAsia="Calibri"/>
          <w:sz w:val="22"/>
        </w:rPr>
        <w:t>s</w:t>
      </w:r>
      <w:r>
        <w:rPr>
          <w:rFonts w:eastAsia="Calibri"/>
          <w:sz w:val="22"/>
        </w:rPr>
        <w:t xml:space="preserve"> of exporting are low compared to the ones faced by most comparator countries. The same applies for import costs </w:t>
      </w:r>
      <w:r w:rsidR="00BD4850">
        <w:rPr>
          <w:rFonts w:eastAsia="Calibri"/>
          <w:sz w:val="22"/>
        </w:rPr>
        <w:t xml:space="preserve">that </w:t>
      </w:r>
      <w:r>
        <w:rPr>
          <w:rFonts w:eastAsia="Calibri"/>
          <w:sz w:val="22"/>
        </w:rPr>
        <w:t xml:space="preserve">are relatively low too for Lagos. The breakdown indicates that ports and terminal handling account for the larger share of the export and import costs. </w:t>
      </w:r>
    </w:p>
    <w:p w14:paraId="6F7E12A5" w14:textId="3A047D2D" w:rsidR="00340052" w:rsidRPr="000F6A00" w:rsidRDefault="00340052"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20"/>
        <w:rPr>
          <w:rFonts w:ascii="Trebuchet MS" w:eastAsia="Calibri" w:hAnsi="Trebuchet MS"/>
          <w:b/>
          <w:sz w:val="22"/>
        </w:rPr>
      </w:pPr>
      <w:bookmarkStart w:id="240" w:name="_Toc445449666"/>
      <w:r w:rsidRPr="000F6A00">
        <w:rPr>
          <w:rFonts w:ascii="Trebuchet MS" w:hAnsi="Trebuchet MS"/>
          <w:b/>
          <w:sz w:val="22"/>
        </w:rPr>
        <w:t xml:space="preserve">Figure </w:t>
      </w:r>
      <w:r w:rsidR="00D92B55">
        <w:rPr>
          <w:rFonts w:ascii="Trebuchet MS" w:hAnsi="Trebuchet MS"/>
          <w:b/>
          <w:sz w:val="22"/>
        </w:rPr>
        <w:fldChar w:fldCharType="begin"/>
      </w:r>
      <w:r w:rsidR="00D92B55">
        <w:rPr>
          <w:rFonts w:ascii="Trebuchet MS" w:hAnsi="Trebuchet MS"/>
          <w:b/>
          <w:sz w:val="22"/>
        </w:rPr>
        <w:instrText xml:space="preserve"> SEQ Figure \* ARABIC </w:instrText>
      </w:r>
      <w:r w:rsidR="00D92B55">
        <w:rPr>
          <w:rFonts w:ascii="Trebuchet MS" w:hAnsi="Trebuchet MS"/>
          <w:b/>
          <w:sz w:val="22"/>
        </w:rPr>
        <w:fldChar w:fldCharType="separate"/>
      </w:r>
      <w:r w:rsidR="008A3BBD">
        <w:rPr>
          <w:rFonts w:ascii="Trebuchet MS" w:hAnsi="Trebuchet MS"/>
          <w:b/>
          <w:noProof/>
          <w:sz w:val="22"/>
        </w:rPr>
        <w:t>48</w:t>
      </w:r>
      <w:r w:rsidR="00D92B55">
        <w:rPr>
          <w:rFonts w:ascii="Trebuchet MS" w:hAnsi="Trebuchet MS"/>
          <w:b/>
          <w:sz w:val="22"/>
        </w:rPr>
        <w:fldChar w:fldCharType="end"/>
      </w:r>
      <w:r w:rsidRPr="000F6A00">
        <w:rPr>
          <w:rFonts w:ascii="Trebuchet MS" w:hAnsi="Trebuchet MS"/>
          <w:b/>
          <w:sz w:val="22"/>
        </w:rPr>
        <w:t xml:space="preserve">: Breakdown of </w:t>
      </w:r>
      <w:r w:rsidR="00BD4850">
        <w:rPr>
          <w:rFonts w:ascii="Trebuchet MS" w:hAnsi="Trebuchet MS"/>
          <w:b/>
          <w:sz w:val="22"/>
        </w:rPr>
        <w:t>E</w:t>
      </w:r>
      <w:r w:rsidRPr="000F6A00">
        <w:rPr>
          <w:rFonts w:ascii="Trebuchet MS" w:hAnsi="Trebuchet MS"/>
          <w:b/>
          <w:sz w:val="22"/>
        </w:rPr>
        <w:t xml:space="preserve">xport </w:t>
      </w:r>
      <w:r w:rsidR="00BD4850">
        <w:rPr>
          <w:rFonts w:ascii="Trebuchet MS" w:hAnsi="Trebuchet MS"/>
          <w:b/>
          <w:sz w:val="22"/>
        </w:rPr>
        <w:t>C</w:t>
      </w:r>
      <w:r w:rsidRPr="000F6A00">
        <w:rPr>
          <w:rFonts w:ascii="Trebuchet MS" w:hAnsi="Trebuchet MS"/>
          <w:b/>
          <w:sz w:val="22"/>
        </w:rPr>
        <w:t>osts</w:t>
      </w:r>
      <w:bookmarkEnd w:id="240"/>
    </w:p>
    <w:p w14:paraId="529E3C34" w14:textId="77777777" w:rsidR="00340052" w:rsidRPr="001845F3" w:rsidRDefault="00340052"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ind w:left="14" w:hanging="14"/>
        <w:rPr>
          <w:rFonts w:cs="Times New Roman"/>
        </w:rPr>
      </w:pPr>
      <w:r w:rsidRPr="000F6A00">
        <w:rPr>
          <w:rFonts w:ascii="Trebuchet MS" w:hAnsi="Trebuchet MS"/>
          <w:noProof/>
        </w:rPr>
        <w:drawing>
          <wp:inline distT="0" distB="0" distL="0" distR="0" wp14:anchorId="1A037F43" wp14:editId="1510CC3A">
            <wp:extent cx="5838825" cy="2114550"/>
            <wp:effectExtent l="0" t="0" r="0" b="0"/>
            <wp:docPr id="6150" name="Chart 6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1845F3">
        <w:rPr>
          <w:rFonts w:cs="Times New Roman"/>
          <w:sz w:val="18"/>
          <w:szCs w:val="18"/>
        </w:rPr>
        <w:t>Source: Doing Business (2014)</w:t>
      </w:r>
    </w:p>
    <w:p w14:paraId="1B7875D4" w14:textId="7B82D53E" w:rsidR="00340052" w:rsidRPr="000F6A00" w:rsidRDefault="00340052"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20"/>
        <w:ind w:left="14" w:hanging="14"/>
        <w:rPr>
          <w:rFonts w:ascii="Trebuchet MS" w:eastAsia="Calibri" w:hAnsi="Trebuchet MS"/>
          <w:b/>
          <w:sz w:val="22"/>
        </w:rPr>
      </w:pPr>
      <w:bookmarkStart w:id="241" w:name="_Toc445449667"/>
      <w:r w:rsidRPr="000F6A00">
        <w:rPr>
          <w:rFonts w:ascii="Trebuchet MS" w:hAnsi="Trebuchet MS"/>
          <w:b/>
          <w:sz w:val="22"/>
        </w:rPr>
        <w:t xml:space="preserve">Figure </w:t>
      </w:r>
      <w:r w:rsidR="00D92B55">
        <w:rPr>
          <w:rFonts w:ascii="Trebuchet MS" w:hAnsi="Trebuchet MS"/>
          <w:b/>
          <w:sz w:val="22"/>
        </w:rPr>
        <w:fldChar w:fldCharType="begin"/>
      </w:r>
      <w:r w:rsidR="00D92B55">
        <w:rPr>
          <w:rFonts w:ascii="Trebuchet MS" w:hAnsi="Trebuchet MS"/>
          <w:b/>
          <w:sz w:val="22"/>
        </w:rPr>
        <w:instrText xml:space="preserve"> SEQ Figure \* ARABIC </w:instrText>
      </w:r>
      <w:r w:rsidR="00D92B55">
        <w:rPr>
          <w:rFonts w:ascii="Trebuchet MS" w:hAnsi="Trebuchet MS"/>
          <w:b/>
          <w:sz w:val="22"/>
        </w:rPr>
        <w:fldChar w:fldCharType="separate"/>
      </w:r>
      <w:r w:rsidR="008A3BBD">
        <w:rPr>
          <w:rFonts w:ascii="Trebuchet MS" w:hAnsi="Trebuchet MS"/>
          <w:b/>
          <w:noProof/>
          <w:sz w:val="22"/>
        </w:rPr>
        <w:t>49</w:t>
      </w:r>
      <w:r w:rsidR="00D92B55">
        <w:rPr>
          <w:rFonts w:ascii="Trebuchet MS" w:hAnsi="Trebuchet MS"/>
          <w:b/>
          <w:sz w:val="22"/>
        </w:rPr>
        <w:fldChar w:fldCharType="end"/>
      </w:r>
      <w:r w:rsidRPr="000F6A00">
        <w:rPr>
          <w:rFonts w:ascii="Trebuchet MS" w:hAnsi="Trebuchet MS"/>
          <w:b/>
          <w:sz w:val="22"/>
        </w:rPr>
        <w:t xml:space="preserve">: Breakdown of </w:t>
      </w:r>
      <w:r w:rsidR="00BD4850">
        <w:rPr>
          <w:rFonts w:ascii="Trebuchet MS" w:hAnsi="Trebuchet MS"/>
          <w:b/>
          <w:sz w:val="22"/>
        </w:rPr>
        <w:t>I</w:t>
      </w:r>
      <w:r w:rsidRPr="000F6A00">
        <w:rPr>
          <w:rFonts w:ascii="Trebuchet MS" w:hAnsi="Trebuchet MS"/>
          <w:b/>
          <w:sz w:val="22"/>
        </w:rPr>
        <w:t xml:space="preserve">mport </w:t>
      </w:r>
      <w:r w:rsidR="00BD4850">
        <w:rPr>
          <w:rFonts w:ascii="Trebuchet MS" w:hAnsi="Trebuchet MS"/>
          <w:b/>
          <w:sz w:val="22"/>
        </w:rPr>
        <w:t>C</w:t>
      </w:r>
      <w:r w:rsidRPr="000F6A00">
        <w:rPr>
          <w:rFonts w:ascii="Trebuchet MS" w:hAnsi="Trebuchet MS"/>
          <w:b/>
          <w:sz w:val="22"/>
        </w:rPr>
        <w:t>osts</w:t>
      </w:r>
      <w:bookmarkEnd w:id="241"/>
    </w:p>
    <w:p w14:paraId="774CFECF" w14:textId="77777777" w:rsidR="00340052" w:rsidRPr="000F6A00" w:rsidRDefault="00340052"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20"/>
        <w:ind w:left="14" w:hanging="14"/>
        <w:rPr>
          <w:rFonts w:ascii="Trebuchet MS" w:eastAsia="Calibri" w:hAnsi="Trebuchet MS"/>
          <w:sz w:val="20"/>
          <w:szCs w:val="20"/>
        </w:rPr>
      </w:pPr>
      <w:r w:rsidRPr="000F6A00">
        <w:rPr>
          <w:rFonts w:ascii="Trebuchet MS" w:hAnsi="Trebuchet MS"/>
          <w:noProof/>
        </w:rPr>
        <w:drawing>
          <wp:inline distT="0" distB="0" distL="0" distR="0" wp14:anchorId="195F912A" wp14:editId="7E49AC46">
            <wp:extent cx="5781675" cy="2047875"/>
            <wp:effectExtent l="0" t="0" r="0" b="0"/>
            <wp:docPr id="6151" name="Chart 6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FD83F43" w14:textId="77777777" w:rsidR="00340052" w:rsidRPr="001845F3" w:rsidRDefault="00340052"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ind w:left="14" w:hanging="14"/>
        <w:rPr>
          <w:rFonts w:cs="Times New Roman"/>
          <w:sz w:val="18"/>
          <w:szCs w:val="18"/>
        </w:rPr>
      </w:pPr>
      <w:r w:rsidRPr="001845F3">
        <w:rPr>
          <w:rFonts w:cs="Times New Roman"/>
          <w:sz w:val="18"/>
          <w:szCs w:val="18"/>
        </w:rPr>
        <w:t>Source: Doing Business (2014)</w:t>
      </w:r>
    </w:p>
    <w:p w14:paraId="05FFD51F" w14:textId="653BAA60" w:rsidR="00340052" w:rsidRPr="00EE47DD" w:rsidRDefault="00340052"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20"/>
        <w:ind w:left="14" w:hanging="14"/>
        <w:rPr>
          <w:rFonts w:eastAsia="Calibri"/>
          <w:sz w:val="20"/>
          <w:szCs w:val="20"/>
        </w:rPr>
      </w:pPr>
      <w:r w:rsidRPr="000F6A00">
        <w:rPr>
          <w:rFonts w:eastAsia="Calibri"/>
          <w:sz w:val="22"/>
        </w:rPr>
        <w:t>The Government of Nigeria restricts the imports of goods to Nigeria to protect its domestic industry</w:t>
      </w:r>
      <w:r>
        <w:rPr>
          <w:rFonts w:eastAsia="Calibri"/>
          <w:sz w:val="22"/>
        </w:rPr>
        <w:t xml:space="preserve"> by imposing import bans and applying high import duties</w:t>
      </w:r>
      <w:r w:rsidRPr="000F6A00">
        <w:rPr>
          <w:rFonts w:eastAsia="Calibri"/>
          <w:sz w:val="22"/>
        </w:rPr>
        <w:t xml:space="preserve">. The </w:t>
      </w:r>
      <w:r w:rsidR="00C32950">
        <w:rPr>
          <w:rFonts w:eastAsia="Calibri"/>
          <w:sz w:val="22"/>
        </w:rPr>
        <w:t>enterprise survey</w:t>
      </w:r>
      <w:r w:rsidRPr="000F6A00">
        <w:rPr>
          <w:rFonts w:eastAsia="Calibri"/>
          <w:sz w:val="22"/>
        </w:rPr>
        <w:t xml:space="preserve"> indicates that the level of protection highly depends on the industry. Only 14 percent of textile, garment</w:t>
      </w:r>
      <w:r w:rsidR="00BD4850">
        <w:rPr>
          <w:rFonts w:eastAsia="Calibri"/>
          <w:sz w:val="22"/>
        </w:rPr>
        <w:t>,</w:t>
      </w:r>
      <w:r w:rsidRPr="000F6A00">
        <w:rPr>
          <w:rFonts w:eastAsia="Calibri"/>
          <w:sz w:val="22"/>
        </w:rPr>
        <w:t xml:space="preserve"> or leather firms indicate an </w:t>
      </w:r>
      <w:r w:rsidRPr="000F6A00">
        <w:rPr>
          <w:rFonts w:eastAsia="Calibri"/>
          <w:sz w:val="22"/>
        </w:rPr>
        <w:lastRenderedPageBreak/>
        <w:t>import duty of their main product greater than</w:t>
      </w:r>
      <w:r w:rsidRPr="00EE47DD">
        <w:rPr>
          <w:rFonts w:eastAsia="Calibri"/>
          <w:sz w:val="22"/>
        </w:rPr>
        <w:t xml:space="preserve"> 30 percent</w:t>
      </w:r>
      <w:r w:rsidRPr="000F6A00">
        <w:rPr>
          <w:rFonts w:eastAsia="Calibri"/>
          <w:sz w:val="22"/>
        </w:rPr>
        <w:t xml:space="preserve"> while almost half of the agroprocessing firms do</w:t>
      </w:r>
      <w:r>
        <w:rPr>
          <w:rFonts w:eastAsia="Calibri"/>
          <w:sz w:val="20"/>
          <w:szCs w:val="20"/>
        </w:rPr>
        <w:t>.</w:t>
      </w:r>
    </w:p>
    <w:p w14:paraId="6C17772A" w14:textId="464B487B" w:rsidR="00F47590" w:rsidRPr="00F47590" w:rsidRDefault="00F47590" w:rsidP="00D727BF">
      <w:pPr>
        <w:pStyle w:val="Heading3"/>
        <w:tabs>
          <w:tab w:val="left" w:pos="720"/>
        </w:tabs>
        <w:spacing w:before="240"/>
      </w:pPr>
      <w:r>
        <w:t xml:space="preserve">Has the Business environment improved? </w:t>
      </w:r>
    </w:p>
    <w:p w14:paraId="429FA954" w14:textId="1860831D" w:rsidR="00340052" w:rsidRPr="008E097D" w:rsidRDefault="005674CC" w:rsidP="00D727BF">
      <w:pPr>
        <w:pStyle w:val="ParagraphNumbering"/>
        <w:numPr>
          <w:ilvl w:val="0"/>
          <w:numId w:val="0"/>
        </w:numPr>
        <w:tabs>
          <w:tab w:val="left" w:pos="720"/>
        </w:tabs>
        <w:spacing w:after="240"/>
      </w:pPr>
      <w:r>
        <w:rPr>
          <w:b/>
        </w:rPr>
        <w:tab/>
      </w:r>
      <w:r w:rsidR="00340052">
        <w:rPr>
          <w:b/>
        </w:rPr>
        <w:t>Nigeria</w:t>
      </w:r>
      <w:r w:rsidR="00863D16">
        <w:rPr>
          <w:b/>
        </w:rPr>
        <w:t>’</w:t>
      </w:r>
      <w:r w:rsidR="00340052">
        <w:rPr>
          <w:b/>
        </w:rPr>
        <w:t>s b</w:t>
      </w:r>
      <w:r w:rsidR="00340052" w:rsidRPr="008E097D">
        <w:rPr>
          <w:b/>
        </w:rPr>
        <w:t>usiness environment seems to have improved in some aspects</w:t>
      </w:r>
      <w:r w:rsidR="00A741AB">
        <w:rPr>
          <w:b/>
        </w:rPr>
        <w:t xml:space="preserve">, in particular </w:t>
      </w:r>
      <w:r w:rsidR="00B47511">
        <w:rPr>
          <w:b/>
        </w:rPr>
        <w:t xml:space="preserve">in </w:t>
      </w:r>
      <w:r w:rsidR="00A741AB">
        <w:rPr>
          <w:b/>
        </w:rPr>
        <w:t>access to finance</w:t>
      </w:r>
      <w:r w:rsidR="00340052" w:rsidRPr="008E097D">
        <w:rPr>
          <w:b/>
        </w:rPr>
        <w:t>.</w:t>
      </w:r>
      <w:r w:rsidR="00340052">
        <w:t xml:space="preserve"> </w:t>
      </w:r>
      <w:r w:rsidR="00340052" w:rsidRPr="008E097D">
        <w:t xml:space="preserve">In this section, we compare several objective investment climate variables </w:t>
      </w:r>
      <w:r w:rsidR="00340052">
        <w:t xml:space="preserve">from </w:t>
      </w:r>
      <w:r w:rsidR="00340052" w:rsidRPr="008E097D">
        <w:t xml:space="preserve">the two rounds of the </w:t>
      </w:r>
      <w:r w:rsidR="00C32950">
        <w:t>enterprise survey</w:t>
      </w:r>
      <w:r w:rsidR="00340052">
        <w:t xml:space="preserve"> (2</w:t>
      </w:r>
      <w:r w:rsidR="00340052" w:rsidRPr="008E097D">
        <w:t>007 and 2014</w:t>
      </w:r>
      <w:r w:rsidR="00340052">
        <w:t>)</w:t>
      </w:r>
      <w:r w:rsidR="00A741AB">
        <w:t xml:space="preserve"> in a smaller number of states to ensure comparability between the two rounds</w:t>
      </w:r>
      <w:r w:rsidR="00340052" w:rsidRPr="008E097D">
        <w:t>.</w:t>
      </w:r>
      <w:r w:rsidR="00A741AB" w:rsidRPr="00A741AB">
        <w:rPr>
          <w:rStyle w:val="FootnoteReference"/>
        </w:rPr>
        <w:t xml:space="preserve"> </w:t>
      </w:r>
      <w:r w:rsidR="00A741AB" w:rsidRPr="008E097D">
        <w:rPr>
          <w:rStyle w:val="FootnoteReference"/>
        </w:rPr>
        <w:footnoteReference w:id="41"/>
      </w:r>
      <w:r w:rsidR="00340052" w:rsidRPr="008E097D">
        <w:t xml:space="preserve"> </w:t>
      </w:r>
      <w:r w:rsidR="00B47511">
        <w:t>As measured by the percent of firms with credit, f</w:t>
      </w:r>
      <w:r w:rsidR="00340052" w:rsidRPr="008E097D">
        <w:t>irms appear to have better access to credit</w:t>
      </w:r>
      <w:r w:rsidR="00B47511">
        <w:t xml:space="preserve">, from </w:t>
      </w:r>
      <w:r>
        <w:t xml:space="preserve">10 </w:t>
      </w:r>
      <w:r w:rsidR="00B47511">
        <w:t xml:space="preserve">percent of firms in 2007 to 31 percent </w:t>
      </w:r>
      <w:r w:rsidR="00340052" w:rsidRPr="008E097D">
        <w:t>in 2014</w:t>
      </w:r>
      <w:r w:rsidR="00340052">
        <w:t xml:space="preserve"> (</w:t>
      </w:r>
      <w:r w:rsidR="00340052">
        <w:fldChar w:fldCharType="begin"/>
      </w:r>
      <w:r w:rsidR="00340052">
        <w:instrText xml:space="preserve"> REF _Ref429435606 \h </w:instrText>
      </w:r>
      <w:r w:rsidR="00340052">
        <w:fldChar w:fldCharType="separate"/>
      </w:r>
      <w:r>
        <w:t>t</w:t>
      </w:r>
      <w:r w:rsidR="008A3BBD" w:rsidRPr="008E097D">
        <w:t xml:space="preserve">able </w:t>
      </w:r>
      <w:r w:rsidR="008A3BBD">
        <w:rPr>
          <w:noProof/>
        </w:rPr>
        <w:t>7</w:t>
      </w:r>
      <w:r w:rsidR="00340052">
        <w:fldChar w:fldCharType="end"/>
      </w:r>
      <w:r w:rsidR="00340052">
        <w:t xml:space="preserve">). </w:t>
      </w:r>
      <w:r w:rsidR="00340052" w:rsidRPr="008E097D">
        <w:t xml:space="preserve">In addition, the number of firms using the Internet increased from 28 percent to 41 percent between the two surveys. Given the rapid growth in Internet services over this period, </w:t>
      </w:r>
      <w:r w:rsidR="00B47511">
        <w:t>improved access to credit is not surprising</w:t>
      </w:r>
      <w:r w:rsidR="00340052" w:rsidRPr="008E097D">
        <w:t>.</w:t>
      </w:r>
    </w:p>
    <w:p w14:paraId="022FD5A9" w14:textId="76BEF99F" w:rsidR="00340052" w:rsidRPr="008E097D" w:rsidRDefault="00340052" w:rsidP="00D727BF">
      <w:pPr>
        <w:pStyle w:val="Caption"/>
        <w:keepNext/>
        <w:tabs>
          <w:tab w:val="left" w:pos="720"/>
        </w:tabs>
        <w:jc w:val="center"/>
      </w:pPr>
      <w:bookmarkStart w:id="242" w:name="_Ref429435606"/>
      <w:bookmarkStart w:id="243" w:name="_Toc445449528"/>
      <w:r w:rsidRPr="008E097D">
        <w:t xml:space="preserve">Table </w:t>
      </w:r>
      <w:fldSimple w:instr=" SEQ Table \* ARABIC ">
        <w:r w:rsidR="008A3BBD">
          <w:rPr>
            <w:noProof/>
          </w:rPr>
          <w:t>7</w:t>
        </w:r>
      </w:fldSimple>
      <w:bookmarkEnd w:id="242"/>
      <w:r w:rsidRPr="008E097D">
        <w:t>:</w:t>
      </w:r>
      <w:r>
        <w:t xml:space="preserve"> </w:t>
      </w:r>
      <w:r w:rsidRPr="008E097D">
        <w:t xml:space="preserve">Comparison of </w:t>
      </w:r>
      <w:r>
        <w:t>I</w:t>
      </w:r>
      <w:r w:rsidRPr="008E097D">
        <w:t xml:space="preserve">nvestment </w:t>
      </w:r>
      <w:r>
        <w:t>C</w:t>
      </w:r>
      <w:r w:rsidRPr="008E097D">
        <w:t xml:space="preserve">limate </w:t>
      </w:r>
      <w:r>
        <w:t xml:space="preserve">Variables, </w:t>
      </w:r>
      <w:r w:rsidRPr="008E097D">
        <w:t>2007 and 2014</w:t>
      </w:r>
      <w:bookmarkEnd w:id="243"/>
    </w:p>
    <w:tbl>
      <w:tblPr>
        <w:tblW w:w="5000" w:type="pct"/>
        <w:jc w:val="center"/>
        <w:tblLook w:val="04A0" w:firstRow="1" w:lastRow="0" w:firstColumn="1" w:lastColumn="0" w:noHBand="0" w:noVBand="1"/>
      </w:tblPr>
      <w:tblGrid>
        <w:gridCol w:w="3872"/>
        <w:gridCol w:w="1425"/>
        <w:gridCol w:w="1429"/>
        <w:gridCol w:w="1425"/>
        <w:gridCol w:w="1425"/>
      </w:tblGrid>
      <w:tr w:rsidR="00340052" w:rsidRPr="001845F3" w14:paraId="044033C5" w14:textId="77777777" w:rsidTr="00205F4E">
        <w:trPr>
          <w:trHeight w:val="467"/>
          <w:jc w:val="center"/>
        </w:trPr>
        <w:tc>
          <w:tcPr>
            <w:tcW w:w="2022" w:type="pct"/>
            <w:tcBorders>
              <w:top w:val="single" w:sz="4" w:space="0" w:color="auto"/>
              <w:right w:val="single" w:sz="4" w:space="0" w:color="auto"/>
            </w:tcBorders>
            <w:noWrap/>
            <w:vAlign w:val="center"/>
            <w:hideMark/>
          </w:tcPr>
          <w:p w14:paraId="00245538" w14:textId="77777777" w:rsidR="00340052" w:rsidRPr="001845F3" w:rsidRDefault="00340052" w:rsidP="00D727BF">
            <w:pPr>
              <w:tabs>
                <w:tab w:val="left" w:pos="720"/>
              </w:tabs>
              <w:spacing w:after="0"/>
              <w:rPr>
                <w:rFonts w:cs="Times New Roman"/>
                <w:sz w:val="20"/>
                <w:szCs w:val="20"/>
              </w:rPr>
            </w:pPr>
          </w:p>
        </w:tc>
        <w:tc>
          <w:tcPr>
            <w:tcW w:w="1490" w:type="pct"/>
            <w:gridSpan w:val="2"/>
            <w:tcBorders>
              <w:top w:val="single" w:sz="4" w:space="0" w:color="auto"/>
              <w:left w:val="single" w:sz="4" w:space="0" w:color="auto"/>
              <w:right w:val="single" w:sz="4" w:space="0" w:color="auto"/>
            </w:tcBorders>
            <w:noWrap/>
            <w:vAlign w:val="center"/>
            <w:hideMark/>
          </w:tcPr>
          <w:p w14:paraId="0CE5E7E4" w14:textId="77777777" w:rsidR="00340052" w:rsidRPr="001845F3" w:rsidRDefault="00340052" w:rsidP="00D727BF">
            <w:pPr>
              <w:tabs>
                <w:tab w:val="left" w:pos="720"/>
              </w:tabs>
              <w:spacing w:after="0"/>
              <w:jc w:val="center"/>
              <w:rPr>
                <w:rFonts w:cs="Times New Roman"/>
                <w:b/>
                <w:color w:val="000000"/>
                <w:sz w:val="20"/>
                <w:szCs w:val="20"/>
              </w:rPr>
            </w:pPr>
          </w:p>
          <w:p w14:paraId="6AFDD62F" w14:textId="77777777" w:rsidR="00340052" w:rsidRPr="001845F3" w:rsidRDefault="00340052" w:rsidP="00D727BF">
            <w:pPr>
              <w:tabs>
                <w:tab w:val="left" w:pos="720"/>
              </w:tabs>
              <w:spacing w:after="0"/>
              <w:jc w:val="center"/>
              <w:rPr>
                <w:rFonts w:cs="Times New Roman"/>
                <w:b/>
                <w:color w:val="000000"/>
                <w:sz w:val="20"/>
                <w:szCs w:val="20"/>
              </w:rPr>
            </w:pPr>
            <w:r w:rsidRPr="001845F3">
              <w:rPr>
                <w:rFonts w:cs="Times New Roman"/>
                <w:b/>
                <w:color w:val="000000"/>
                <w:sz w:val="20"/>
                <w:szCs w:val="20"/>
              </w:rPr>
              <w:t>Means</w:t>
            </w:r>
          </w:p>
        </w:tc>
        <w:tc>
          <w:tcPr>
            <w:tcW w:w="1488" w:type="pct"/>
            <w:gridSpan w:val="2"/>
            <w:tcBorders>
              <w:top w:val="single" w:sz="4" w:space="0" w:color="auto"/>
              <w:left w:val="single" w:sz="4" w:space="0" w:color="auto"/>
            </w:tcBorders>
          </w:tcPr>
          <w:p w14:paraId="270EBA27" w14:textId="77777777" w:rsidR="00340052" w:rsidRPr="001845F3" w:rsidRDefault="00340052" w:rsidP="00D727BF">
            <w:pPr>
              <w:tabs>
                <w:tab w:val="left" w:pos="720"/>
              </w:tabs>
              <w:spacing w:after="0"/>
              <w:jc w:val="center"/>
              <w:rPr>
                <w:rFonts w:cs="Times New Roman"/>
                <w:b/>
                <w:color w:val="000000"/>
                <w:sz w:val="20"/>
                <w:szCs w:val="20"/>
              </w:rPr>
            </w:pPr>
          </w:p>
          <w:p w14:paraId="7B0830AC" w14:textId="77777777" w:rsidR="00340052" w:rsidRPr="001845F3" w:rsidRDefault="00340052" w:rsidP="00D727BF">
            <w:pPr>
              <w:tabs>
                <w:tab w:val="left" w:pos="720"/>
              </w:tabs>
              <w:spacing w:after="0"/>
              <w:jc w:val="center"/>
              <w:rPr>
                <w:rFonts w:cs="Times New Roman"/>
                <w:b/>
                <w:color w:val="000000"/>
                <w:sz w:val="20"/>
                <w:szCs w:val="20"/>
              </w:rPr>
            </w:pPr>
            <w:r w:rsidRPr="001845F3">
              <w:rPr>
                <w:rFonts w:cs="Times New Roman"/>
                <w:b/>
                <w:color w:val="000000"/>
                <w:sz w:val="20"/>
                <w:szCs w:val="20"/>
              </w:rPr>
              <w:t>Medians</w:t>
            </w:r>
          </w:p>
        </w:tc>
      </w:tr>
      <w:tr w:rsidR="00340052" w:rsidRPr="001845F3" w14:paraId="5E9039C8" w14:textId="77777777" w:rsidTr="00205F4E">
        <w:trPr>
          <w:trHeight w:val="360"/>
          <w:jc w:val="center"/>
        </w:trPr>
        <w:tc>
          <w:tcPr>
            <w:tcW w:w="2022" w:type="pct"/>
            <w:tcBorders>
              <w:bottom w:val="single" w:sz="4" w:space="0" w:color="auto"/>
              <w:right w:val="single" w:sz="4" w:space="0" w:color="auto"/>
            </w:tcBorders>
            <w:noWrap/>
            <w:vAlign w:val="center"/>
            <w:hideMark/>
          </w:tcPr>
          <w:p w14:paraId="2E0EB4A8" w14:textId="77777777" w:rsidR="00340052" w:rsidRPr="001845F3" w:rsidRDefault="00340052" w:rsidP="00D727BF">
            <w:pPr>
              <w:tabs>
                <w:tab w:val="left" w:pos="720"/>
              </w:tabs>
              <w:spacing w:after="0"/>
              <w:rPr>
                <w:rFonts w:cs="Times New Roman"/>
                <w:sz w:val="20"/>
                <w:szCs w:val="20"/>
              </w:rPr>
            </w:pPr>
          </w:p>
        </w:tc>
        <w:tc>
          <w:tcPr>
            <w:tcW w:w="744" w:type="pct"/>
            <w:tcBorders>
              <w:left w:val="single" w:sz="4" w:space="0" w:color="auto"/>
              <w:bottom w:val="single" w:sz="4" w:space="0" w:color="auto"/>
            </w:tcBorders>
            <w:noWrap/>
            <w:vAlign w:val="center"/>
            <w:hideMark/>
          </w:tcPr>
          <w:p w14:paraId="05354B54" w14:textId="77777777" w:rsidR="00340052" w:rsidRPr="001845F3" w:rsidRDefault="00340052" w:rsidP="00D727BF">
            <w:pPr>
              <w:tabs>
                <w:tab w:val="left" w:pos="720"/>
              </w:tabs>
              <w:spacing w:after="0"/>
              <w:jc w:val="center"/>
              <w:rPr>
                <w:rFonts w:cs="Times New Roman"/>
                <w:b/>
                <w:color w:val="000000"/>
                <w:sz w:val="20"/>
                <w:szCs w:val="20"/>
              </w:rPr>
            </w:pPr>
          </w:p>
          <w:p w14:paraId="68979521" w14:textId="77777777" w:rsidR="00340052" w:rsidRPr="001845F3" w:rsidRDefault="00340052" w:rsidP="00D727BF">
            <w:pPr>
              <w:tabs>
                <w:tab w:val="left" w:pos="720"/>
              </w:tabs>
              <w:spacing w:after="0"/>
              <w:jc w:val="center"/>
              <w:rPr>
                <w:rFonts w:cs="Times New Roman"/>
                <w:b/>
                <w:color w:val="000000"/>
                <w:sz w:val="20"/>
                <w:szCs w:val="20"/>
              </w:rPr>
            </w:pPr>
            <w:r w:rsidRPr="001845F3">
              <w:rPr>
                <w:rFonts w:cs="Times New Roman"/>
                <w:b/>
                <w:color w:val="000000"/>
                <w:sz w:val="20"/>
                <w:szCs w:val="20"/>
              </w:rPr>
              <w:t>2007</w:t>
            </w:r>
          </w:p>
        </w:tc>
        <w:tc>
          <w:tcPr>
            <w:tcW w:w="746" w:type="pct"/>
            <w:tcBorders>
              <w:bottom w:val="single" w:sz="4" w:space="0" w:color="auto"/>
              <w:right w:val="single" w:sz="4" w:space="0" w:color="auto"/>
            </w:tcBorders>
            <w:noWrap/>
            <w:vAlign w:val="center"/>
            <w:hideMark/>
          </w:tcPr>
          <w:p w14:paraId="1A40F4FF" w14:textId="77777777" w:rsidR="00340052" w:rsidRPr="001845F3" w:rsidRDefault="00340052" w:rsidP="00D727BF">
            <w:pPr>
              <w:tabs>
                <w:tab w:val="left" w:pos="720"/>
              </w:tabs>
              <w:spacing w:after="0"/>
              <w:jc w:val="center"/>
              <w:rPr>
                <w:rFonts w:cs="Times New Roman"/>
                <w:b/>
                <w:color w:val="000000"/>
                <w:sz w:val="20"/>
                <w:szCs w:val="20"/>
              </w:rPr>
            </w:pPr>
          </w:p>
          <w:p w14:paraId="4903A497" w14:textId="77777777" w:rsidR="00340052" w:rsidRPr="001845F3" w:rsidRDefault="00340052" w:rsidP="00D727BF">
            <w:pPr>
              <w:tabs>
                <w:tab w:val="left" w:pos="720"/>
              </w:tabs>
              <w:spacing w:after="0"/>
              <w:jc w:val="center"/>
              <w:rPr>
                <w:rFonts w:cs="Times New Roman"/>
                <w:b/>
                <w:color w:val="000000"/>
                <w:sz w:val="20"/>
                <w:szCs w:val="20"/>
              </w:rPr>
            </w:pPr>
            <w:r w:rsidRPr="001845F3">
              <w:rPr>
                <w:rFonts w:cs="Times New Roman"/>
                <w:b/>
                <w:color w:val="000000"/>
                <w:sz w:val="20"/>
                <w:szCs w:val="20"/>
              </w:rPr>
              <w:t>2014</w:t>
            </w:r>
          </w:p>
        </w:tc>
        <w:tc>
          <w:tcPr>
            <w:tcW w:w="744" w:type="pct"/>
            <w:tcBorders>
              <w:left w:val="single" w:sz="4" w:space="0" w:color="auto"/>
              <w:bottom w:val="single" w:sz="4" w:space="0" w:color="auto"/>
            </w:tcBorders>
          </w:tcPr>
          <w:p w14:paraId="2BCE1969" w14:textId="77777777" w:rsidR="00340052" w:rsidRPr="001845F3" w:rsidRDefault="00340052" w:rsidP="00D727BF">
            <w:pPr>
              <w:tabs>
                <w:tab w:val="left" w:pos="720"/>
              </w:tabs>
              <w:spacing w:after="0"/>
              <w:jc w:val="center"/>
              <w:rPr>
                <w:rFonts w:cs="Times New Roman"/>
                <w:b/>
                <w:color w:val="000000"/>
                <w:sz w:val="20"/>
                <w:szCs w:val="20"/>
              </w:rPr>
            </w:pPr>
          </w:p>
          <w:p w14:paraId="1CB1A1D8" w14:textId="77777777" w:rsidR="00340052" w:rsidRPr="001845F3" w:rsidRDefault="00340052" w:rsidP="00D727BF">
            <w:pPr>
              <w:tabs>
                <w:tab w:val="left" w:pos="720"/>
              </w:tabs>
              <w:spacing w:after="0"/>
              <w:jc w:val="center"/>
              <w:rPr>
                <w:rFonts w:cs="Times New Roman"/>
                <w:b/>
                <w:color w:val="000000"/>
                <w:sz w:val="20"/>
                <w:szCs w:val="20"/>
              </w:rPr>
            </w:pPr>
            <w:r w:rsidRPr="001845F3">
              <w:rPr>
                <w:rFonts w:cs="Times New Roman"/>
                <w:b/>
                <w:color w:val="000000"/>
                <w:sz w:val="20"/>
                <w:szCs w:val="20"/>
              </w:rPr>
              <w:t>2007</w:t>
            </w:r>
          </w:p>
        </w:tc>
        <w:tc>
          <w:tcPr>
            <w:tcW w:w="744" w:type="pct"/>
            <w:tcBorders>
              <w:bottom w:val="single" w:sz="4" w:space="0" w:color="auto"/>
            </w:tcBorders>
          </w:tcPr>
          <w:p w14:paraId="659AA6FF" w14:textId="77777777" w:rsidR="00340052" w:rsidRPr="001845F3" w:rsidRDefault="00340052" w:rsidP="00D727BF">
            <w:pPr>
              <w:tabs>
                <w:tab w:val="left" w:pos="720"/>
              </w:tabs>
              <w:spacing w:after="0"/>
              <w:jc w:val="center"/>
              <w:rPr>
                <w:rFonts w:cs="Times New Roman"/>
                <w:b/>
                <w:color w:val="000000"/>
                <w:sz w:val="20"/>
                <w:szCs w:val="20"/>
              </w:rPr>
            </w:pPr>
          </w:p>
          <w:p w14:paraId="79056212" w14:textId="77777777" w:rsidR="00340052" w:rsidRPr="001845F3" w:rsidRDefault="00340052" w:rsidP="00D727BF">
            <w:pPr>
              <w:tabs>
                <w:tab w:val="left" w:pos="720"/>
              </w:tabs>
              <w:spacing w:after="0"/>
              <w:jc w:val="center"/>
              <w:rPr>
                <w:rFonts w:cs="Times New Roman"/>
                <w:b/>
                <w:color w:val="000000"/>
                <w:sz w:val="20"/>
                <w:szCs w:val="20"/>
              </w:rPr>
            </w:pPr>
            <w:r w:rsidRPr="001845F3">
              <w:rPr>
                <w:rFonts w:cs="Times New Roman"/>
                <w:b/>
                <w:color w:val="000000"/>
                <w:sz w:val="20"/>
                <w:szCs w:val="20"/>
              </w:rPr>
              <w:t>2014</w:t>
            </w:r>
          </w:p>
        </w:tc>
      </w:tr>
      <w:tr w:rsidR="00340052" w:rsidRPr="001845F3" w14:paraId="5A458589" w14:textId="77777777" w:rsidTr="00205F4E">
        <w:trPr>
          <w:trHeight w:val="144"/>
          <w:jc w:val="center"/>
        </w:trPr>
        <w:tc>
          <w:tcPr>
            <w:tcW w:w="2022" w:type="pct"/>
            <w:tcBorders>
              <w:top w:val="single" w:sz="4" w:space="0" w:color="auto"/>
              <w:right w:val="single" w:sz="4" w:space="0" w:color="auto"/>
            </w:tcBorders>
            <w:noWrap/>
            <w:vAlign w:val="center"/>
            <w:hideMark/>
          </w:tcPr>
          <w:p w14:paraId="5E05A790" w14:textId="77777777" w:rsidR="00340052" w:rsidRPr="001845F3" w:rsidRDefault="00340052" w:rsidP="00D727BF">
            <w:pPr>
              <w:tabs>
                <w:tab w:val="left" w:pos="720"/>
              </w:tabs>
              <w:spacing w:after="0" w:line="276" w:lineRule="auto"/>
              <w:rPr>
                <w:rFonts w:cs="Times New Roman"/>
                <w:b/>
                <w:bCs/>
                <w:color w:val="000000"/>
                <w:sz w:val="20"/>
                <w:szCs w:val="20"/>
              </w:rPr>
            </w:pPr>
            <w:r w:rsidRPr="001845F3">
              <w:rPr>
                <w:rFonts w:cs="Times New Roman"/>
                <w:b/>
                <w:bCs/>
                <w:color w:val="000000"/>
                <w:sz w:val="20"/>
                <w:szCs w:val="20"/>
              </w:rPr>
              <w:t>Dummy Variables</w:t>
            </w:r>
          </w:p>
        </w:tc>
        <w:tc>
          <w:tcPr>
            <w:tcW w:w="744" w:type="pct"/>
            <w:tcBorders>
              <w:top w:val="single" w:sz="4" w:space="0" w:color="auto"/>
              <w:left w:val="single" w:sz="4" w:space="0" w:color="auto"/>
            </w:tcBorders>
            <w:noWrap/>
            <w:vAlign w:val="center"/>
            <w:hideMark/>
          </w:tcPr>
          <w:p w14:paraId="19FA2D76" w14:textId="77777777" w:rsidR="00340052" w:rsidRPr="001845F3" w:rsidRDefault="00340052" w:rsidP="00D727BF">
            <w:pPr>
              <w:tabs>
                <w:tab w:val="left" w:pos="720"/>
              </w:tabs>
              <w:spacing w:after="0" w:line="276" w:lineRule="auto"/>
              <w:rPr>
                <w:rFonts w:cs="Times New Roman"/>
                <w:sz w:val="20"/>
                <w:szCs w:val="20"/>
              </w:rPr>
            </w:pPr>
          </w:p>
        </w:tc>
        <w:tc>
          <w:tcPr>
            <w:tcW w:w="746" w:type="pct"/>
            <w:tcBorders>
              <w:top w:val="single" w:sz="4" w:space="0" w:color="auto"/>
              <w:right w:val="single" w:sz="4" w:space="0" w:color="auto"/>
            </w:tcBorders>
            <w:noWrap/>
            <w:vAlign w:val="center"/>
            <w:hideMark/>
          </w:tcPr>
          <w:p w14:paraId="2DAEBBCB" w14:textId="77777777" w:rsidR="00340052" w:rsidRPr="001845F3" w:rsidRDefault="00340052" w:rsidP="00D727BF">
            <w:pPr>
              <w:tabs>
                <w:tab w:val="left" w:pos="720"/>
              </w:tabs>
              <w:spacing w:after="0" w:line="276" w:lineRule="auto"/>
              <w:rPr>
                <w:rFonts w:cs="Times New Roman"/>
                <w:sz w:val="20"/>
                <w:szCs w:val="20"/>
              </w:rPr>
            </w:pPr>
          </w:p>
        </w:tc>
        <w:tc>
          <w:tcPr>
            <w:tcW w:w="744" w:type="pct"/>
            <w:tcBorders>
              <w:top w:val="single" w:sz="4" w:space="0" w:color="auto"/>
              <w:left w:val="single" w:sz="4" w:space="0" w:color="auto"/>
            </w:tcBorders>
          </w:tcPr>
          <w:p w14:paraId="23672FDE" w14:textId="77777777" w:rsidR="00340052" w:rsidRPr="001845F3" w:rsidRDefault="00340052" w:rsidP="00D727BF">
            <w:pPr>
              <w:tabs>
                <w:tab w:val="left" w:pos="720"/>
              </w:tabs>
              <w:spacing w:after="0" w:line="276" w:lineRule="auto"/>
              <w:rPr>
                <w:rFonts w:cs="Times New Roman"/>
                <w:sz w:val="20"/>
                <w:szCs w:val="20"/>
              </w:rPr>
            </w:pPr>
          </w:p>
        </w:tc>
        <w:tc>
          <w:tcPr>
            <w:tcW w:w="744" w:type="pct"/>
            <w:tcBorders>
              <w:top w:val="single" w:sz="4" w:space="0" w:color="auto"/>
            </w:tcBorders>
          </w:tcPr>
          <w:p w14:paraId="48A41850" w14:textId="77777777" w:rsidR="00340052" w:rsidRPr="001845F3" w:rsidRDefault="00340052" w:rsidP="00D727BF">
            <w:pPr>
              <w:tabs>
                <w:tab w:val="left" w:pos="720"/>
              </w:tabs>
              <w:spacing w:after="0" w:line="276" w:lineRule="auto"/>
              <w:rPr>
                <w:rFonts w:cs="Times New Roman"/>
                <w:sz w:val="20"/>
                <w:szCs w:val="20"/>
              </w:rPr>
            </w:pPr>
          </w:p>
        </w:tc>
      </w:tr>
      <w:tr w:rsidR="00340052" w:rsidRPr="001845F3" w14:paraId="39A0993D" w14:textId="77777777" w:rsidTr="00205F4E">
        <w:trPr>
          <w:trHeight w:val="144"/>
          <w:jc w:val="center"/>
        </w:trPr>
        <w:tc>
          <w:tcPr>
            <w:tcW w:w="2022" w:type="pct"/>
            <w:tcBorders>
              <w:right w:val="single" w:sz="4" w:space="0" w:color="auto"/>
            </w:tcBorders>
            <w:noWrap/>
            <w:vAlign w:val="center"/>
            <w:hideMark/>
          </w:tcPr>
          <w:p w14:paraId="3820B5C2" w14:textId="4992AB41" w:rsidR="00340052" w:rsidRPr="001845F3" w:rsidRDefault="00A02DAA" w:rsidP="00D727BF">
            <w:pPr>
              <w:tabs>
                <w:tab w:val="left" w:pos="720"/>
              </w:tabs>
              <w:spacing w:after="0" w:line="276" w:lineRule="auto"/>
              <w:rPr>
                <w:rFonts w:cs="Times New Roman"/>
                <w:color w:val="000000"/>
                <w:sz w:val="20"/>
                <w:szCs w:val="20"/>
              </w:rPr>
            </w:pPr>
            <w:r>
              <w:rPr>
                <w:rFonts w:cs="Times New Roman"/>
                <w:color w:val="000000"/>
                <w:sz w:val="20"/>
                <w:szCs w:val="20"/>
              </w:rPr>
              <w:t>%</w:t>
            </w:r>
            <w:r w:rsidR="00340052" w:rsidRPr="001845F3">
              <w:rPr>
                <w:rFonts w:cs="Times New Roman"/>
                <w:color w:val="000000"/>
                <w:sz w:val="20"/>
                <w:szCs w:val="20"/>
              </w:rPr>
              <w:t xml:space="preserve"> of firms with loans</w:t>
            </w:r>
          </w:p>
        </w:tc>
        <w:tc>
          <w:tcPr>
            <w:tcW w:w="744" w:type="pct"/>
            <w:tcBorders>
              <w:left w:val="single" w:sz="4" w:space="0" w:color="auto"/>
            </w:tcBorders>
            <w:noWrap/>
            <w:vAlign w:val="center"/>
            <w:hideMark/>
          </w:tcPr>
          <w:p w14:paraId="59E996E9"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4%</w:t>
            </w:r>
          </w:p>
        </w:tc>
        <w:tc>
          <w:tcPr>
            <w:tcW w:w="746" w:type="pct"/>
            <w:tcBorders>
              <w:right w:val="single" w:sz="4" w:space="0" w:color="auto"/>
            </w:tcBorders>
            <w:noWrap/>
            <w:vAlign w:val="center"/>
            <w:hideMark/>
          </w:tcPr>
          <w:p w14:paraId="714F54C3"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11%</w:t>
            </w:r>
          </w:p>
        </w:tc>
        <w:tc>
          <w:tcPr>
            <w:tcW w:w="744" w:type="pct"/>
            <w:tcBorders>
              <w:left w:val="single" w:sz="4" w:space="0" w:color="auto"/>
            </w:tcBorders>
          </w:tcPr>
          <w:p w14:paraId="0B73C12B" w14:textId="77777777" w:rsidR="00340052" w:rsidRPr="001845F3" w:rsidRDefault="00340052" w:rsidP="00D727BF">
            <w:pPr>
              <w:tabs>
                <w:tab w:val="left" w:pos="720"/>
              </w:tabs>
              <w:spacing w:after="0" w:line="276" w:lineRule="auto"/>
              <w:jc w:val="center"/>
              <w:rPr>
                <w:rFonts w:cs="Times New Roman"/>
                <w:color w:val="000000"/>
                <w:sz w:val="20"/>
                <w:szCs w:val="20"/>
              </w:rPr>
            </w:pPr>
          </w:p>
        </w:tc>
        <w:tc>
          <w:tcPr>
            <w:tcW w:w="744" w:type="pct"/>
          </w:tcPr>
          <w:p w14:paraId="72C639B4" w14:textId="77777777" w:rsidR="00340052" w:rsidRPr="001845F3" w:rsidRDefault="00340052" w:rsidP="00D727BF">
            <w:pPr>
              <w:tabs>
                <w:tab w:val="left" w:pos="720"/>
              </w:tabs>
              <w:spacing w:after="0" w:line="276" w:lineRule="auto"/>
              <w:jc w:val="center"/>
              <w:rPr>
                <w:rFonts w:cs="Times New Roman"/>
                <w:color w:val="000000"/>
                <w:sz w:val="20"/>
                <w:szCs w:val="20"/>
              </w:rPr>
            </w:pPr>
          </w:p>
        </w:tc>
      </w:tr>
      <w:tr w:rsidR="00340052" w:rsidRPr="001845F3" w14:paraId="3A0A2EE2" w14:textId="77777777" w:rsidTr="00205F4E">
        <w:trPr>
          <w:trHeight w:val="144"/>
          <w:jc w:val="center"/>
        </w:trPr>
        <w:tc>
          <w:tcPr>
            <w:tcW w:w="2022" w:type="pct"/>
            <w:tcBorders>
              <w:right w:val="single" w:sz="4" w:space="0" w:color="auto"/>
            </w:tcBorders>
            <w:noWrap/>
            <w:vAlign w:val="center"/>
            <w:hideMark/>
          </w:tcPr>
          <w:p w14:paraId="612393E6" w14:textId="1AC0AD8A" w:rsidR="00340052" w:rsidRPr="001845F3" w:rsidRDefault="00A02DAA" w:rsidP="00D727BF">
            <w:pPr>
              <w:tabs>
                <w:tab w:val="left" w:pos="720"/>
              </w:tabs>
              <w:spacing w:after="0" w:line="276" w:lineRule="auto"/>
              <w:rPr>
                <w:rFonts w:cs="Times New Roman"/>
                <w:color w:val="000000"/>
                <w:sz w:val="20"/>
                <w:szCs w:val="20"/>
              </w:rPr>
            </w:pPr>
            <w:r>
              <w:rPr>
                <w:rFonts w:cs="Times New Roman"/>
                <w:color w:val="000000"/>
                <w:sz w:val="20"/>
                <w:szCs w:val="20"/>
              </w:rPr>
              <w:t>%</w:t>
            </w:r>
            <w:r w:rsidR="00340052" w:rsidRPr="001845F3">
              <w:rPr>
                <w:rFonts w:cs="Times New Roman"/>
                <w:color w:val="000000"/>
                <w:sz w:val="20"/>
                <w:szCs w:val="20"/>
              </w:rPr>
              <w:t xml:space="preserve"> of firms with credit</w:t>
            </w:r>
          </w:p>
        </w:tc>
        <w:tc>
          <w:tcPr>
            <w:tcW w:w="744" w:type="pct"/>
            <w:tcBorders>
              <w:left w:val="single" w:sz="4" w:space="0" w:color="auto"/>
            </w:tcBorders>
            <w:noWrap/>
            <w:vAlign w:val="center"/>
            <w:hideMark/>
          </w:tcPr>
          <w:p w14:paraId="2CEDB71F"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10%</w:t>
            </w:r>
          </w:p>
        </w:tc>
        <w:tc>
          <w:tcPr>
            <w:tcW w:w="746" w:type="pct"/>
            <w:tcBorders>
              <w:right w:val="single" w:sz="4" w:space="0" w:color="auto"/>
            </w:tcBorders>
            <w:noWrap/>
            <w:vAlign w:val="center"/>
            <w:hideMark/>
          </w:tcPr>
          <w:p w14:paraId="3696EE90"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31%</w:t>
            </w:r>
          </w:p>
        </w:tc>
        <w:tc>
          <w:tcPr>
            <w:tcW w:w="744" w:type="pct"/>
            <w:tcBorders>
              <w:left w:val="single" w:sz="4" w:space="0" w:color="auto"/>
            </w:tcBorders>
          </w:tcPr>
          <w:p w14:paraId="574ADD08" w14:textId="77777777" w:rsidR="00340052" w:rsidRPr="001845F3" w:rsidRDefault="00340052" w:rsidP="00D727BF">
            <w:pPr>
              <w:tabs>
                <w:tab w:val="left" w:pos="720"/>
              </w:tabs>
              <w:spacing w:after="0" w:line="276" w:lineRule="auto"/>
              <w:jc w:val="center"/>
              <w:rPr>
                <w:rFonts w:cs="Times New Roman"/>
                <w:color w:val="000000"/>
                <w:sz w:val="20"/>
                <w:szCs w:val="20"/>
              </w:rPr>
            </w:pPr>
          </w:p>
        </w:tc>
        <w:tc>
          <w:tcPr>
            <w:tcW w:w="744" w:type="pct"/>
          </w:tcPr>
          <w:p w14:paraId="6E0E6A20" w14:textId="77777777" w:rsidR="00340052" w:rsidRPr="001845F3" w:rsidRDefault="00340052" w:rsidP="00D727BF">
            <w:pPr>
              <w:tabs>
                <w:tab w:val="left" w:pos="720"/>
              </w:tabs>
              <w:spacing w:after="0" w:line="276" w:lineRule="auto"/>
              <w:jc w:val="center"/>
              <w:rPr>
                <w:rFonts w:cs="Times New Roman"/>
                <w:color w:val="000000"/>
                <w:sz w:val="20"/>
                <w:szCs w:val="20"/>
              </w:rPr>
            </w:pPr>
          </w:p>
        </w:tc>
      </w:tr>
      <w:tr w:rsidR="00340052" w:rsidRPr="001845F3" w14:paraId="158767FA" w14:textId="77777777" w:rsidTr="00205F4E">
        <w:trPr>
          <w:trHeight w:val="144"/>
          <w:jc w:val="center"/>
        </w:trPr>
        <w:tc>
          <w:tcPr>
            <w:tcW w:w="2022" w:type="pct"/>
            <w:tcBorders>
              <w:right w:val="single" w:sz="4" w:space="0" w:color="auto"/>
            </w:tcBorders>
            <w:noWrap/>
            <w:vAlign w:val="center"/>
            <w:hideMark/>
          </w:tcPr>
          <w:p w14:paraId="33B56540" w14:textId="3FA838F7" w:rsidR="00340052" w:rsidRPr="001845F3" w:rsidRDefault="00A02DAA" w:rsidP="00D727BF">
            <w:pPr>
              <w:tabs>
                <w:tab w:val="left" w:pos="720"/>
              </w:tabs>
              <w:spacing w:after="0" w:line="276" w:lineRule="auto"/>
              <w:rPr>
                <w:rFonts w:cs="Times New Roman"/>
                <w:color w:val="000000"/>
                <w:sz w:val="20"/>
                <w:szCs w:val="20"/>
              </w:rPr>
            </w:pPr>
            <w:r>
              <w:rPr>
                <w:rFonts w:cs="Times New Roman"/>
                <w:color w:val="000000"/>
                <w:sz w:val="20"/>
                <w:szCs w:val="20"/>
              </w:rPr>
              <w:t>%</w:t>
            </w:r>
            <w:r w:rsidR="00340052" w:rsidRPr="001845F3">
              <w:rPr>
                <w:rFonts w:cs="Times New Roman"/>
                <w:color w:val="000000"/>
                <w:sz w:val="20"/>
                <w:szCs w:val="20"/>
              </w:rPr>
              <w:t xml:space="preserve"> of firms using </w:t>
            </w:r>
            <w:r w:rsidR="002A2846">
              <w:rPr>
                <w:rFonts w:cs="Times New Roman"/>
                <w:color w:val="000000"/>
                <w:sz w:val="20"/>
                <w:szCs w:val="20"/>
              </w:rPr>
              <w:t>I</w:t>
            </w:r>
            <w:r w:rsidR="00340052" w:rsidRPr="001845F3">
              <w:rPr>
                <w:rFonts w:cs="Times New Roman"/>
                <w:color w:val="000000"/>
                <w:sz w:val="20"/>
                <w:szCs w:val="20"/>
              </w:rPr>
              <w:t>nternet</w:t>
            </w:r>
          </w:p>
        </w:tc>
        <w:tc>
          <w:tcPr>
            <w:tcW w:w="744" w:type="pct"/>
            <w:tcBorders>
              <w:left w:val="single" w:sz="4" w:space="0" w:color="auto"/>
            </w:tcBorders>
            <w:noWrap/>
            <w:vAlign w:val="center"/>
            <w:hideMark/>
          </w:tcPr>
          <w:p w14:paraId="50FA1739"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28%</w:t>
            </w:r>
          </w:p>
        </w:tc>
        <w:tc>
          <w:tcPr>
            <w:tcW w:w="746" w:type="pct"/>
            <w:tcBorders>
              <w:right w:val="single" w:sz="4" w:space="0" w:color="auto"/>
            </w:tcBorders>
            <w:noWrap/>
            <w:vAlign w:val="center"/>
            <w:hideMark/>
          </w:tcPr>
          <w:p w14:paraId="2559D0C8"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41%</w:t>
            </w:r>
          </w:p>
        </w:tc>
        <w:tc>
          <w:tcPr>
            <w:tcW w:w="744" w:type="pct"/>
            <w:tcBorders>
              <w:left w:val="single" w:sz="4" w:space="0" w:color="auto"/>
            </w:tcBorders>
          </w:tcPr>
          <w:p w14:paraId="01AB51CA" w14:textId="77777777" w:rsidR="00340052" w:rsidRPr="001845F3" w:rsidRDefault="00340052" w:rsidP="00D727BF">
            <w:pPr>
              <w:tabs>
                <w:tab w:val="left" w:pos="720"/>
              </w:tabs>
              <w:spacing w:after="0" w:line="276" w:lineRule="auto"/>
              <w:jc w:val="center"/>
              <w:rPr>
                <w:rFonts w:cs="Times New Roman"/>
                <w:color w:val="000000"/>
                <w:sz w:val="20"/>
                <w:szCs w:val="20"/>
              </w:rPr>
            </w:pPr>
          </w:p>
        </w:tc>
        <w:tc>
          <w:tcPr>
            <w:tcW w:w="744" w:type="pct"/>
          </w:tcPr>
          <w:p w14:paraId="246D70A6" w14:textId="77777777" w:rsidR="00340052" w:rsidRPr="001845F3" w:rsidRDefault="00340052" w:rsidP="00D727BF">
            <w:pPr>
              <w:tabs>
                <w:tab w:val="left" w:pos="720"/>
              </w:tabs>
              <w:spacing w:after="0" w:line="276" w:lineRule="auto"/>
              <w:jc w:val="center"/>
              <w:rPr>
                <w:rFonts w:cs="Times New Roman"/>
                <w:color w:val="000000"/>
                <w:sz w:val="20"/>
                <w:szCs w:val="20"/>
              </w:rPr>
            </w:pPr>
          </w:p>
        </w:tc>
      </w:tr>
      <w:tr w:rsidR="00340052" w:rsidRPr="001845F3" w14:paraId="4ECBEDA8" w14:textId="77777777" w:rsidTr="00205F4E">
        <w:trPr>
          <w:trHeight w:val="144"/>
          <w:jc w:val="center"/>
        </w:trPr>
        <w:tc>
          <w:tcPr>
            <w:tcW w:w="2022" w:type="pct"/>
            <w:tcBorders>
              <w:right w:val="single" w:sz="4" w:space="0" w:color="auto"/>
            </w:tcBorders>
            <w:noWrap/>
            <w:vAlign w:val="center"/>
            <w:hideMark/>
          </w:tcPr>
          <w:p w14:paraId="06AC99DF" w14:textId="339E23BD" w:rsidR="00340052" w:rsidRPr="001845F3" w:rsidRDefault="00A02DAA" w:rsidP="00D727BF">
            <w:pPr>
              <w:tabs>
                <w:tab w:val="left" w:pos="720"/>
              </w:tabs>
              <w:spacing w:after="0" w:line="276" w:lineRule="auto"/>
              <w:rPr>
                <w:rFonts w:cs="Times New Roman"/>
                <w:color w:val="000000"/>
                <w:sz w:val="20"/>
                <w:szCs w:val="20"/>
              </w:rPr>
            </w:pPr>
            <w:r>
              <w:rPr>
                <w:rFonts w:cs="Times New Roman"/>
                <w:color w:val="000000"/>
                <w:sz w:val="20"/>
                <w:szCs w:val="20"/>
              </w:rPr>
              <w:t>%</w:t>
            </w:r>
            <w:r w:rsidR="00340052" w:rsidRPr="001845F3">
              <w:rPr>
                <w:rFonts w:cs="Times New Roman"/>
                <w:color w:val="000000"/>
                <w:sz w:val="20"/>
                <w:szCs w:val="20"/>
              </w:rPr>
              <w:t xml:space="preserve"> of firms licensing foreign technology</w:t>
            </w:r>
          </w:p>
        </w:tc>
        <w:tc>
          <w:tcPr>
            <w:tcW w:w="744" w:type="pct"/>
            <w:tcBorders>
              <w:left w:val="single" w:sz="4" w:space="0" w:color="auto"/>
            </w:tcBorders>
            <w:noWrap/>
            <w:vAlign w:val="center"/>
            <w:hideMark/>
          </w:tcPr>
          <w:p w14:paraId="2697AE65"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11%</w:t>
            </w:r>
          </w:p>
        </w:tc>
        <w:tc>
          <w:tcPr>
            <w:tcW w:w="746" w:type="pct"/>
            <w:tcBorders>
              <w:right w:val="single" w:sz="4" w:space="0" w:color="auto"/>
            </w:tcBorders>
            <w:noWrap/>
            <w:vAlign w:val="center"/>
            <w:hideMark/>
          </w:tcPr>
          <w:p w14:paraId="240A1CE1"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9%</w:t>
            </w:r>
          </w:p>
        </w:tc>
        <w:tc>
          <w:tcPr>
            <w:tcW w:w="744" w:type="pct"/>
            <w:tcBorders>
              <w:left w:val="single" w:sz="4" w:space="0" w:color="auto"/>
            </w:tcBorders>
          </w:tcPr>
          <w:p w14:paraId="3302A274" w14:textId="77777777" w:rsidR="00340052" w:rsidRPr="001845F3" w:rsidRDefault="00340052" w:rsidP="00D727BF">
            <w:pPr>
              <w:tabs>
                <w:tab w:val="left" w:pos="720"/>
              </w:tabs>
              <w:spacing w:after="0" w:line="276" w:lineRule="auto"/>
              <w:jc w:val="center"/>
              <w:rPr>
                <w:rFonts w:cs="Times New Roman"/>
                <w:color w:val="000000"/>
                <w:sz w:val="20"/>
                <w:szCs w:val="20"/>
              </w:rPr>
            </w:pPr>
          </w:p>
        </w:tc>
        <w:tc>
          <w:tcPr>
            <w:tcW w:w="744" w:type="pct"/>
          </w:tcPr>
          <w:p w14:paraId="071F1742" w14:textId="77777777" w:rsidR="00340052" w:rsidRPr="001845F3" w:rsidRDefault="00340052" w:rsidP="00D727BF">
            <w:pPr>
              <w:tabs>
                <w:tab w:val="left" w:pos="720"/>
              </w:tabs>
              <w:spacing w:after="0" w:line="276" w:lineRule="auto"/>
              <w:jc w:val="center"/>
              <w:rPr>
                <w:rFonts w:cs="Times New Roman"/>
                <w:color w:val="000000"/>
                <w:sz w:val="20"/>
                <w:szCs w:val="20"/>
              </w:rPr>
            </w:pPr>
          </w:p>
        </w:tc>
      </w:tr>
      <w:tr w:rsidR="00340052" w:rsidRPr="001845F3" w14:paraId="689F56B2" w14:textId="77777777" w:rsidTr="00205F4E">
        <w:trPr>
          <w:trHeight w:val="144"/>
          <w:jc w:val="center"/>
        </w:trPr>
        <w:tc>
          <w:tcPr>
            <w:tcW w:w="2022" w:type="pct"/>
            <w:tcBorders>
              <w:right w:val="single" w:sz="4" w:space="0" w:color="auto"/>
            </w:tcBorders>
            <w:noWrap/>
            <w:vAlign w:val="center"/>
            <w:hideMark/>
          </w:tcPr>
          <w:p w14:paraId="00692618" w14:textId="54CDD27D" w:rsidR="00340052" w:rsidRPr="001845F3" w:rsidRDefault="00A02DAA" w:rsidP="00D727BF">
            <w:pPr>
              <w:tabs>
                <w:tab w:val="left" w:pos="720"/>
              </w:tabs>
              <w:spacing w:after="0" w:line="276" w:lineRule="auto"/>
              <w:rPr>
                <w:rFonts w:cs="Times New Roman"/>
                <w:color w:val="000000"/>
                <w:sz w:val="20"/>
                <w:szCs w:val="20"/>
              </w:rPr>
            </w:pPr>
            <w:r>
              <w:rPr>
                <w:rFonts w:cs="Times New Roman"/>
                <w:color w:val="000000"/>
                <w:sz w:val="20"/>
                <w:szCs w:val="20"/>
              </w:rPr>
              <w:t>%</w:t>
            </w:r>
            <w:r w:rsidR="00340052" w:rsidRPr="001845F3">
              <w:rPr>
                <w:rFonts w:cs="Times New Roman"/>
                <w:color w:val="000000"/>
                <w:sz w:val="20"/>
                <w:szCs w:val="20"/>
              </w:rPr>
              <w:t xml:space="preserve"> of firms ISO certified</w:t>
            </w:r>
          </w:p>
        </w:tc>
        <w:tc>
          <w:tcPr>
            <w:tcW w:w="744" w:type="pct"/>
            <w:tcBorders>
              <w:left w:val="single" w:sz="4" w:space="0" w:color="auto"/>
            </w:tcBorders>
            <w:noWrap/>
            <w:vAlign w:val="center"/>
            <w:hideMark/>
          </w:tcPr>
          <w:p w14:paraId="5CE714F3"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9%</w:t>
            </w:r>
          </w:p>
        </w:tc>
        <w:tc>
          <w:tcPr>
            <w:tcW w:w="746" w:type="pct"/>
            <w:tcBorders>
              <w:right w:val="single" w:sz="4" w:space="0" w:color="auto"/>
            </w:tcBorders>
            <w:noWrap/>
            <w:vAlign w:val="center"/>
            <w:hideMark/>
          </w:tcPr>
          <w:p w14:paraId="281B8AE4"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9%</w:t>
            </w:r>
          </w:p>
        </w:tc>
        <w:tc>
          <w:tcPr>
            <w:tcW w:w="744" w:type="pct"/>
            <w:tcBorders>
              <w:left w:val="single" w:sz="4" w:space="0" w:color="auto"/>
            </w:tcBorders>
          </w:tcPr>
          <w:p w14:paraId="43AC222C" w14:textId="77777777" w:rsidR="00340052" w:rsidRPr="001845F3" w:rsidRDefault="00340052" w:rsidP="00D727BF">
            <w:pPr>
              <w:tabs>
                <w:tab w:val="left" w:pos="720"/>
              </w:tabs>
              <w:spacing w:after="0" w:line="276" w:lineRule="auto"/>
              <w:jc w:val="center"/>
              <w:rPr>
                <w:rFonts w:cs="Times New Roman"/>
                <w:color w:val="000000"/>
                <w:sz w:val="20"/>
                <w:szCs w:val="20"/>
              </w:rPr>
            </w:pPr>
          </w:p>
        </w:tc>
        <w:tc>
          <w:tcPr>
            <w:tcW w:w="744" w:type="pct"/>
          </w:tcPr>
          <w:p w14:paraId="3DA7C78E" w14:textId="77777777" w:rsidR="00340052" w:rsidRPr="001845F3" w:rsidRDefault="00340052" w:rsidP="00D727BF">
            <w:pPr>
              <w:tabs>
                <w:tab w:val="left" w:pos="720"/>
              </w:tabs>
              <w:spacing w:after="0" w:line="276" w:lineRule="auto"/>
              <w:jc w:val="center"/>
              <w:rPr>
                <w:rFonts w:cs="Times New Roman"/>
                <w:color w:val="000000"/>
                <w:sz w:val="20"/>
                <w:szCs w:val="20"/>
              </w:rPr>
            </w:pPr>
          </w:p>
        </w:tc>
      </w:tr>
      <w:tr w:rsidR="00340052" w:rsidRPr="001845F3" w14:paraId="2E9C8219" w14:textId="77777777" w:rsidTr="00205F4E">
        <w:trPr>
          <w:trHeight w:val="144"/>
          <w:jc w:val="center"/>
        </w:trPr>
        <w:tc>
          <w:tcPr>
            <w:tcW w:w="2022" w:type="pct"/>
            <w:tcBorders>
              <w:right w:val="single" w:sz="4" w:space="0" w:color="auto"/>
            </w:tcBorders>
            <w:noWrap/>
            <w:vAlign w:val="center"/>
            <w:hideMark/>
          </w:tcPr>
          <w:p w14:paraId="43CDC8C6" w14:textId="7710F487" w:rsidR="00340052" w:rsidRPr="001845F3" w:rsidRDefault="00A02DAA" w:rsidP="00D727BF">
            <w:pPr>
              <w:tabs>
                <w:tab w:val="left" w:pos="720"/>
              </w:tabs>
              <w:spacing w:after="0" w:line="276" w:lineRule="auto"/>
              <w:rPr>
                <w:rFonts w:cs="Times New Roman"/>
                <w:color w:val="000000"/>
                <w:sz w:val="20"/>
                <w:szCs w:val="20"/>
              </w:rPr>
            </w:pPr>
            <w:r>
              <w:rPr>
                <w:rFonts w:cs="Times New Roman"/>
                <w:color w:val="000000"/>
                <w:sz w:val="20"/>
                <w:szCs w:val="20"/>
              </w:rPr>
              <w:t>%</w:t>
            </w:r>
            <w:r w:rsidR="00340052" w:rsidRPr="001845F3">
              <w:rPr>
                <w:rFonts w:cs="Times New Roman"/>
                <w:color w:val="000000"/>
                <w:sz w:val="20"/>
                <w:szCs w:val="20"/>
              </w:rPr>
              <w:t xml:space="preserve"> with generator</w:t>
            </w:r>
          </w:p>
        </w:tc>
        <w:tc>
          <w:tcPr>
            <w:tcW w:w="744" w:type="pct"/>
            <w:tcBorders>
              <w:left w:val="single" w:sz="4" w:space="0" w:color="auto"/>
            </w:tcBorders>
            <w:noWrap/>
            <w:vAlign w:val="center"/>
            <w:hideMark/>
          </w:tcPr>
          <w:p w14:paraId="489C332A"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86%</w:t>
            </w:r>
          </w:p>
        </w:tc>
        <w:tc>
          <w:tcPr>
            <w:tcW w:w="746" w:type="pct"/>
            <w:tcBorders>
              <w:right w:val="single" w:sz="4" w:space="0" w:color="auto"/>
            </w:tcBorders>
            <w:noWrap/>
            <w:vAlign w:val="center"/>
            <w:hideMark/>
          </w:tcPr>
          <w:p w14:paraId="2B63A6EE"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85%</w:t>
            </w:r>
          </w:p>
        </w:tc>
        <w:tc>
          <w:tcPr>
            <w:tcW w:w="744" w:type="pct"/>
            <w:tcBorders>
              <w:left w:val="single" w:sz="4" w:space="0" w:color="auto"/>
            </w:tcBorders>
          </w:tcPr>
          <w:p w14:paraId="2907B5AE" w14:textId="77777777" w:rsidR="00340052" w:rsidRPr="001845F3" w:rsidRDefault="00340052" w:rsidP="00D727BF">
            <w:pPr>
              <w:tabs>
                <w:tab w:val="left" w:pos="720"/>
              </w:tabs>
              <w:spacing w:after="0" w:line="276" w:lineRule="auto"/>
              <w:jc w:val="center"/>
              <w:rPr>
                <w:rFonts w:cs="Times New Roman"/>
                <w:color w:val="000000"/>
                <w:sz w:val="20"/>
                <w:szCs w:val="20"/>
              </w:rPr>
            </w:pPr>
          </w:p>
        </w:tc>
        <w:tc>
          <w:tcPr>
            <w:tcW w:w="744" w:type="pct"/>
          </w:tcPr>
          <w:p w14:paraId="27D1970C" w14:textId="77777777" w:rsidR="00340052" w:rsidRPr="001845F3" w:rsidRDefault="00340052" w:rsidP="00D727BF">
            <w:pPr>
              <w:tabs>
                <w:tab w:val="left" w:pos="720"/>
              </w:tabs>
              <w:spacing w:after="0" w:line="276" w:lineRule="auto"/>
              <w:jc w:val="center"/>
              <w:rPr>
                <w:rFonts w:cs="Times New Roman"/>
                <w:color w:val="000000"/>
                <w:sz w:val="20"/>
                <w:szCs w:val="20"/>
              </w:rPr>
            </w:pPr>
          </w:p>
        </w:tc>
      </w:tr>
      <w:tr w:rsidR="00340052" w:rsidRPr="001845F3" w14:paraId="6A8D183A" w14:textId="77777777" w:rsidTr="00205F4E">
        <w:trPr>
          <w:trHeight w:val="144"/>
          <w:jc w:val="center"/>
        </w:trPr>
        <w:tc>
          <w:tcPr>
            <w:tcW w:w="2022" w:type="pct"/>
            <w:tcBorders>
              <w:bottom w:val="single" w:sz="4" w:space="0" w:color="auto"/>
              <w:right w:val="single" w:sz="4" w:space="0" w:color="auto"/>
            </w:tcBorders>
            <w:noWrap/>
            <w:vAlign w:val="center"/>
            <w:hideMark/>
          </w:tcPr>
          <w:p w14:paraId="4537D1A6" w14:textId="6081C731" w:rsidR="00340052" w:rsidRPr="001845F3" w:rsidRDefault="00A02DAA" w:rsidP="00D727BF">
            <w:pPr>
              <w:tabs>
                <w:tab w:val="left" w:pos="720"/>
              </w:tabs>
              <w:spacing w:after="0" w:line="276" w:lineRule="auto"/>
              <w:rPr>
                <w:rFonts w:cs="Times New Roman"/>
                <w:color w:val="000000"/>
                <w:sz w:val="20"/>
                <w:szCs w:val="20"/>
              </w:rPr>
            </w:pPr>
            <w:r>
              <w:rPr>
                <w:rFonts w:cs="Times New Roman"/>
                <w:color w:val="000000"/>
                <w:sz w:val="20"/>
                <w:szCs w:val="20"/>
              </w:rPr>
              <w:t>%</w:t>
            </w:r>
            <w:r w:rsidR="00340052" w:rsidRPr="001845F3">
              <w:rPr>
                <w:rFonts w:cs="Times New Roman"/>
                <w:color w:val="000000"/>
                <w:sz w:val="20"/>
                <w:szCs w:val="20"/>
              </w:rPr>
              <w:t xml:space="preserve"> reported bribes are needed</w:t>
            </w:r>
          </w:p>
        </w:tc>
        <w:tc>
          <w:tcPr>
            <w:tcW w:w="744" w:type="pct"/>
            <w:tcBorders>
              <w:left w:val="single" w:sz="4" w:space="0" w:color="auto"/>
              <w:bottom w:val="single" w:sz="4" w:space="0" w:color="auto"/>
            </w:tcBorders>
            <w:noWrap/>
            <w:vAlign w:val="center"/>
            <w:hideMark/>
          </w:tcPr>
          <w:p w14:paraId="09729B9C"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41%</w:t>
            </w:r>
          </w:p>
        </w:tc>
        <w:tc>
          <w:tcPr>
            <w:tcW w:w="746" w:type="pct"/>
            <w:tcBorders>
              <w:bottom w:val="single" w:sz="4" w:space="0" w:color="auto"/>
              <w:right w:val="single" w:sz="4" w:space="0" w:color="auto"/>
            </w:tcBorders>
            <w:noWrap/>
            <w:vAlign w:val="center"/>
            <w:hideMark/>
          </w:tcPr>
          <w:p w14:paraId="0CC85C08"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40%</w:t>
            </w:r>
          </w:p>
        </w:tc>
        <w:tc>
          <w:tcPr>
            <w:tcW w:w="744" w:type="pct"/>
            <w:tcBorders>
              <w:left w:val="single" w:sz="4" w:space="0" w:color="auto"/>
              <w:bottom w:val="single" w:sz="4" w:space="0" w:color="auto"/>
            </w:tcBorders>
          </w:tcPr>
          <w:p w14:paraId="7D7F66C2" w14:textId="77777777" w:rsidR="00340052" w:rsidRPr="001845F3" w:rsidRDefault="00340052" w:rsidP="00D727BF">
            <w:pPr>
              <w:tabs>
                <w:tab w:val="left" w:pos="720"/>
              </w:tabs>
              <w:spacing w:after="0" w:line="276" w:lineRule="auto"/>
              <w:jc w:val="center"/>
              <w:rPr>
                <w:rFonts w:cs="Times New Roman"/>
                <w:color w:val="000000"/>
                <w:sz w:val="20"/>
                <w:szCs w:val="20"/>
              </w:rPr>
            </w:pPr>
          </w:p>
        </w:tc>
        <w:tc>
          <w:tcPr>
            <w:tcW w:w="744" w:type="pct"/>
            <w:tcBorders>
              <w:bottom w:val="single" w:sz="4" w:space="0" w:color="auto"/>
            </w:tcBorders>
          </w:tcPr>
          <w:p w14:paraId="1B962819" w14:textId="77777777" w:rsidR="00340052" w:rsidRPr="001845F3" w:rsidRDefault="00340052" w:rsidP="00D727BF">
            <w:pPr>
              <w:tabs>
                <w:tab w:val="left" w:pos="720"/>
              </w:tabs>
              <w:spacing w:after="0" w:line="276" w:lineRule="auto"/>
              <w:jc w:val="center"/>
              <w:rPr>
                <w:rFonts w:cs="Times New Roman"/>
                <w:color w:val="000000"/>
                <w:sz w:val="20"/>
                <w:szCs w:val="20"/>
              </w:rPr>
            </w:pPr>
          </w:p>
        </w:tc>
      </w:tr>
      <w:tr w:rsidR="00340052" w:rsidRPr="001845F3" w14:paraId="238FED61" w14:textId="77777777" w:rsidTr="00205F4E">
        <w:trPr>
          <w:trHeight w:val="144"/>
          <w:jc w:val="center"/>
        </w:trPr>
        <w:tc>
          <w:tcPr>
            <w:tcW w:w="2022" w:type="pct"/>
            <w:tcBorders>
              <w:top w:val="single" w:sz="4" w:space="0" w:color="auto"/>
              <w:right w:val="single" w:sz="4" w:space="0" w:color="auto"/>
            </w:tcBorders>
            <w:noWrap/>
            <w:vAlign w:val="center"/>
            <w:hideMark/>
          </w:tcPr>
          <w:p w14:paraId="41E75E69" w14:textId="77777777" w:rsidR="00340052" w:rsidRPr="001845F3" w:rsidRDefault="00340052" w:rsidP="00D727BF">
            <w:pPr>
              <w:tabs>
                <w:tab w:val="left" w:pos="720"/>
              </w:tabs>
              <w:spacing w:after="0" w:line="276" w:lineRule="auto"/>
              <w:rPr>
                <w:rFonts w:cs="Times New Roman"/>
                <w:b/>
                <w:bCs/>
                <w:color w:val="000000"/>
                <w:sz w:val="20"/>
                <w:szCs w:val="20"/>
              </w:rPr>
            </w:pPr>
            <w:r w:rsidRPr="001845F3">
              <w:rPr>
                <w:rFonts w:cs="Times New Roman"/>
                <w:b/>
                <w:bCs/>
                <w:color w:val="000000"/>
                <w:sz w:val="20"/>
                <w:szCs w:val="20"/>
              </w:rPr>
              <w:t>Continuous variables</w:t>
            </w:r>
          </w:p>
        </w:tc>
        <w:tc>
          <w:tcPr>
            <w:tcW w:w="744" w:type="pct"/>
            <w:tcBorders>
              <w:top w:val="single" w:sz="4" w:space="0" w:color="auto"/>
              <w:left w:val="single" w:sz="4" w:space="0" w:color="auto"/>
            </w:tcBorders>
            <w:noWrap/>
            <w:vAlign w:val="center"/>
            <w:hideMark/>
          </w:tcPr>
          <w:p w14:paraId="641DA6DA" w14:textId="77777777" w:rsidR="00340052" w:rsidRPr="001845F3" w:rsidRDefault="00340052" w:rsidP="00D727BF">
            <w:pPr>
              <w:tabs>
                <w:tab w:val="left" w:pos="720"/>
              </w:tabs>
              <w:spacing w:after="0" w:line="276" w:lineRule="auto"/>
              <w:rPr>
                <w:rFonts w:cs="Times New Roman"/>
                <w:sz w:val="20"/>
                <w:szCs w:val="20"/>
              </w:rPr>
            </w:pPr>
          </w:p>
        </w:tc>
        <w:tc>
          <w:tcPr>
            <w:tcW w:w="746" w:type="pct"/>
            <w:tcBorders>
              <w:top w:val="single" w:sz="4" w:space="0" w:color="auto"/>
              <w:right w:val="single" w:sz="4" w:space="0" w:color="auto"/>
            </w:tcBorders>
            <w:noWrap/>
            <w:vAlign w:val="center"/>
            <w:hideMark/>
          </w:tcPr>
          <w:p w14:paraId="6096E8B0" w14:textId="77777777" w:rsidR="00340052" w:rsidRPr="001845F3" w:rsidRDefault="00340052" w:rsidP="00D727BF">
            <w:pPr>
              <w:tabs>
                <w:tab w:val="left" w:pos="720"/>
              </w:tabs>
              <w:spacing w:after="0" w:line="276" w:lineRule="auto"/>
              <w:rPr>
                <w:rFonts w:cs="Times New Roman"/>
                <w:sz w:val="20"/>
                <w:szCs w:val="20"/>
              </w:rPr>
            </w:pPr>
          </w:p>
        </w:tc>
        <w:tc>
          <w:tcPr>
            <w:tcW w:w="744" w:type="pct"/>
            <w:tcBorders>
              <w:top w:val="single" w:sz="4" w:space="0" w:color="auto"/>
              <w:left w:val="single" w:sz="4" w:space="0" w:color="auto"/>
            </w:tcBorders>
          </w:tcPr>
          <w:p w14:paraId="18698C92" w14:textId="77777777" w:rsidR="00340052" w:rsidRPr="001845F3" w:rsidRDefault="00340052" w:rsidP="00D727BF">
            <w:pPr>
              <w:tabs>
                <w:tab w:val="left" w:pos="720"/>
              </w:tabs>
              <w:spacing w:after="0" w:line="276" w:lineRule="auto"/>
              <w:rPr>
                <w:rFonts w:cs="Times New Roman"/>
                <w:sz w:val="20"/>
                <w:szCs w:val="20"/>
              </w:rPr>
            </w:pPr>
          </w:p>
        </w:tc>
        <w:tc>
          <w:tcPr>
            <w:tcW w:w="744" w:type="pct"/>
            <w:tcBorders>
              <w:top w:val="single" w:sz="4" w:space="0" w:color="auto"/>
            </w:tcBorders>
          </w:tcPr>
          <w:p w14:paraId="24426E58" w14:textId="77777777" w:rsidR="00340052" w:rsidRPr="001845F3" w:rsidRDefault="00340052" w:rsidP="00D727BF">
            <w:pPr>
              <w:tabs>
                <w:tab w:val="left" w:pos="720"/>
              </w:tabs>
              <w:spacing w:after="0" w:line="276" w:lineRule="auto"/>
              <w:rPr>
                <w:rFonts w:cs="Times New Roman"/>
                <w:sz w:val="20"/>
                <w:szCs w:val="20"/>
              </w:rPr>
            </w:pPr>
          </w:p>
        </w:tc>
      </w:tr>
      <w:tr w:rsidR="00340052" w:rsidRPr="001845F3" w14:paraId="3B0D59AD" w14:textId="77777777" w:rsidTr="00205F4E">
        <w:trPr>
          <w:trHeight w:val="144"/>
          <w:jc w:val="center"/>
        </w:trPr>
        <w:tc>
          <w:tcPr>
            <w:tcW w:w="2022" w:type="pct"/>
            <w:tcBorders>
              <w:right w:val="single" w:sz="4" w:space="0" w:color="auto"/>
            </w:tcBorders>
            <w:noWrap/>
            <w:vAlign w:val="center"/>
            <w:hideMark/>
          </w:tcPr>
          <w:p w14:paraId="639259AF" w14:textId="77777777" w:rsidR="00340052" w:rsidRPr="001845F3" w:rsidRDefault="00340052" w:rsidP="00D727BF">
            <w:pPr>
              <w:tabs>
                <w:tab w:val="left" w:pos="720"/>
              </w:tabs>
              <w:spacing w:after="0" w:line="276" w:lineRule="auto"/>
              <w:rPr>
                <w:rFonts w:cs="Times New Roman"/>
                <w:color w:val="000000"/>
                <w:sz w:val="20"/>
                <w:szCs w:val="20"/>
              </w:rPr>
            </w:pPr>
            <w:r w:rsidRPr="001845F3">
              <w:rPr>
                <w:rFonts w:cs="Times New Roman"/>
                <w:color w:val="000000"/>
                <w:sz w:val="20"/>
                <w:szCs w:val="20"/>
              </w:rPr>
              <w:t xml:space="preserve"> Time spent dealing with regulation</w:t>
            </w:r>
          </w:p>
        </w:tc>
        <w:tc>
          <w:tcPr>
            <w:tcW w:w="744" w:type="pct"/>
            <w:tcBorders>
              <w:left w:val="single" w:sz="4" w:space="0" w:color="auto"/>
            </w:tcBorders>
            <w:noWrap/>
            <w:vAlign w:val="center"/>
            <w:hideMark/>
          </w:tcPr>
          <w:p w14:paraId="0087784D"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6.9</w:t>
            </w:r>
          </w:p>
        </w:tc>
        <w:tc>
          <w:tcPr>
            <w:tcW w:w="746" w:type="pct"/>
            <w:tcBorders>
              <w:right w:val="single" w:sz="4" w:space="0" w:color="auto"/>
            </w:tcBorders>
            <w:noWrap/>
            <w:vAlign w:val="center"/>
            <w:hideMark/>
          </w:tcPr>
          <w:p w14:paraId="681EE0C3"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9.5</w:t>
            </w:r>
          </w:p>
        </w:tc>
        <w:tc>
          <w:tcPr>
            <w:tcW w:w="744" w:type="pct"/>
            <w:tcBorders>
              <w:left w:val="single" w:sz="4" w:space="0" w:color="auto"/>
            </w:tcBorders>
          </w:tcPr>
          <w:p w14:paraId="03A17AED"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3.0</w:t>
            </w:r>
          </w:p>
        </w:tc>
        <w:tc>
          <w:tcPr>
            <w:tcW w:w="744" w:type="pct"/>
          </w:tcPr>
          <w:p w14:paraId="64F58C1E"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0.0</w:t>
            </w:r>
          </w:p>
        </w:tc>
      </w:tr>
      <w:tr w:rsidR="00340052" w:rsidRPr="001845F3" w14:paraId="341DCADA" w14:textId="77777777" w:rsidTr="00205F4E">
        <w:trPr>
          <w:trHeight w:val="144"/>
          <w:jc w:val="center"/>
        </w:trPr>
        <w:tc>
          <w:tcPr>
            <w:tcW w:w="2022" w:type="pct"/>
            <w:tcBorders>
              <w:right w:val="single" w:sz="4" w:space="0" w:color="auto"/>
            </w:tcBorders>
            <w:noWrap/>
            <w:vAlign w:val="center"/>
            <w:hideMark/>
          </w:tcPr>
          <w:p w14:paraId="0A362894" w14:textId="77777777" w:rsidR="00340052" w:rsidRPr="001845F3" w:rsidRDefault="00340052" w:rsidP="00D727BF">
            <w:pPr>
              <w:tabs>
                <w:tab w:val="left" w:pos="720"/>
              </w:tabs>
              <w:spacing w:after="0" w:line="276" w:lineRule="auto"/>
              <w:rPr>
                <w:rFonts w:cs="Times New Roman"/>
                <w:color w:val="000000"/>
                <w:sz w:val="20"/>
                <w:szCs w:val="20"/>
              </w:rPr>
            </w:pPr>
            <w:r w:rsidRPr="001845F3">
              <w:rPr>
                <w:rFonts w:cs="Times New Roman"/>
                <w:color w:val="000000"/>
                <w:sz w:val="20"/>
                <w:szCs w:val="20"/>
              </w:rPr>
              <w:t xml:space="preserve"> Number of days with power outages</w:t>
            </w:r>
          </w:p>
        </w:tc>
        <w:tc>
          <w:tcPr>
            <w:tcW w:w="744" w:type="pct"/>
            <w:tcBorders>
              <w:left w:val="single" w:sz="4" w:space="0" w:color="auto"/>
            </w:tcBorders>
            <w:noWrap/>
            <w:vAlign w:val="center"/>
            <w:hideMark/>
          </w:tcPr>
          <w:p w14:paraId="5ABF6A5D"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22.6</w:t>
            </w:r>
          </w:p>
        </w:tc>
        <w:tc>
          <w:tcPr>
            <w:tcW w:w="746" w:type="pct"/>
            <w:tcBorders>
              <w:right w:val="single" w:sz="4" w:space="0" w:color="auto"/>
            </w:tcBorders>
            <w:noWrap/>
            <w:vAlign w:val="center"/>
            <w:hideMark/>
          </w:tcPr>
          <w:p w14:paraId="7C605F41"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28.6</w:t>
            </w:r>
          </w:p>
        </w:tc>
        <w:tc>
          <w:tcPr>
            <w:tcW w:w="744" w:type="pct"/>
            <w:tcBorders>
              <w:left w:val="single" w:sz="4" w:space="0" w:color="auto"/>
            </w:tcBorders>
          </w:tcPr>
          <w:p w14:paraId="183328EB"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25.0</w:t>
            </w:r>
          </w:p>
        </w:tc>
        <w:tc>
          <w:tcPr>
            <w:tcW w:w="744" w:type="pct"/>
          </w:tcPr>
          <w:p w14:paraId="7DB56CD9"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20.0</w:t>
            </w:r>
          </w:p>
        </w:tc>
      </w:tr>
      <w:tr w:rsidR="00340052" w:rsidRPr="001845F3" w14:paraId="7842AC93" w14:textId="77777777" w:rsidTr="00205F4E">
        <w:trPr>
          <w:trHeight w:val="144"/>
          <w:jc w:val="center"/>
        </w:trPr>
        <w:tc>
          <w:tcPr>
            <w:tcW w:w="2022" w:type="pct"/>
            <w:tcBorders>
              <w:right w:val="single" w:sz="4" w:space="0" w:color="auto"/>
            </w:tcBorders>
            <w:noWrap/>
            <w:vAlign w:val="center"/>
            <w:hideMark/>
          </w:tcPr>
          <w:p w14:paraId="75FBD726" w14:textId="77777777" w:rsidR="00340052" w:rsidRPr="001845F3" w:rsidRDefault="00340052" w:rsidP="00D727BF">
            <w:pPr>
              <w:tabs>
                <w:tab w:val="left" w:pos="720"/>
              </w:tabs>
              <w:spacing w:after="0" w:line="276" w:lineRule="auto"/>
              <w:rPr>
                <w:rFonts w:cs="Times New Roman"/>
                <w:color w:val="000000"/>
                <w:sz w:val="20"/>
                <w:szCs w:val="20"/>
              </w:rPr>
            </w:pPr>
            <w:r w:rsidRPr="001845F3">
              <w:rPr>
                <w:rFonts w:cs="Times New Roman"/>
                <w:color w:val="000000"/>
                <w:sz w:val="20"/>
                <w:szCs w:val="20"/>
              </w:rPr>
              <w:t xml:space="preserve"> Losses due to power outages</w:t>
            </w:r>
          </w:p>
        </w:tc>
        <w:tc>
          <w:tcPr>
            <w:tcW w:w="744" w:type="pct"/>
            <w:tcBorders>
              <w:left w:val="single" w:sz="4" w:space="0" w:color="auto"/>
            </w:tcBorders>
            <w:noWrap/>
            <w:vAlign w:val="center"/>
            <w:hideMark/>
          </w:tcPr>
          <w:p w14:paraId="5979B15B"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8.1</w:t>
            </w:r>
          </w:p>
        </w:tc>
        <w:tc>
          <w:tcPr>
            <w:tcW w:w="746" w:type="pct"/>
            <w:tcBorders>
              <w:right w:val="single" w:sz="4" w:space="0" w:color="auto"/>
            </w:tcBorders>
            <w:noWrap/>
            <w:vAlign w:val="center"/>
            <w:hideMark/>
          </w:tcPr>
          <w:p w14:paraId="2C95E745"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14.1</w:t>
            </w:r>
          </w:p>
        </w:tc>
        <w:tc>
          <w:tcPr>
            <w:tcW w:w="744" w:type="pct"/>
            <w:tcBorders>
              <w:left w:val="single" w:sz="4" w:space="0" w:color="auto"/>
            </w:tcBorders>
          </w:tcPr>
          <w:p w14:paraId="0DD61B89"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5.0</w:t>
            </w:r>
          </w:p>
        </w:tc>
        <w:tc>
          <w:tcPr>
            <w:tcW w:w="744" w:type="pct"/>
          </w:tcPr>
          <w:p w14:paraId="69EB0599"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4.0</w:t>
            </w:r>
          </w:p>
        </w:tc>
      </w:tr>
      <w:tr w:rsidR="00340052" w:rsidRPr="001845F3" w14:paraId="21B66BB6" w14:textId="77777777" w:rsidTr="00205F4E">
        <w:trPr>
          <w:trHeight w:val="144"/>
          <w:jc w:val="center"/>
        </w:trPr>
        <w:tc>
          <w:tcPr>
            <w:tcW w:w="2022" w:type="pct"/>
            <w:tcBorders>
              <w:bottom w:val="single" w:sz="4" w:space="0" w:color="auto"/>
              <w:right w:val="single" w:sz="4" w:space="0" w:color="auto"/>
            </w:tcBorders>
            <w:noWrap/>
            <w:vAlign w:val="center"/>
            <w:hideMark/>
          </w:tcPr>
          <w:p w14:paraId="30E3761E" w14:textId="77777777" w:rsidR="00340052" w:rsidRPr="001845F3" w:rsidRDefault="00340052" w:rsidP="00D727BF">
            <w:pPr>
              <w:tabs>
                <w:tab w:val="left" w:pos="720"/>
              </w:tabs>
              <w:spacing w:after="0" w:line="276" w:lineRule="auto"/>
              <w:rPr>
                <w:rFonts w:cs="Times New Roman"/>
                <w:color w:val="000000"/>
                <w:sz w:val="20"/>
                <w:szCs w:val="20"/>
              </w:rPr>
            </w:pPr>
            <w:r w:rsidRPr="001845F3">
              <w:rPr>
                <w:rFonts w:cs="Times New Roman"/>
                <w:color w:val="000000"/>
                <w:sz w:val="20"/>
                <w:szCs w:val="20"/>
              </w:rPr>
              <w:t xml:space="preserve"> Cost of crime and security</w:t>
            </w:r>
          </w:p>
        </w:tc>
        <w:tc>
          <w:tcPr>
            <w:tcW w:w="744" w:type="pct"/>
            <w:tcBorders>
              <w:left w:val="single" w:sz="4" w:space="0" w:color="auto"/>
              <w:bottom w:val="single" w:sz="4" w:space="0" w:color="auto"/>
            </w:tcBorders>
            <w:noWrap/>
            <w:vAlign w:val="center"/>
            <w:hideMark/>
          </w:tcPr>
          <w:p w14:paraId="21373A56"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1.9</w:t>
            </w:r>
          </w:p>
        </w:tc>
        <w:tc>
          <w:tcPr>
            <w:tcW w:w="746" w:type="pct"/>
            <w:tcBorders>
              <w:bottom w:val="single" w:sz="4" w:space="0" w:color="auto"/>
              <w:right w:val="single" w:sz="4" w:space="0" w:color="auto"/>
            </w:tcBorders>
            <w:noWrap/>
            <w:vAlign w:val="center"/>
            <w:hideMark/>
          </w:tcPr>
          <w:p w14:paraId="5EC5BC1F"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10.2</w:t>
            </w:r>
          </w:p>
        </w:tc>
        <w:tc>
          <w:tcPr>
            <w:tcW w:w="744" w:type="pct"/>
            <w:tcBorders>
              <w:left w:val="single" w:sz="4" w:space="0" w:color="auto"/>
              <w:bottom w:val="single" w:sz="4" w:space="0" w:color="auto"/>
            </w:tcBorders>
          </w:tcPr>
          <w:p w14:paraId="62CEEB05"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0.4</w:t>
            </w:r>
          </w:p>
        </w:tc>
        <w:tc>
          <w:tcPr>
            <w:tcW w:w="744" w:type="pct"/>
            <w:tcBorders>
              <w:bottom w:val="single" w:sz="4" w:space="0" w:color="auto"/>
            </w:tcBorders>
          </w:tcPr>
          <w:p w14:paraId="371AFF06" w14:textId="77777777" w:rsidR="00340052" w:rsidRPr="001845F3" w:rsidRDefault="00340052" w:rsidP="00D727BF">
            <w:pPr>
              <w:tabs>
                <w:tab w:val="left" w:pos="720"/>
              </w:tabs>
              <w:spacing w:after="0" w:line="276" w:lineRule="auto"/>
              <w:jc w:val="center"/>
              <w:rPr>
                <w:rFonts w:cs="Times New Roman"/>
                <w:color w:val="000000"/>
                <w:sz w:val="20"/>
                <w:szCs w:val="20"/>
              </w:rPr>
            </w:pPr>
            <w:r w:rsidRPr="001845F3">
              <w:rPr>
                <w:rFonts w:cs="Times New Roman"/>
                <w:color w:val="000000"/>
                <w:sz w:val="20"/>
                <w:szCs w:val="20"/>
              </w:rPr>
              <w:t>2.0</w:t>
            </w:r>
          </w:p>
        </w:tc>
      </w:tr>
    </w:tbl>
    <w:p w14:paraId="6E4EF97C" w14:textId="02549171" w:rsidR="00340052" w:rsidRPr="001845F3" w:rsidRDefault="00340052" w:rsidP="00D727BF">
      <w:pPr>
        <w:keepNext/>
        <w:tabs>
          <w:tab w:val="left" w:pos="720"/>
        </w:tabs>
        <w:spacing w:before="120" w:after="0"/>
        <w:rPr>
          <w:rFonts w:cs="Times New Roman"/>
          <w:sz w:val="18"/>
          <w:szCs w:val="18"/>
        </w:rPr>
      </w:pPr>
      <w:r w:rsidRPr="001845F3">
        <w:rPr>
          <w:rFonts w:cs="Times New Roman"/>
          <w:sz w:val="18"/>
          <w:szCs w:val="18"/>
        </w:rPr>
        <w:t>Source: Authors</w:t>
      </w:r>
      <w:r w:rsidR="002A2846">
        <w:rPr>
          <w:rFonts w:cs="Times New Roman"/>
          <w:sz w:val="18"/>
          <w:szCs w:val="18"/>
        </w:rPr>
        <w:t>’</w:t>
      </w:r>
      <w:r w:rsidRPr="001845F3">
        <w:rPr>
          <w:rFonts w:cs="Times New Roman"/>
          <w:sz w:val="18"/>
          <w:szCs w:val="18"/>
        </w:rPr>
        <w:t xml:space="preserve"> calculation based on data from World Bank </w:t>
      </w:r>
      <w:r w:rsidR="00C32950">
        <w:rPr>
          <w:rFonts w:cs="Times New Roman"/>
          <w:sz w:val="18"/>
          <w:szCs w:val="18"/>
        </w:rPr>
        <w:t>enterprise surveys</w:t>
      </w:r>
      <w:r w:rsidRPr="001845F3">
        <w:rPr>
          <w:rFonts w:cs="Times New Roman"/>
          <w:sz w:val="18"/>
          <w:szCs w:val="18"/>
        </w:rPr>
        <w:t xml:space="preserve"> 2007</w:t>
      </w:r>
      <w:r w:rsidR="002A2846">
        <w:rPr>
          <w:rFonts w:ascii="Calibri" w:hAnsi="Calibri" w:cs="Times New Roman"/>
          <w:sz w:val="18"/>
          <w:szCs w:val="18"/>
        </w:rPr>
        <w:t>‒</w:t>
      </w:r>
      <w:r w:rsidRPr="001845F3">
        <w:rPr>
          <w:rFonts w:cs="Times New Roman"/>
          <w:sz w:val="18"/>
          <w:szCs w:val="18"/>
        </w:rPr>
        <w:t>08 and 2014</w:t>
      </w:r>
      <w:r w:rsidR="002A2846">
        <w:rPr>
          <w:rFonts w:ascii="Calibri" w:hAnsi="Calibri" w:cs="Times New Roman"/>
          <w:sz w:val="18"/>
          <w:szCs w:val="18"/>
        </w:rPr>
        <w:t>‒</w:t>
      </w:r>
      <w:r w:rsidRPr="001845F3">
        <w:rPr>
          <w:rFonts w:cs="Times New Roman"/>
          <w:sz w:val="18"/>
          <w:szCs w:val="18"/>
        </w:rPr>
        <w:t>15</w:t>
      </w:r>
    </w:p>
    <w:p w14:paraId="2E01193C" w14:textId="4ADFDCB0" w:rsidR="00340052" w:rsidRDefault="002A2846" w:rsidP="00D727BF">
      <w:pPr>
        <w:pStyle w:val="ParagraphNumbering"/>
        <w:numPr>
          <w:ilvl w:val="0"/>
          <w:numId w:val="0"/>
        </w:numPr>
        <w:tabs>
          <w:tab w:val="left" w:pos="720"/>
        </w:tabs>
        <w:spacing w:before="240" w:after="240"/>
      </w:pPr>
      <w:r>
        <w:rPr>
          <w:b/>
        </w:rPr>
        <w:tab/>
      </w:r>
      <w:r w:rsidR="00340052" w:rsidRPr="008E097D">
        <w:rPr>
          <w:b/>
        </w:rPr>
        <w:t xml:space="preserve">Other </w:t>
      </w:r>
      <w:r w:rsidR="00340052">
        <w:rPr>
          <w:b/>
        </w:rPr>
        <w:t>investment climate v</w:t>
      </w:r>
      <w:r w:rsidR="00340052" w:rsidRPr="008E097D">
        <w:rPr>
          <w:b/>
        </w:rPr>
        <w:t>ariables appear to have changed only modestly or worsened.</w:t>
      </w:r>
      <w:r w:rsidR="00340052">
        <w:t xml:space="preserve"> About </w:t>
      </w:r>
      <w:r>
        <w:t xml:space="preserve">10 </w:t>
      </w:r>
      <w:r w:rsidR="00340052">
        <w:t xml:space="preserve">percent of firms reported licensing foreign technologies in both years. The percent of firms that had generators, were ISO certified, and had to pay bribes to get things done were very similar in both surveys. Most notably, firms reported greater costs due to crime and insecurity in 2014 compared to 2007. Although the average days with outages, losses due to outages, and time spent dealing with regulation increased between 2007 and 2014, the median has decreased. This suggests that although some firms suffered </w:t>
      </w:r>
      <w:r w:rsidR="00560563">
        <w:t xml:space="preserve">extreme </w:t>
      </w:r>
      <w:r w:rsidR="00340052">
        <w:t>losses, the median effect was modest.</w:t>
      </w:r>
    </w:p>
    <w:p w14:paraId="4C94EB11" w14:textId="5ECF094E" w:rsidR="00F47590" w:rsidRDefault="008B2C4C" w:rsidP="00D727BF">
      <w:pPr>
        <w:pStyle w:val="Heading2"/>
        <w:tabs>
          <w:tab w:val="left" w:pos="720"/>
        </w:tabs>
      </w:pPr>
      <w:bookmarkStart w:id="244" w:name="_Toc444877454"/>
      <w:bookmarkStart w:id="245" w:name="_Toc444877515"/>
      <w:bookmarkStart w:id="246" w:name="_Toc444878299"/>
      <w:bookmarkStart w:id="247" w:name="_Toc444878783"/>
      <w:bookmarkStart w:id="248" w:name="_Toc444879181"/>
      <w:bookmarkStart w:id="249" w:name="_Toc444877455"/>
      <w:bookmarkStart w:id="250" w:name="_Toc444877516"/>
      <w:bookmarkStart w:id="251" w:name="_Toc444878300"/>
      <w:bookmarkStart w:id="252" w:name="_Toc444878784"/>
      <w:bookmarkStart w:id="253" w:name="_Toc444879182"/>
      <w:bookmarkStart w:id="254" w:name="_Toc444877517"/>
      <w:bookmarkStart w:id="255" w:name="_Toc445450288"/>
      <w:bookmarkEnd w:id="244"/>
      <w:bookmarkEnd w:id="245"/>
      <w:bookmarkEnd w:id="246"/>
      <w:bookmarkEnd w:id="247"/>
      <w:bookmarkEnd w:id="248"/>
      <w:bookmarkEnd w:id="249"/>
      <w:bookmarkEnd w:id="250"/>
      <w:bookmarkEnd w:id="251"/>
      <w:bookmarkEnd w:id="252"/>
      <w:bookmarkEnd w:id="253"/>
      <w:r>
        <w:rPr>
          <w:noProof/>
        </w:rPr>
        <w:lastRenderedPageBreak/>
        <mc:AlternateContent>
          <mc:Choice Requires="wps">
            <w:drawing>
              <wp:anchor distT="45720" distB="45720" distL="114300" distR="114300" simplePos="0" relativeHeight="251662336" behindDoc="0" locked="0" layoutInCell="1" allowOverlap="1" wp14:anchorId="6C49B00D" wp14:editId="0A373C2F">
                <wp:simplePos x="0" y="0"/>
                <wp:positionH relativeFrom="column">
                  <wp:posOffset>-114300</wp:posOffset>
                </wp:positionH>
                <wp:positionV relativeFrom="paragraph">
                  <wp:posOffset>0</wp:posOffset>
                </wp:positionV>
                <wp:extent cx="5920740" cy="1404620"/>
                <wp:effectExtent l="0" t="0" r="228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rgbClr val="FFFFFF"/>
                        </a:solidFill>
                        <a:ln w="9525">
                          <a:solidFill>
                            <a:srgbClr val="000000"/>
                          </a:solidFill>
                          <a:miter lim="800000"/>
                          <a:headEnd/>
                          <a:tailEnd/>
                        </a:ln>
                      </wps:spPr>
                      <wps:txbx>
                        <w:txbxContent>
                          <w:p w14:paraId="1CDE5244" w14:textId="3D7F7D8F" w:rsidR="00A02DAA" w:rsidRDefault="00A02DAA" w:rsidP="00D727BF">
                            <w:pPr>
                              <w:jc w:val="center"/>
                              <w:rPr>
                                <w:b/>
                              </w:rPr>
                            </w:pPr>
                            <w:r>
                              <w:rPr>
                                <w:b/>
                              </w:rPr>
                              <w:t>Case Study One: Small Scale Nylon Bag Production in Kano</w:t>
                            </w:r>
                          </w:p>
                          <w:p w14:paraId="32FBF74B" w14:textId="527B28C1" w:rsidR="00A02DAA" w:rsidRPr="001C110E" w:rsidRDefault="00A02DAA" w:rsidP="008B2C4C">
                            <w:pPr>
                              <w:rPr>
                                <w:rFonts w:cs="Times New Roman"/>
                                <w:szCs w:val="24"/>
                              </w:rPr>
                            </w:pPr>
                            <w:r w:rsidRPr="001C110E">
                              <w:rPr>
                                <w:rFonts w:cs="Times New Roman"/>
                                <w:szCs w:val="24"/>
                              </w:rPr>
                              <w:t>Mr. Nazifi</w:t>
                            </w:r>
                            <w:r>
                              <w:rPr>
                                <w:rFonts w:cs="Times New Roman"/>
                                <w:szCs w:val="24"/>
                              </w:rPr>
                              <w:t xml:space="preserve"> established his nylon bag production company in 2000. L</w:t>
                            </w:r>
                            <w:r w:rsidRPr="001C110E">
                              <w:rPr>
                                <w:rFonts w:cs="Times New Roman"/>
                                <w:szCs w:val="24"/>
                              </w:rPr>
                              <w:t xml:space="preserve">ike many businessmen in North Nigeria, </w:t>
                            </w:r>
                            <w:r>
                              <w:rPr>
                                <w:rFonts w:cs="Times New Roman"/>
                                <w:szCs w:val="24"/>
                              </w:rPr>
                              <w:t xml:space="preserve">he </w:t>
                            </w:r>
                            <w:r w:rsidRPr="001C110E">
                              <w:rPr>
                                <w:rFonts w:cs="Times New Roman"/>
                                <w:szCs w:val="24"/>
                              </w:rPr>
                              <w:t>was born in a family of traders. He was working with his older brother in</w:t>
                            </w:r>
                            <w:r>
                              <w:rPr>
                                <w:rFonts w:cs="Times New Roman"/>
                                <w:szCs w:val="24"/>
                              </w:rPr>
                              <w:t xml:space="preserve"> a</w:t>
                            </w:r>
                            <w:r w:rsidRPr="001C110E">
                              <w:rPr>
                                <w:rFonts w:cs="Times New Roman"/>
                                <w:szCs w:val="24"/>
                              </w:rPr>
                              <w:t xml:space="preserve"> venture importing light manufacturing machinery from China and reselling </w:t>
                            </w:r>
                            <w:r>
                              <w:rPr>
                                <w:rFonts w:cs="Times New Roman"/>
                                <w:szCs w:val="24"/>
                              </w:rPr>
                              <w:t>it</w:t>
                            </w:r>
                            <w:r w:rsidRPr="001C110E">
                              <w:rPr>
                                <w:rFonts w:cs="Times New Roman"/>
                                <w:szCs w:val="24"/>
                              </w:rPr>
                              <w:t xml:space="preserve"> on the Nigeria</w:t>
                            </w:r>
                            <w:r>
                              <w:rPr>
                                <w:rFonts w:cs="Times New Roman"/>
                                <w:szCs w:val="24"/>
                              </w:rPr>
                              <w:t>n</w:t>
                            </w:r>
                            <w:r w:rsidRPr="001C110E">
                              <w:rPr>
                                <w:rFonts w:cs="Times New Roman"/>
                                <w:szCs w:val="24"/>
                              </w:rPr>
                              <w:t xml:space="preserve"> market. </w:t>
                            </w:r>
                          </w:p>
                          <w:p w14:paraId="074ACE44" w14:textId="59D76148" w:rsidR="00A02DAA" w:rsidRPr="001C110E" w:rsidRDefault="00A02DAA" w:rsidP="008B2C4C">
                            <w:pPr>
                              <w:rPr>
                                <w:rFonts w:cs="Times New Roman"/>
                                <w:szCs w:val="24"/>
                              </w:rPr>
                            </w:pPr>
                            <w:r w:rsidRPr="001C110E">
                              <w:rPr>
                                <w:rFonts w:cs="Times New Roman"/>
                                <w:szCs w:val="24"/>
                              </w:rPr>
                              <w:t xml:space="preserve">During a trip to China, his brother realized the potential of the nylon bag machinery for the Nigerian market, as this business line requires few inputs and </w:t>
                            </w:r>
                            <w:r>
                              <w:rPr>
                                <w:rFonts w:cs="Times New Roman"/>
                                <w:szCs w:val="24"/>
                              </w:rPr>
                              <w:t>is</w:t>
                            </w:r>
                            <w:r w:rsidRPr="001C110E">
                              <w:rPr>
                                <w:rFonts w:cs="Times New Roman"/>
                                <w:szCs w:val="24"/>
                              </w:rPr>
                              <w:t xml:space="preserve"> relatively easy to set up. In order to sell the machine to Nigeria</w:t>
                            </w:r>
                            <w:r>
                              <w:rPr>
                                <w:rFonts w:cs="Times New Roman"/>
                                <w:szCs w:val="24"/>
                              </w:rPr>
                              <w:t>n</w:t>
                            </w:r>
                            <w:r w:rsidRPr="001C110E">
                              <w:rPr>
                                <w:rFonts w:cs="Times New Roman"/>
                                <w:szCs w:val="24"/>
                              </w:rPr>
                              <w:t xml:space="preserve"> light manufacturer</w:t>
                            </w:r>
                            <w:r>
                              <w:rPr>
                                <w:rFonts w:cs="Times New Roman"/>
                                <w:szCs w:val="24"/>
                              </w:rPr>
                              <w:t>s</w:t>
                            </w:r>
                            <w:r w:rsidRPr="001C110E">
                              <w:rPr>
                                <w:rFonts w:cs="Times New Roman"/>
                                <w:szCs w:val="24"/>
                              </w:rPr>
                              <w:t>, Mr. Nazifi</w:t>
                            </w:r>
                            <w:r>
                              <w:rPr>
                                <w:rFonts w:cs="Times New Roman"/>
                                <w:szCs w:val="24"/>
                              </w:rPr>
                              <w:t>’s</w:t>
                            </w:r>
                            <w:r w:rsidRPr="001C110E">
                              <w:rPr>
                                <w:rFonts w:cs="Times New Roman"/>
                                <w:szCs w:val="24"/>
                              </w:rPr>
                              <w:t xml:space="preserve"> brother ask</w:t>
                            </w:r>
                            <w:r>
                              <w:rPr>
                                <w:rFonts w:cs="Times New Roman"/>
                                <w:szCs w:val="24"/>
                              </w:rPr>
                              <w:t>ed</w:t>
                            </w:r>
                            <w:r w:rsidRPr="001C110E">
                              <w:rPr>
                                <w:rFonts w:cs="Times New Roman"/>
                                <w:szCs w:val="24"/>
                              </w:rPr>
                              <w:t xml:space="preserve"> him to take charge of set</w:t>
                            </w:r>
                            <w:r>
                              <w:rPr>
                                <w:rFonts w:cs="Times New Roman"/>
                                <w:szCs w:val="24"/>
                              </w:rPr>
                              <w:t>ting up a demonstration stand to show potential Nigerian buyers how the machines function. Through this process, Mr. Nazifi also learned how to operate the machines. With</w:t>
                            </w:r>
                            <w:r w:rsidRPr="001C110E">
                              <w:rPr>
                                <w:rFonts w:cs="Times New Roman"/>
                                <w:szCs w:val="24"/>
                              </w:rPr>
                              <w:t xml:space="preserve"> the support of his brother, he bought a set of machines and started</w:t>
                            </w:r>
                            <w:r>
                              <w:rPr>
                                <w:rFonts w:cs="Times New Roman"/>
                                <w:szCs w:val="24"/>
                              </w:rPr>
                              <w:t xml:space="preserve"> his own nylon bag plant in Jos. H</w:t>
                            </w:r>
                            <w:r w:rsidRPr="001C110E">
                              <w:rPr>
                                <w:rFonts w:cs="Times New Roman"/>
                                <w:szCs w:val="24"/>
                              </w:rPr>
                              <w:t>owever, in 2006</w:t>
                            </w:r>
                            <w:r>
                              <w:rPr>
                                <w:rFonts w:cs="Times New Roman"/>
                                <w:szCs w:val="24"/>
                              </w:rPr>
                              <w:t>,</w:t>
                            </w:r>
                            <w:r w:rsidRPr="001C110E">
                              <w:rPr>
                                <w:rFonts w:cs="Times New Roman"/>
                                <w:szCs w:val="24"/>
                              </w:rPr>
                              <w:t xml:space="preserve"> he had to relocate to Kano after ethnic clashes. Mr. Nazifi </w:t>
                            </w:r>
                            <w:r>
                              <w:rPr>
                                <w:rFonts w:cs="Times New Roman"/>
                                <w:szCs w:val="24"/>
                              </w:rPr>
                              <w:t>is</w:t>
                            </w:r>
                            <w:r w:rsidRPr="001C110E">
                              <w:rPr>
                                <w:rFonts w:cs="Times New Roman"/>
                                <w:szCs w:val="24"/>
                              </w:rPr>
                              <w:t xml:space="preserve"> the sole owner of </w:t>
                            </w:r>
                            <w:r>
                              <w:rPr>
                                <w:rFonts w:cs="Times New Roman"/>
                                <w:szCs w:val="24"/>
                              </w:rPr>
                              <w:t>his</w:t>
                            </w:r>
                            <w:r w:rsidRPr="001C110E">
                              <w:rPr>
                                <w:rFonts w:cs="Times New Roman"/>
                                <w:szCs w:val="24"/>
                              </w:rPr>
                              <w:t xml:space="preserve"> enterprise</w:t>
                            </w:r>
                            <w:r>
                              <w:rPr>
                                <w:rFonts w:cs="Times New Roman"/>
                                <w:szCs w:val="24"/>
                              </w:rPr>
                              <w:t>.</w:t>
                            </w:r>
                          </w:p>
                          <w:p w14:paraId="5BD7CE42" w14:textId="73C95BDB" w:rsidR="00A02DAA" w:rsidRPr="001C110E" w:rsidRDefault="00A02DAA" w:rsidP="008B2C4C">
                            <w:pPr>
                              <w:rPr>
                                <w:rFonts w:cs="Times New Roman"/>
                                <w:szCs w:val="24"/>
                              </w:rPr>
                            </w:pPr>
                            <w:r w:rsidRPr="001C110E">
                              <w:rPr>
                                <w:rFonts w:cs="Times New Roman"/>
                                <w:szCs w:val="24"/>
                              </w:rPr>
                              <w:t xml:space="preserve">When </w:t>
                            </w:r>
                            <w:r>
                              <w:rPr>
                                <w:rFonts w:cs="Times New Roman"/>
                                <w:szCs w:val="24"/>
                              </w:rPr>
                              <w:t>Mr. Nazifi relocated to Kano,</w:t>
                            </w:r>
                            <w:r w:rsidRPr="001C110E">
                              <w:rPr>
                                <w:rFonts w:cs="Times New Roman"/>
                                <w:szCs w:val="24"/>
                              </w:rPr>
                              <w:t xml:space="preserve"> </w:t>
                            </w:r>
                            <w:r>
                              <w:rPr>
                                <w:rFonts w:cs="Times New Roman"/>
                                <w:szCs w:val="24"/>
                              </w:rPr>
                              <w:t>the</w:t>
                            </w:r>
                            <w:r w:rsidRPr="001C110E">
                              <w:rPr>
                                <w:rFonts w:cs="Times New Roman"/>
                                <w:szCs w:val="24"/>
                              </w:rPr>
                              <w:t xml:space="preserve"> nylon bag market was very competitive </w:t>
                            </w:r>
                            <w:r>
                              <w:rPr>
                                <w:rFonts w:cs="Times New Roman"/>
                                <w:szCs w:val="24"/>
                              </w:rPr>
                              <w:t xml:space="preserve">and </w:t>
                            </w:r>
                            <w:r w:rsidRPr="001C110E">
                              <w:rPr>
                                <w:rFonts w:cs="Times New Roman"/>
                                <w:szCs w:val="24"/>
                              </w:rPr>
                              <w:t>composed of about 250 small</w:t>
                            </w:r>
                            <w:r>
                              <w:rPr>
                                <w:rFonts w:cs="Times New Roman"/>
                                <w:szCs w:val="24"/>
                              </w:rPr>
                              <w:t>-</w:t>
                            </w:r>
                            <w:r w:rsidRPr="001C110E">
                              <w:rPr>
                                <w:rFonts w:cs="Times New Roman"/>
                                <w:szCs w:val="24"/>
                              </w:rPr>
                              <w:t>to</w:t>
                            </w:r>
                            <w:r>
                              <w:rPr>
                                <w:rFonts w:cs="Times New Roman"/>
                                <w:szCs w:val="24"/>
                              </w:rPr>
                              <w:t>-</w:t>
                            </w:r>
                            <w:r w:rsidRPr="001C110E">
                              <w:rPr>
                                <w:rFonts w:cs="Times New Roman"/>
                                <w:szCs w:val="24"/>
                              </w:rPr>
                              <w:t>medium scale nylon bags manufacturers. The products are used by micro, small</w:t>
                            </w:r>
                            <w:r>
                              <w:rPr>
                                <w:rFonts w:cs="Times New Roman"/>
                                <w:szCs w:val="24"/>
                              </w:rPr>
                              <w:t>,</w:t>
                            </w:r>
                            <w:r w:rsidRPr="001C110E">
                              <w:rPr>
                                <w:rFonts w:cs="Times New Roman"/>
                                <w:szCs w:val="24"/>
                              </w:rPr>
                              <w:t xml:space="preserve"> and medium</w:t>
                            </w:r>
                            <w:r>
                              <w:rPr>
                                <w:rFonts w:cs="Times New Roman"/>
                                <w:szCs w:val="24"/>
                              </w:rPr>
                              <w:t>-</w:t>
                            </w:r>
                            <w:r w:rsidRPr="001C110E">
                              <w:rPr>
                                <w:rFonts w:cs="Times New Roman"/>
                                <w:szCs w:val="24"/>
                              </w:rPr>
                              <w:t>size</w:t>
                            </w:r>
                            <w:r>
                              <w:rPr>
                                <w:rFonts w:cs="Times New Roman"/>
                                <w:szCs w:val="24"/>
                              </w:rPr>
                              <w:t>d</w:t>
                            </w:r>
                            <w:r w:rsidRPr="001C110E">
                              <w:rPr>
                                <w:rFonts w:cs="Times New Roman"/>
                                <w:szCs w:val="24"/>
                              </w:rPr>
                              <w:t xml:space="preserve"> retail outlets to package goods purchased by customers. Mr. Nazifi</w:t>
                            </w:r>
                            <w:r>
                              <w:rPr>
                                <w:rFonts w:cs="Times New Roman"/>
                                <w:szCs w:val="24"/>
                              </w:rPr>
                              <w:t>’s</w:t>
                            </w:r>
                            <w:r w:rsidRPr="001C110E">
                              <w:rPr>
                                <w:rFonts w:cs="Times New Roman"/>
                                <w:szCs w:val="24"/>
                              </w:rPr>
                              <w:t xml:space="preserve"> relocation to Kano correspond</w:t>
                            </w:r>
                            <w:r>
                              <w:rPr>
                                <w:rFonts w:cs="Times New Roman"/>
                                <w:szCs w:val="24"/>
                              </w:rPr>
                              <w:t>ed</w:t>
                            </w:r>
                            <w:r w:rsidRPr="001C110E">
                              <w:rPr>
                                <w:rFonts w:cs="Times New Roman"/>
                                <w:szCs w:val="24"/>
                              </w:rPr>
                              <w:t xml:space="preserve"> to the period when Viva Decent-Bag </w:t>
                            </w:r>
                            <w:r>
                              <w:rPr>
                                <w:rFonts w:cs="Times New Roman"/>
                                <w:szCs w:val="24"/>
                              </w:rPr>
                              <w:t>was gaining market share</w:t>
                            </w:r>
                            <w:r w:rsidRPr="001C110E">
                              <w:rPr>
                                <w:rFonts w:cs="Times New Roman"/>
                                <w:szCs w:val="24"/>
                              </w:rPr>
                              <w:t>. Viva Decent-Bag is a Chinese</w:t>
                            </w:r>
                            <w:r>
                              <w:rPr>
                                <w:rFonts w:cs="Times New Roman"/>
                                <w:szCs w:val="24"/>
                              </w:rPr>
                              <w:t>-</w:t>
                            </w:r>
                            <w:r w:rsidRPr="001C110E">
                              <w:rPr>
                                <w:rFonts w:cs="Times New Roman"/>
                                <w:szCs w:val="24"/>
                              </w:rPr>
                              <w:t xml:space="preserve">owned company belonging to the Lee-Group, which has over </w:t>
                            </w:r>
                            <w:r>
                              <w:rPr>
                                <w:rFonts w:cs="Times New Roman"/>
                                <w:szCs w:val="24"/>
                              </w:rPr>
                              <w:t>forty</w:t>
                            </w:r>
                            <w:r w:rsidRPr="001C110E">
                              <w:rPr>
                                <w:rFonts w:cs="Times New Roman"/>
                                <w:szCs w:val="24"/>
                              </w:rPr>
                              <w:t xml:space="preserve"> years of experience in plastics industries, worldwide branches</w:t>
                            </w:r>
                            <w:r>
                              <w:rPr>
                                <w:rFonts w:cs="Times New Roman"/>
                                <w:szCs w:val="24"/>
                              </w:rPr>
                              <w:t>,</w:t>
                            </w:r>
                            <w:r w:rsidRPr="001C110E">
                              <w:rPr>
                                <w:rFonts w:cs="Times New Roman"/>
                                <w:szCs w:val="24"/>
                              </w:rPr>
                              <w:t xml:space="preserve"> and worldwide manufacturing locations. </w:t>
                            </w:r>
                            <w:r>
                              <w:rPr>
                                <w:rFonts w:cs="Times New Roman"/>
                                <w:szCs w:val="24"/>
                              </w:rPr>
                              <w:t xml:space="preserve">Viva’s production process </w:t>
                            </w:r>
                            <w:r w:rsidRPr="001C110E">
                              <w:rPr>
                                <w:rFonts w:cs="Times New Roman"/>
                                <w:szCs w:val="24"/>
                              </w:rPr>
                              <w:t>allow</w:t>
                            </w:r>
                            <w:r>
                              <w:rPr>
                                <w:rFonts w:cs="Times New Roman"/>
                                <w:szCs w:val="24"/>
                              </w:rPr>
                              <w:t xml:space="preserve">s it </w:t>
                            </w:r>
                            <w:r w:rsidRPr="001C110E">
                              <w:rPr>
                                <w:rFonts w:cs="Times New Roman"/>
                                <w:szCs w:val="24"/>
                              </w:rPr>
                              <w:t>to use recycle</w:t>
                            </w:r>
                            <w:r>
                              <w:rPr>
                                <w:rFonts w:cs="Times New Roman"/>
                                <w:szCs w:val="24"/>
                              </w:rPr>
                              <w:t>d</w:t>
                            </w:r>
                            <w:r w:rsidRPr="001C110E">
                              <w:rPr>
                                <w:rFonts w:cs="Times New Roman"/>
                                <w:szCs w:val="24"/>
                              </w:rPr>
                              <w:t xml:space="preserve"> plastic materials as inputs</w:t>
                            </w:r>
                            <w:r>
                              <w:rPr>
                                <w:rFonts w:cs="Times New Roman"/>
                                <w:szCs w:val="24"/>
                              </w:rPr>
                              <w:t>,</w:t>
                            </w:r>
                            <w:r w:rsidRPr="001C110E">
                              <w:rPr>
                                <w:rFonts w:cs="Times New Roman"/>
                                <w:szCs w:val="24"/>
                              </w:rPr>
                              <w:t xml:space="preserve"> thus cutting cost</w:t>
                            </w:r>
                            <w:r>
                              <w:rPr>
                                <w:rFonts w:cs="Times New Roman"/>
                                <w:szCs w:val="24"/>
                              </w:rPr>
                              <w:t>s</w:t>
                            </w:r>
                            <w:r w:rsidRPr="001C110E">
                              <w:rPr>
                                <w:rFonts w:cs="Times New Roman"/>
                                <w:szCs w:val="24"/>
                              </w:rPr>
                              <w:t xml:space="preserve"> and allowing them to reduce price</w:t>
                            </w:r>
                            <w:r>
                              <w:rPr>
                                <w:rFonts w:cs="Times New Roman"/>
                                <w:szCs w:val="24"/>
                              </w:rPr>
                              <w:t>s. T</w:t>
                            </w:r>
                            <w:r w:rsidRPr="001C110E">
                              <w:rPr>
                                <w:rFonts w:cs="Times New Roman"/>
                                <w:szCs w:val="24"/>
                              </w:rPr>
                              <w:t>he Chinese</w:t>
                            </w:r>
                            <w:r>
                              <w:rPr>
                                <w:rFonts w:cs="Times New Roman"/>
                                <w:szCs w:val="24"/>
                              </w:rPr>
                              <w:t>-</w:t>
                            </w:r>
                            <w:r w:rsidRPr="001C110E">
                              <w:rPr>
                                <w:rFonts w:cs="Times New Roman"/>
                                <w:szCs w:val="24"/>
                              </w:rPr>
                              <w:t>owned company quickly managed to secure close to 80</w:t>
                            </w:r>
                            <w:r>
                              <w:rPr>
                                <w:rFonts w:cs="Times New Roman"/>
                                <w:szCs w:val="24"/>
                              </w:rPr>
                              <w:t xml:space="preserve"> percent</w:t>
                            </w:r>
                            <w:r w:rsidRPr="001C110E">
                              <w:rPr>
                                <w:rFonts w:cs="Times New Roman"/>
                                <w:szCs w:val="24"/>
                              </w:rPr>
                              <w:t xml:space="preserve"> of the market in Kano and </w:t>
                            </w:r>
                            <w:r>
                              <w:rPr>
                                <w:rFonts w:cs="Times New Roman"/>
                                <w:szCs w:val="24"/>
                              </w:rPr>
                              <w:t>the surrounding area</w:t>
                            </w:r>
                            <w:r w:rsidRPr="001C110E">
                              <w:rPr>
                                <w:rFonts w:cs="Times New Roman"/>
                                <w:szCs w:val="24"/>
                              </w:rPr>
                              <w:t xml:space="preserve">, while the other firms </w:t>
                            </w:r>
                            <w:r>
                              <w:rPr>
                                <w:rFonts w:cs="Times New Roman"/>
                                <w:szCs w:val="24"/>
                              </w:rPr>
                              <w:t xml:space="preserve">had a </w:t>
                            </w:r>
                            <w:r w:rsidRPr="001C110E">
                              <w:rPr>
                                <w:rFonts w:cs="Times New Roman"/>
                                <w:szCs w:val="24"/>
                              </w:rPr>
                              <w:t>share about 20</w:t>
                            </w:r>
                            <w:r>
                              <w:rPr>
                                <w:rFonts w:cs="Times New Roman"/>
                                <w:szCs w:val="24"/>
                              </w:rPr>
                              <w:t xml:space="preserve"> percent</w:t>
                            </w:r>
                            <w:r w:rsidRPr="001C110E">
                              <w:rPr>
                                <w:rFonts w:cs="Times New Roman"/>
                                <w:szCs w:val="24"/>
                              </w:rPr>
                              <w:t xml:space="preserve"> of the market. Today, only about </w:t>
                            </w:r>
                            <w:r>
                              <w:rPr>
                                <w:rFonts w:cs="Times New Roman"/>
                                <w:szCs w:val="24"/>
                              </w:rPr>
                              <w:t>fifty</w:t>
                            </w:r>
                            <w:r w:rsidRPr="001C110E">
                              <w:rPr>
                                <w:rFonts w:cs="Times New Roman"/>
                                <w:szCs w:val="24"/>
                              </w:rPr>
                              <w:t xml:space="preserve"> </w:t>
                            </w:r>
                            <w:r>
                              <w:rPr>
                                <w:rFonts w:cs="Times New Roman"/>
                                <w:szCs w:val="24"/>
                              </w:rPr>
                              <w:t>nylon bag manufacturers</w:t>
                            </w:r>
                            <w:r w:rsidRPr="001C110E">
                              <w:rPr>
                                <w:rFonts w:cs="Times New Roman"/>
                                <w:szCs w:val="24"/>
                              </w:rPr>
                              <w:t xml:space="preserve"> </w:t>
                            </w:r>
                            <w:r>
                              <w:rPr>
                                <w:rFonts w:cs="Times New Roman"/>
                                <w:szCs w:val="24"/>
                              </w:rPr>
                              <w:t>survive</w:t>
                            </w:r>
                            <w:r w:rsidRPr="001C110E">
                              <w:rPr>
                                <w:rFonts w:cs="Times New Roman"/>
                                <w:szCs w:val="24"/>
                              </w:rPr>
                              <w:t xml:space="preserve"> in </w:t>
                            </w:r>
                            <w:r>
                              <w:rPr>
                                <w:rFonts w:cs="Times New Roman"/>
                                <w:szCs w:val="24"/>
                              </w:rPr>
                              <w:t>the</w:t>
                            </w:r>
                            <w:r w:rsidRPr="001C110E">
                              <w:rPr>
                                <w:rFonts w:cs="Times New Roman"/>
                                <w:szCs w:val="24"/>
                              </w:rPr>
                              <w:t xml:space="preserve"> market. In this tough environment, the quality of the machines Mr. Nazifi</w:t>
                            </w:r>
                            <w:r>
                              <w:rPr>
                                <w:rFonts w:cs="Times New Roman"/>
                                <w:szCs w:val="24"/>
                              </w:rPr>
                              <w:t xml:space="preserve"> owns</w:t>
                            </w:r>
                            <w:r w:rsidRPr="001C110E">
                              <w:rPr>
                                <w:rFonts w:cs="Times New Roman"/>
                                <w:szCs w:val="24"/>
                              </w:rPr>
                              <w:t xml:space="preserve"> allowed him to be more efficient than some of his competitors and therefore survive the Chinese competition. In addition, Mr. Nazifi decided to </w:t>
                            </w:r>
                            <w:r>
                              <w:rPr>
                                <w:rFonts w:cs="Times New Roman"/>
                                <w:szCs w:val="24"/>
                              </w:rPr>
                              <w:t>establish</w:t>
                            </w:r>
                            <w:r w:rsidRPr="001C110E">
                              <w:rPr>
                                <w:rFonts w:cs="Times New Roman"/>
                                <w:szCs w:val="24"/>
                              </w:rPr>
                              <w:t xml:space="preserve"> his company near the high tension </w:t>
                            </w:r>
                            <w:r>
                              <w:rPr>
                                <w:rFonts w:cs="Times New Roman"/>
                                <w:szCs w:val="24"/>
                              </w:rPr>
                              <w:t xml:space="preserve">power </w:t>
                            </w:r>
                            <w:r w:rsidRPr="001C110E">
                              <w:rPr>
                                <w:rFonts w:cs="Times New Roman"/>
                                <w:szCs w:val="24"/>
                              </w:rPr>
                              <w:t>lines between Nigeria and Niger, thus securing an a</w:t>
                            </w:r>
                            <w:r>
                              <w:rPr>
                                <w:rFonts w:cs="Times New Roman"/>
                                <w:szCs w:val="24"/>
                              </w:rPr>
                              <w:t xml:space="preserve">lmost constant supply of power and </w:t>
                            </w:r>
                            <w:r w:rsidRPr="001C110E">
                              <w:rPr>
                                <w:rFonts w:cs="Times New Roman"/>
                                <w:szCs w:val="24"/>
                              </w:rPr>
                              <w:t xml:space="preserve">significantly reducing the cost </w:t>
                            </w:r>
                            <w:r>
                              <w:rPr>
                                <w:rFonts w:cs="Times New Roman"/>
                                <w:szCs w:val="24"/>
                              </w:rPr>
                              <w:t>from using</w:t>
                            </w:r>
                            <w:r w:rsidRPr="001C110E">
                              <w:rPr>
                                <w:rFonts w:cs="Times New Roman"/>
                                <w:szCs w:val="24"/>
                              </w:rPr>
                              <w:t xml:space="preserve"> alternative source</w:t>
                            </w:r>
                            <w:r>
                              <w:rPr>
                                <w:rFonts w:cs="Times New Roman"/>
                                <w:szCs w:val="24"/>
                              </w:rPr>
                              <w:t>s</w:t>
                            </w:r>
                            <w:r w:rsidRPr="001C110E">
                              <w:rPr>
                                <w:rFonts w:cs="Times New Roman"/>
                                <w:szCs w:val="24"/>
                              </w:rPr>
                              <w:t xml:space="preserve"> of power</w:t>
                            </w:r>
                            <w:r>
                              <w:rPr>
                                <w:rFonts w:cs="Times New Roman"/>
                                <w:szCs w:val="24"/>
                              </w:rPr>
                              <w:t xml:space="preserve">. </w:t>
                            </w:r>
                          </w:p>
                          <w:p w14:paraId="0110A5BA" w14:textId="63463283" w:rsidR="00A02DAA" w:rsidRPr="001C110E" w:rsidRDefault="00A02DAA" w:rsidP="008B2C4C">
                            <w:pPr>
                              <w:rPr>
                                <w:rFonts w:cs="Times New Roman"/>
                                <w:szCs w:val="24"/>
                              </w:rPr>
                            </w:pPr>
                            <w:r w:rsidRPr="001C110E">
                              <w:rPr>
                                <w:rFonts w:cs="Times New Roman"/>
                                <w:szCs w:val="24"/>
                              </w:rPr>
                              <w:t xml:space="preserve">Given the tough competition, Mr. Nazifi </w:t>
                            </w:r>
                            <w:r>
                              <w:rPr>
                                <w:rFonts w:cs="Times New Roman"/>
                                <w:szCs w:val="24"/>
                              </w:rPr>
                              <w:t>uses</w:t>
                            </w:r>
                            <w:r w:rsidRPr="001C110E">
                              <w:rPr>
                                <w:rFonts w:cs="Times New Roman"/>
                                <w:szCs w:val="24"/>
                              </w:rPr>
                              <w:t xml:space="preserve"> an aggressive promotion and discount scheme when sending his marketing team </w:t>
                            </w:r>
                            <w:r>
                              <w:rPr>
                                <w:rFonts w:cs="Times New Roman"/>
                                <w:szCs w:val="24"/>
                              </w:rPr>
                              <w:t>to</w:t>
                            </w:r>
                            <w:r w:rsidRPr="001C110E">
                              <w:rPr>
                                <w:rFonts w:cs="Times New Roman"/>
                                <w:szCs w:val="24"/>
                              </w:rPr>
                              <w:t xml:space="preserve"> different markets in Kano </w:t>
                            </w:r>
                            <w:r>
                              <w:rPr>
                                <w:rFonts w:cs="Times New Roman"/>
                                <w:szCs w:val="24"/>
                              </w:rPr>
                              <w:t>S</w:t>
                            </w:r>
                            <w:r w:rsidRPr="001C110E">
                              <w:rPr>
                                <w:rFonts w:cs="Times New Roman"/>
                                <w:szCs w:val="24"/>
                              </w:rPr>
                              <w:t>tate. He also relies on a network of past customers that he has met through his previous trading activities, with whom he developed good relationship</w:t>
                            </w:r>
                            <w:r>
                              <w:rPr>
                                <w:rFonts w:cs="Times New Roman"/>
                                <w:szCs w:val="24"/>
                              </w:rPr>
                              <w:t>s</w:t>
                            </w:r>
                            <w:r w:rsidRPr="001C110E">
                              <w:rPr>
                                <w:rFonts w:cs="Times New Roman"/>
                                <w:szCs w:val="24"/>
                              </w:rPr>
                              <w:t>. Based on the quality of his bags and the good relationship</w:t>
                            </w:r>
                            <w:r>
                              <w:rPr>
                                <w:rFonts w:cs="Times New Roman"/>
                                <w:szCs w:val="24"/>
                              </w:rPr>
                              <w:t>s</w:t>
                            </w:r>
                            <w:r w:rsidRPr="001C110E">
                              <w:rPr>
                                <w:rFonts w:cs="Times New Roman"/>
                                <w:szCs w:val="24"/>
                              </w:rPr>
                              <w:t xml:space="preserve"> h</w:t>
                            </w:r>
                            <w:r>
                              <w:rPr>
                                <w:rFonts w:cs="Times New Roman"/>
                                <w:szCs w:val="24"/>
                              </w:rPr>
                              <w:t>e has had with his customers,</w:t>
                            </w:r>
                            <w:r w:rsidRPr="001C110E">
                              <w:rPr>
                                <w:rFonts w:cs="Times New Roman"/>
                                <w:szCs w:val="24"/>
                              </w:rPr>
                              <w:t xml:space="preserve"> Mr. Nazifi is able to sell his bags in other states like Kaduna</w:t>
                            </w:r>
                            <w:r>
                              <w:rPr>
                                <w:rFonts w:cs="Times New Roman"/>
                                <w:szCs w:val="24"/>
                              </w:rPr>
                              <w:t>, Plateau, Katsina, Borno, and Yola</w:t>
                            </w:r>
                            <w:r w:rsidRPr="001C110E">
                              <w:rPr>
                                <w:rFonts w:cs="Times New Roman"/>
                                <w:szCs w:val="24"/>
                              </w:rPr>
                              <w:t>. The business is highly seasonal</w:t>
                            </w:r>
                            <w:r>
                              <w:rPr>
                                <w:rFonts w:cs="Times New Roman"/>
                                <w:szCs w:val="24"/>
                              </w:rPr>
                              <w:t>;</w:t>
                            </w:r>
                            <w:r w:rsidRPr="001C110E">
                              <w:rPr>
                                <w:rFonts w:cs="Times New Roman"/>
                                <w:szCs w:val="24"/>
                              </w:rPr>
                              <w:t xml:space="preserve"> during rainy seasons, market activities slow down significantly, while activities </w:t>
                            </w:r>
                            <w:r>
                              <w:rPr>
                                <w:rFonts w:cs="Times New Roman"/>
                                <w:szCs w:val="24"/>
                              </w:rPr>
                              <w:t>boom</w:t>
                            </w:r>
                            <w:r w:rsidRPr="001C110E">
                              <w:rPr>
                                <w:rFonts w:cs="Times New Roman"/>
                                <w:szCs w:val="24"/>
                              </w:rPr>
                              <w:t xml:space="preserve"> during </w:t>
                            </w:r>
                            <w:r>
                              <w:rPr>
                                <w:rFonts w:cs="Times New Roman"/>
                                <w:szCs w:val="24"/>
                              </w:rPr>
                              <w:t xml:space="preserve">the </w:t>
                            </w:r>
                            <w:r w:rsidRPr="001C110E">
                              <w:rPr>
                                <w:rFonts w:cs="Times New Roman"/>
                                <w:szCs w:val="24"/>
                              </w:rPr>
                              <w:t xml:space="preserve">dry season. Based on this, depending </w:t>
                            </w:r>
                            <w:r>
                              <w:rPr>
                                <w:rFonts w:cs="Times New Roman"/>
                                <w:szCs w:val="24"/>
                              </w:rPr>
                              <w:t>on</w:t>
                            </w:r>
                            <w:r w:rsidRPr="001C110E">
                              <w:rPr>
                                <w:rFonts w:cs="Times New Roman"/>
                                <w:szCs w:val="24"/>
                              </w:rPr>
                              <w:t xml:space="preserve"> the capital at his disposal, Mr</w:t>
                            </w:r>
                            <w:r>
                              <w:rPr>
                                <w:rFonts w:cs="Times New Roman"/>
                                <w:szCs w:val="24"/>
                              </w:rPr>
                              <w:t>.</w:t>
                            </w:r>
                            <w:r w:rsidRPr="001C110E">
                              <w:rPr>
                                <w:rFonts w:cs="Times New Roman"/>
                                <w:szCs w:val="24"/>
                              </w:rPr>
                              <w:t xml:space="preserve"> Nazifi prefers not to stop production of bags in the rainy season and built up a stock </w:t>
                            </w:r>
                            <w:r>
                              <w:rPr>
                                <w:rFonts w:cs="Times New Roman"/>
                                <w:szCs w:val="24"/>
                              </w:rPr>
                              <w:t>that</w:t>
                            </w:r>
                            <w:r w:rsidRPr="001C110E">
                              <w:rPr>
                                <w:rFonts w:cs="Times New Roman"/>
                                <w:szCs w:val="24"/>
                              </w:rPr>
                              <w:t xml:space="preserve"> he could sell during the dry season. This is driven by the fact that he is employing close </w:t>
                            </w:r>
                            <w:r>
                              <w:rPr>
                                <w:rFonts w:cs="Times New Roman"/>
                                <w:szCs w:val="24"/>
                              </w:rPr>
                              <w:t xml:space="preserve">to twenty full-time staff </w:t>
                            </w:r>
                            <w:r w:rsidRPr="001C110E">
                              <w:rPr>
                                <w:rFonts w:cs="Times New Roman"/>
                                <w:szCs w:val="24"/>
                              </w:rPr>
                              <w:t xml:space="preserve">instead of relying on casual staff. Most of </w:t>
                            </w:r>
                            <w:r>
                              <w:rPr>
                                <w:rFonts w:cs="Times New Roman"/>
                                <w:szCs w:val="24"/>
                              </w:rPr>
                              <w:t>his</w:t>
                            </w:r>
                            <w:r w:rsidRPr="001C110E">
                              <w:rPr>
                                <w:rFonts w:cs="Times New Roman"/>
                                <w:szCs w:val="24"/>
                              </w:rPr>
                              <w:t xml:space="preserve"> staff are hired through informal channels </w:t>
                            </w:r>
                            <w:r>
                              <w:rPr>
                                <w:rFonts w:cs="Times New Roman"/>
                                <w:szCs w:val="24"/>
                              </w:rPr>
                              <w:t xml:space="preserve">such as </w:t>
                            </w:r>
                            <w:r w:rsidRPr="001C110E">
                              <w:rPr>
                                <w:rFonts w:cs="Times New Roman"/>
                                <w:szCs w:val="24"/>
                              </w:rPr>
                              <w:t>being recommended by relatives or being relatives of current</w:t>
                            </w:r>
                            <w:r>
                              <w:rPr>
                                <w:rFonts w:cs="Times New Roman"/>
                                <w:szCs w:val="24"/>
                              </w:rPr>
                              <w:t xml:space="preserve"> or</w:t>
                            </w:r>
                            <w:r w:rsidRPr="001C110E">
                              <w:rPr>
                                <w:rFonts w:cs="Times New Roman"/>
                                <w:szCs w:val="24"/>
                              </w:rPr>
                              <w:t xml:space="preserve"> former employees. Given th</w:t>
                            </w:r>
                            <w:r>
                              <w:rPr>
                                <w:rFonts w:cs="Times New Roman"/>
                                <w:szCs w:val="24"/>
                              </w:rPr>
                              <w:t>e level of unemployment in the s</w:t>
                            </w:r>
                            <w:r w:rsidRPr="001C110E">
                              <w:rPr>
                                <w:rFonts w:cs="Times New Roman"/>
                                <w:szCs w:val="24"/>
                              </w:rPr>
                              <w:t>tate</w:t>
                            </w:r>
                            <w:r>
                              <w:rPr>
                                <w:rFonts w:cs="Times New Roman"/>
                                <w:szCs w:val="24"/>
                              </w:rPr>
                              <w:t>, labor is easy to find. H</w:t>
                            </w:r>
                            <w:r w:rsidRPr="001C110E">
                              <w:rPr>
                                <w:rFonts w:cs="Times New Roman"/>
                                <w:szCs w:val="24"/>
                              </w:rPr>
                              <w:t xml:space="preserve">e provides to new </w:t>
                            </w:r>
                            <w:r>
                              <w:rPr>
                                <w:rFonts w:cs="Times New Roman"/>
                                <w:szCs w:val="24"/>
                              </w:rPr>
                              <w:t>workers with</w:t>
                            </w:r>
                            <w:r w:rsidRPr="001C110E">
                              <w:rPr>
                                <w:rFonts w:cs="Times New Roman"/>
                                <w:szCs w:val="24"/>
                              </w:rPr>
                              <w:t xml:space="preserve"> in</w:t>
                            </w:r>
                            <w:r>
                              <w:rPr>
                                <w:rFonts w:cs="Times New Roman"/>
                                <w:szCs w:val="24"/>
                              </w:rPr>
                              <w:t>-</w:t>
                            </w:r>
                            <w:r w:rsidRPr="001C110E">
                              <w:rPr>
                                <w:rFonts w:cs="Times New Roman"/>
                                <w:szCs w:val="24"/>
                              </w:rPr>
                              <w:t>house training</w:t>
                            </w:r>
                            <w:r>
                              <w:rPr>
                                <w:rFonts w:cs="Times New Roman"/>
                                <w:szCs w:val="24"/>
                              </w:rPr>
                              <w:t xml:space="preserve"> to build the requisite skills.</w:t>
                            </w:r>
                            <w:r w:rsidRPr="001C110E">
                              <w:rPr>
                                <w:rFonts w:cs="Times New Roman"/>
                                <w:szCs w:val="24"/>
                              </w:rPr>
                              <w:t xml:space="preserve"> By producing all year </w:t>
                            </w:r>
                            <w:r>
                              <w:rPr>
                                <w:rFonts w:cs="Times New Roman"/>
                                <w:szCs w:val="24"/>
                              </w:rPr>
                              <w:t>a</w:t>
                            </w:r>
                            <w:r w:rsidRPr="001C110E">
                              <w:rPr>
                                <w:rFonts w:cs="Times New Roman"/>
                                <w:szCs w:val="24"/>
                              </w:rPr>
                              <w:t xml:space="preserve">round, he can afford to keep the staff he has trained and prevent them from working for his competitors. </w:t>
                            </w:r>
                          </w:p>
                          <w:p w14:paraId="3B5D5E87" w14:textId="2FDA8460" w:rsidR="00A02DAA" w:rsidRPr="00512714" w:rsidRDefault="00A02DAA" w:rsidP="008B2C4C">
                            <w:r>
                              <w:rPr>
                                <w:b/>
                              </w:rPr>
                              <w:t>(</w:t>
                            </w:r>
                            <w:r>
                              <w:t>continued on next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49B00D" id="Text Box 2" o:spid="_x0000_s1027" type="#_x0000_t202" style="position:absolute;left:0;text-align:left;margin-left:-9pt;margin-top:0;width:466.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">
                <v:textbox style="mso-fit-shape-to-text:t">
                  <w:txbxContent>
                    <w:p w14:paraId="1CDE5244" w14:textId="3D7F7D8F" w:rsidR="00A02DAA" w:rsidRDefault="00A02DAA" w:rsidP="00D727BF">
                      <w:pPr>
                        <w:jc w:val="center"/>
                        <w:rPr>
                          <w:b/>
                        </w:rPr>
                      </w:pPr>
                      <w:r>
                        <w:rPr>
                          <w:b/>
                        </w:rPr>
                        <w:t>Case Study One: Small Scale Nylon Bag Production in Kano</w:t>
                      </w:r>
                    </w:p>
                    <w:p w14:paraId="32FBF74B" w14:textId="527B28C1" w:rsidR="00A02DAA" w:rsidRPr="001C110E" w:rsidRDefault="00A02DAA" w:rsidP="008B2C4C">
                      <w:pPr>
                        <w:rPr>
                          <w:rFonts w:cs="Times New Roman"/>
                          <w:szCs w:val="24"/>
                        </w:rPr>
                      </w:pPr>
                      <w:r w:rsidRPr="001C110E">
                        <w:rPr>
                          <w:rFonts w:cs="Times New Roman"/>
                          <w:szCs w:val="24"/>
                        </w:rPr>
                        <w:t>Mr. Nazifi</w:t>
                      </w:r>
                      <w:r>
                        <w:rPr>
                          <w:rFonts w:cs="Times New Roman"/>
                          <w:szCs w:val="24"/>
                        </w:rPr>
                        <w:t xml:space="preserve"> established his nylon bag production company in 2000. L</w:t>
                      </w:r>
                      <w:r w:rsidRPr="001C110E">
                        <w:rPr>
                          <w:rFonts w:cs="Times New Roman"/>
                          <w:szCs w:val="24"/>
                        </w:rPr>
                        <w:t xml:space="preserve">ike many businessmen in North Nigeria, </w:t>
                      </w:r>
                      <w:r>
                        <w:rPr>
                          <w:rFonts w:cs="Times New Roman"/>
                          <w:szCs w:val="24"/>
                        </w:rPr>
                        <w:t xml:space="preserve">he </w:t>
                      </w:r>
                      <w:r w:rsidRPr="001C110E">
                        <w:rPr>
                          <w:rFonts w:cs="Times New Roman"/>
                          <w:szCs w:val="24"/>
                        </w:rPr>
                        <w:t>was born in a family of traders. He was working with his older brother in</w:t>
                      </w:r>
                      <w:r>
                        <w:rPr>
                          <w:rFonts w:cs="Times New Roman"/>
                          <w:szCs w:val="24"/>
                        </w:rPr>
                        <w:t xml:space="preserve"> a</w:t>
                      </w:r>
                      <w:r w:rsidRPr="001C110E">
                        <w:rPr>
                          <w:rFonts w:cs="Times New Roman"/>
                          <w:szCs w:val="24"/>
                        </w:rPr>
                        <w:t xml:space="preserve"> venture importing light manufacturing machinery from China and reselling </w:t>
                      </w:r>
                      <w:r>
                        <w:rPr>
                          <w:rFonts w:cs="Times New Roman"/>
                          <w:szCs w:val="24"/>
                        </w:rPr>
                        <w:t>it</w:t>
                      </w:r>
                      <w:r w:rsidRPr="001C110E">
                        <w:rPr>
                          <w:rFonts w:cs="Times New Roman"/>
                          <w:szCs w:val="24"/>
                        </w:rPr>
                        <w:t xml:space="preserve"> on the Nigeria</w:t>
                      </w:r>
                      <w:r>
                        <w:rPr>
                          <w:rFonts w:cs="Times New Roman"/>
                          <w:szCs w:val="24"/>
                        </w:rPr>
                        <w:t>n</w:t>
                      </w:r>
                      <w:r w:rsidRPr="001C110E">
                        <w:rPr>
                          <w:rFonts w:cs="Times New Roman"/>
                          <w:szCs w:val="24"/>
                        </w:rPr>
                        <w:t xml:space="preserve"> market. </w:t>
                      </w:r>
                    </w:p>
                    <w:p w14:paraId="074ACE44" w14:textId="59D76148" w:rsidR="00A02DAA" w:rsidRPr="001C110E" w:rsidRDefault="00A02DAA" w:rsidP="008B2C4C">
                      <w:pPr>
                        <w:rPr>
                          <w:rFonts w:cs="Times New Roman"/>
                          <w:szCs w:val="24"/>
                        </w:rPr>
                      </w:pPr>
                      <w:r w:rsidRPr="001C110E">
                        <w:rPr>
                          <w:rFonts w:cs="Times New Roman"/>
                          <w:szCs w:val="24"/>
                        </w:rPr>
                        <w:t xml:space="preserve">During a trip to China, his brother realized the potential of the nylon bag machinery for the Nigerian market, as this business line requires few inputs and </w:t>
                      </w:r>
                      <w:r>
                        <w:rPr>
                          <w:rFonts w:cs="Times New Roman"/>
                          <w:szCs w:val="24"/>
                        </w:rPr>
                        <w:t>is</w:t>
                      </w:r>
                      <w:r w:rsidRPr="001C110E">
                        <w:rPr>
                          <w:rFonts w:cs="Times New Roman"/>
                          <w:szCs w:val="24"/>
                        </w:rPr>
                        <w:t xml:space="preserve"> relatively easy to set up. In order to sell the machine to Nigeria</w:t>
                      </w:r>
                      <w:r>
                        <w:rPr>
                          <w:rFonts w:cs="Times New Roman"/>
                          <w:szCs w:val="24"/>
                        </w:rPr>
                        <w:t>n</w:t>
                      </w:r>
                      <w:r w:rsidRPr="001C110E">
                        <w:rPr>
                          <w:rFonts w:cs="Times New Roman"/>
                          <w:szCs w:val="24"/>
                        </w:rPr>
                        <w:t xml:space="preserve"> light manufacturer</w:t>
                      </w:r>
                      <w:r>
                        <w:rPr>
                          <w:rFonts w:cs="Times New Roman"/>
                          <w:szCs w:val="24"/>
                        </w:rPr>
                        <w:t>s</w:t>
                      </w:r>
                      <w:r w:rsidRPr="001C110E">
                        <w:rPr>
                          <w:rFonts w:cs="Times New Roman"/>
                          <w:szCs w:val="24"/>
                        </w:rPr>
                        <w:t>, Mr. Nazifi</w:t>
                      </w:r>
                      <w:r>
                        <w:rPr>
                          <w:rFonts w:cs="Times New Roman"/>
                          <w:szCs w:val="24"/>
                        </w:rPr>
                        <w:t>’s</w:t>
                      </w:r>
                      <w:r w:rsidRPr="001C110E">
                        <w:rPr>
                          <w:rFonts w:cs="Times New Roman"/>
                          <w:szCs w:val="24"/>
                        </w:rPr>
                        <w:t xml:space="preserve"> brother ask</w:t>
                      </w:r>
                      <w:r>
                        <w:rPr>
                          <w:rFonts w:cs="Times New Roman"/>
                          <w:szCs w:val="24"/>
                        </w:rPr>
                        <w:t>ed</w:t>
                      </w:r>
                      <w:r w:rsidRPr="001C110E">
                        <w:rPr>
                          <w:rFonts w:cs="Times New Roman"/>
                          <w:szCs w:val="24"/>
                        </w:rPr>
                        <w:t xml:space="preserve"> him to take charge of set</w:t>
                      </w:r>
                      <w:r>
                        <w:rPr>
                          <w:rFonts w:cs="Times New Roman"/>
                          <w:szCs w:val="24"/>
                        </w:rPr>
                        <w:t>ting up a demonstration stand to show potential Nigerian buyers how the machines function. Through this process, Mr. Nazifi also learned how to operate the machines. With</w:t>
                      </w:r>
                      <w:r w:rsidRPr="001C110E">
                        <w:rPr>
                          <w:rFonts w:cs="Times New Roman"/>
                          <w:szCs w:val="24"/>
                        </w:rPr>
                        <w:t xml:space="preserve"> the support of his brother, he bought a set of machines and started</w:t>
                      </w:r>
                      <w:r>
                        <w:rPr>
                          <w:rFonts w:cs="Times New Roman"/>
                          <w:szCs w:val="24"/>
                        </w:rPr>
                        <w:t xml:space="preserve"> his own nylon bag plant in Jos. H</w:t>
                      </w:r>
                      <w:r w:rsidRPr="001C110E">
                        <w:rPr>
                          <w:rFonts w:cs="Times New Roman"/>
                          <w:szCs w:val="24"/>
                        </w:rPr>
                        <w:t>owever, in 2006</w:t>
                      </w:r>
                      <w:r>
                        <w:rPr>
                          <w:rFonts w:cs="Times New Roman"/>
                          <w:szCs w:val="24"/>
                        </w:rPr>
                        <w:t>,</w:t>
                      </w:r>
                      <w:r w:rsidRPr="001C110E">
                        <w:rPr>
                          <w:rFonts w:cs="Times New Roman"/>
                          <w:szCs w:val="24"/>
                        </w:rPr>
                        <w:t xml:space="preserve"> he had to relocate to Kano after ethnic clashes. Mr. Nazifi </w:t>
                      </w:r>
                      <w:r>
                        <w:rPr>
                          <w:rFonts w:cs="Times New Roman"/>
                          <w:szCs w:val="24"/>
                        </w:rPr>
                        <w:t>is</w:t>
                      </w:r>
                      <w:r w:rsidRPr="001C110E">
                        <w:rPr>
                          <w:rFonts w:cs="Times New Roman"/>
                          <w:szCs w:val="24"/>
                        </w:rPr>
                        <w:t xml:space="preserve"> the sole owner of </w:t>
                      </w:r>
                      <w:r>
                        <w:rPr>
                          <w:rFonts w:cs="Times New Roman"/>
                          <w:szCs w:val="24"/>
                        </w:rPr>
                        <w:t>his</w:t>
                      </w:r>
                      <w:r w:rsidRPr="001C110E">
                        <w:rPr>
                          <w:rFonts w:cs="Times New Roman"/>
                          <w:szCs w:val="24"/>
                        </w:rPr>
                        <w:t xml:space="preserve"> enterprise</w:t>
                      </w:r>
                      <w:r>
                        <w:rPr>
                          <w:rFonts w:cs="Times New Roman"/>
                          <w:szCs w:val="24"/>
                        </w:rPr>
                        <w:t>.</w:t>
                      </w:r>
                    </w:p>
                    <w:p w14:paraId="5BD7CE42" w14:textId="73C95BDB" w:rsidR="00A02DAA" w:rsidRPr="001C110E" w:rsidRDefault="00A02DAA" w:rsidP="008B2C4C">
                      <w:pPr>
                        <w:rPr>
                          <w:rFonts w:cs="Times New Roman"/>
                          <w:szCs w:val="24"/>
                        </w:rPr>
                      </w:pPr>
                      <w:r w:rsidRPr="001C110E">
                        <w:rPr>
                          <w:rFonts w:cs="Times New Roman"/>
                          <w:szCs w:val="24"/>
                        </w:rPr>
                        <w:t xml:space="preserve">When </w:t>
                      </w:r>
                      <w:r>
                        <w:rPr>
                          <w:rFonts w:cs="Times New Roman"/>
                          <w:szCs w:val="24"/>
                        </w:rPr>
                        <w:t>Mr. Nazifi relocated to Kano,</w:t>
                      </w:r>
                      <w:r w:rsidRPr="001C110E">
                        <w:rPr>
                          <w:rFonts w:cs="Times New Roman"/>
                          <w:szCs w:val="24"/>
                        </w:rPr>
                        <w:t xml:space="preserve"> </w:t>
                      </w:r>
                      <w:r>
                        <w:rPr>
                          <w:rFonts w:cs="Times New Roman"/>
                          <w:szCs w:val="24"/>
                        </w:rPr>
                        <w:t>the</w:t>
                      </w:r>
                      <w:r w:rsidRPr="001C110E">
                        <w:rPr>
                          <w:rFonts w:cs="Times New Roman"/>
                          <w:szCs w:val="24"/>
                        </w:rPr>
                        <w:t xml:space="preserve"> nylon bag market was very competitive </w:t>
                      </w:r>
                      <w:r>
                        <w:rPr>
                          <w:rFonts w:cs="Times New Roman"/>
                          <w:szCs w:val="24"/>
                        </w:rPr>
                        <w:t xml:space="preserve">and </w:t>
                      </w:r>
                      <w:r w:rsidRPr="001C110E">
                        <w:rPr>
                          <w:rFonts w:cs="Times New Roman"/>
                          <w:szCs w:val="24"/>
                        </w:rPr>
                        <w:t>composed of about 250 small</w:t>
                      </w:r>
                      <w:r>
                        <w:rPr>
                          <w:rFonts w:cs="Times New Roman"/>
                          <w:szCs w:val="24"/>
                        </w:rPr>
                        <w:t>-</w:t>
                      </w:r>
                      <w:r w:rsidRPr="001C110E">
                        <w:rPr>
                          <w:rFonts w:cs="Times New Roman"/>
                          <w:szCs w:val="24"/>
                        </w:rPr>
                        <w:t>to</w:t>
                      </w:r>
                      <w:r>
                        <w:rPr>
                          <w:rFonts w:cs="Times New Roman"/>
                          <w:szCs w:val="24"/>
                        </w:rPr>
                        <w:t>-</w:t>
                      </w:r>
                      <w:r w:rsidRPr="001C110E">
                        <w:rPr>
                          <w:rFonts w:cs="Times New Roman"/>
                          <w:szCs w:val="24"/>
                        </w:rPr>
                        <w:t>medium scale nylon bags manufacturers. The products are used by micro, small</w:t>
                      </w:r>
                      <w:r>
                        <w:rPr>
                          <w:rFonts w:cs="Times New Roman"/>
                          <w:szCs w:val="24"/>
                        </w:rPr>
                        <w:t>,</w:t>
                      </w:r>
                      <w:r w:rsidRPr="001C110E">
                        <w:rPr>
                          <w:rFonts w:cs="Times New Roman"/>
                          <w:szCs w:val="24"/>
                        </w:rPr>
                        <w:t xml:space="preserve"> and medium</w:t>
                      </w:r>
                      <w:r>
                        <w:rPr>
                          <w:rFonts w:cs="Times New Roman"/>
                          <w:szCs w:val="24"/>
                        </w:rPr>
                        <w:t>-</w:t>
                      </w:r>
                      <w:r w:rsidRPr="001C110E">
                        <w:rPr>
                          <w:rFonts w:cs="Times New Roman"/>
                          <w:szCs w:val="24"/>
                        </w:rPr>
                        <w:t>size</w:t>
                      </w:r>
                      <w:r>
                        <w:rPr>
                          <w:rFonts w:cs="Times New Roman"/>
                          <w:szCs w:val="24"/>
                        </w:rPr>
                        <w:t>d</w:t>
                      </w:r>
                      <w:r w:rsidRPr="001C110E">
                        <w:rPr>
                          <w:rFonts w:cs="Times New Roman"/>
                          <w:szCs w:val="24"/>
                        </w:rPr>
                        <w:t xml:space="preserve"> retail outlets to package goods purchased by customers. Mr. Nazifi</w:t>
                      </w:r>
                      <w:r>
                        <w:rPr>
                          <w:rFonts w:cs="Times New Roman"/>
                          <w:szCs w:val="24"/>
                        </w:rPr>
                        <w:t>’s</w:t>
                      </w:r>
                      <w:r w:rsidRPr="001C110E">
                        <w:rPr>
                          <w:rFonts w:cs="Times New Roman"/>
                          <w:szCs w:val="24"/>
                        </w:rPr>
                        <w:t xml:space="preserve"> relocation to Kano correspond</w:t>
                      </w:r>
                      <w:r>
                        <w:rPr>
                          <w:rFonts w:cs="Times New Roman"/>
                          <w:szCs w:val="24"/>
                        </w:rPr>
                        <w:t>ed</w:t>
                      </w:r>
                      <w:r w:rsidRPr="001C110E">
                        <w:rPr>
                          <w:rFonts w:cs="Times New Roman"/>
                          <w:szCs w:val="24"/>
                        </w:rPr>
                        <w:t xml:space="preserve"> to the period when Viva Decent-Bag </w:t>
                      </w:r>
                      <w:r>
                        <w:rPr>
                          <w:rFonts w:cs="Times New Roman"/>
                          <w:szCs w:val="24"/>
                        </w:rPr>
                        <w:t>was gaining market share</w:t>
                      </w:r>
                      <w:r w:rsidRPr="001C110E">
                        <w:rPr>
                          <w:rFonts w:cs="Times New Roman"/>
                          <w:szCs w:val="24"/>
                        </w:rPr>
                        <w:t>. Viva Decent-Bag is a Chinese</w:t>
                      </w:r>
                      <w:r>
                        <w:rPr>
                          <w:rFonts w:cs="Times New Roman"/>
                          <w:szCs w:val="24"/>
                        </w:rPr>
                        <w:t>-</w:t>
                      </w:r>
                      <w:r w:rsidRPr="001C110E">
                        <w:rPr>
                          <w:rFonts w:cs="Times New Roman"/>
                          <w:szCs w:val="24"/>
                        </w:rPr>
                        <w:t xml:space="preserve">owned company belonging to the Lee-Group, which has over </w:t>
                      </w:r>
                      <w:r>
                        <w:rPr>
                          <w:rFonts w:cs="Times New Roman"/>
                          <w:szCs w:val="24"/>
                        </w:rPr>
                        <w:t>forty</w:t>
                      </w:r>
                      <w:r w:rsidRPr="001C110E">
                        <w:rPr>
                          <w:rFonts w:cs="Times New Roman"/>
                          <w:szCs w:val="24"/>
                        </w:rPr>
                        <w:t xml:space="preserve"> years of experience in plastics industries, worldwide branches</w:t>
                      </w:r>
                      <w:r>
                        <w:rPr>
                          <w:rFonts w:cs="Times New Roman"/>
                          <w:szCs w:val="24"/>
                        </w:rPr>
                        <w:t>,</w:t>
                      </w:r>
                      <w:r w:rsidRPr="001C110E">
                        <w:rPr>
                          <w:rFonts w:cs="Times New Roman"/>
                          <w:szCs w:val="24"/>
                        </w:rPr>
                        <w:t xml:space="preserve"> and worldwide manufacturing locations. </w:t>
                      </w:r>
                      <w:r>
                        <w:rPr>
                          <w:rFonts w:cs="Times New Roman"/>
                          <w:szCs w:val="24"/>
                        </w:rPr>
                        <w:t xml:space="preserve">Viva’s production process </w:t>
                      </w:r>
                      <w:r w:rsidRPr="001C110E">
                        <w:rPr>
                          <w:rFonts w:cs="Times New Roman"/>
                          <w:szCs w:val="24"/>
                        </w:rPr>
                        <w:t>allow</w:t>
                      </w:r>
                      <w:r>
                        <w:rPr>
                          <w:rFonts w:cs="Times New Roman"/>
                          <w:szCs w:val="24"/>
                        </w:rPr>
                        <w:t xml:space="preserve">s it </w:t>
                      </w:r>
                      <w:r w:rsidRPr="001C110E">
                        <w:rPr>
                          <w:rFonts w:cs="Times New Roman"/>
                          <w:szCs w:val="24"/>
                        </w:rPr>
                        <w:t>to use recycle</w:t>
                      </w:r>
                      <w:r>
                        <w:rPr>
                          <w:rFonts w:cs="Times New Roman"/>
                          <w:szCs w:val="24"/>
                        </w:rPr>
                        <w:t>d</w:t>
                      </w:r>
                      <w:r w:rsidRPr="001C110E">
                        <w:rPr>
                          <w:rFonts w:cs="Times New Roman"/>
                          <w:szCs w:val="24"/>
                        </w:rPr>
                        <w:t xml:space="preserve"> plastic materials as inputs</w:t>
                      </w:r>
                      <w:r>
                        <w:rPr>
                          <w:rFonts w:cs="Times New Roman"/>
                          <w:szCs w:val="24"/>
                        </w:rPr>
                        <w:t>,</w:t>
                      </w:r>
                      <w:r w:rsidRPr="001C110E">
                        <w:rPr>
                          <w:rFonts w:cs="Times New Roman"/>
                          <w:szCs w:val="24"/>
                        </w:rPr>
                        <w:t xml:space="preserve"> thus cutting cost</w:t>
                      </w:r>
                      <w:r>
                        <w:rPr>
                          <w:rFonts w:cs="Times New Roman"/>
                          <w:szCs w:val="24"/>
                        </w:rPr>
                        <w:t>s</w:t>
                      </w:r>
                      <w:r w:rsidRPr="001C110E">
                        <w:rPr>
                          <w:rFonts w:cs="Times New Roman"/>
                          <w:szCs w:val="24"/>
                        </w:rPr>
                        <w:t xml:space="preserve"> and allowing them to reduce price</w:t>
                      </w:r>
                      <w:r>
                        <w:rPr>
                          <w:rFonts w:cs="Times New Roman"/>
                          <w:szCs w:val="24"/>
                        </w:rPr>
                        <w:t>s. T</w:t>
                      </w:r>
                      <w:r w:rsidRPr="001C110E">
                        <w:rPr>
                          <w:rFonts w:cs="Times New Roman"/>
                          <w:szCs w:val="24"/>
                        </w:rPr>
                        <w:t>he Chinese</w:t>
                      </w:r>
                      <w:r>
                        <w:rPr>
                          <w:rFonts w:cs="Times New Roman"/>
                          <w:szCs w:val="24"/>
                        </w:rPr>
                        <w:t>-</w:t>
                      </w:r>
                      <w:r w:rsidRPr="001C110E">
                        <w:rPr>
                          <w:rFonts w:cs="Times New Roman"/>
                          <w:szCs w:val="24"/>
                        </w:rPr>
                        <w:t>owned company quickly managed to secure close to 80</w:t>
                      </w:r>
                      <w:r>
                        <w:rPr>
                          <w:rFonts w:cs="Times New Roman"/>
                          <w:szCs w:val="24"/>
                        </w:rPr>
                        <w:t xml:space="preserve"> percent</w:t>
                      </w:r>
                      <w:r w:rsidRPr="001C110E">
                        <w:rPr>
                          <w:rFonts w:cs="Times New Roman"/>
                          <w:szCs w:val="24"/>
                        </w:rPr>
                        <w:t xml:space="preserve"> of the market in Kano and </w:t>
                      </w:r>
                      <w:r>
                        <w:rPr>
                          <w:rFonts w:cs="Times New Roman"/>
                          <w:szCs w:val="24"/>
                        </w:rPr>
                        <w:t>the surrounding area</w:t>
                      </w:r>
                      <w:r w:rsidRPr="001C110E">
                        <w:rPr>
                          <w:rFonts w:cs="Times New Roman"/>
                          <w:szCs w:val="24"/>
                        </w:rPr>
                        <w:t xml:space="preserve">, while the other firms </w:t>
                      </w:r>
                      <w:r>
                        <w:rPr>
                          <w:rFonts w:cs="Times New Roman"/>
                          <w:szCs w:val="24"/>
                        </w:rPr>
                        <w:t xml:space="preserve">had a </w:t>
                      </w:r>
                      <w:r w:rsidRPr="001C110E">
                        <w:rPr>
                          <w:rFonts w:cs="Times New Roman"/>
                          <w:szCs w:val="24"/>
                        </w:rPr>
                        <w:t>share about 20</w:t>
                      </w:r>
                      <w:r>
                        <w:rPr>
                          <w:rFonts w:cs="Times New Roman"/>
                          <w:szCs w:val="24"/>
                        </w:rPr>
                        <w:t xml:space="preserve"> percent</w:t>
                      </w:r>
                      <w:r w:rsidRPr="001C110E">
                        <w:rPr>
                          <w:rFonts w:cs="Times New Roman"/>
                          <w:szCs w:val="24"/>
                        </w:rPr>
                        <w:t xml:space="preserve"> of the market. Today, only about </w:t>
                      </w:r>
                      <w:r>
                        <w:rPr>
                          <w:rFonts w:cs="Times New Roman"/>
                          <w:szCs w:val="24"/>
                        </w:rPr>
                        <w:t>fifty</w:t>
                      </w:r>
                      <w:r w:rsidRPr="001C110E">
                        <w:rPr>
                          <w:rFonts w:cs="Times New Roman"/>
                          <w:szCs w:val="24"/>
                        </w:rPr>
                        <w:t xml:space="preserve"> </w:t>
                      </w:r>
                      <w:r>
                        <w:rPr>
                          <w:rFonts w:cs="Times New Roman"/>
                          <w:szCs w:val="24"/>
                        </w:rPr>
                        <w:t>nylon bag manufacturers</w:t>
                      </w:r>
                      <w:r w:rsidRPr="001C110E">
                        <w:rPr>
                          <w:rFonts w:cs="Times New Roman"/>
                          <w:szCs w:val="24"/>
                        </w:rPr>
                        <w:t xml:space="preserve"> </w:t>
                      </w:r>
                      <w:r>
                        <w:rPr>
                          <w:rFonts w:cs="Times New Roman"/>
                          <w:szCs w:val="24"/>
                        </w:rPr>
                        <w:t>survive</w:t>
                      </w:r>
                      <w:r w:rsidRPr="001C110E">
                        <w:rPr>
                          <w:rFonts w:cs="Times New Roman"/>
                          <w:szCs w:val="24"/>
                        </w:rPr>
                        <w:t xml:space="preserve"> in </w:t>
                      </w:r>
                      <w:r>
                        <w:rPr>
                          <w:rFonts w:cs="Times New Roman"/>
                          <w:szCs w:val="24"/>
                        </w:rPr>
                        <w:t>the</w:t>
                      </w:r>
                      <w:r w:rsidRPr="001C110E">
                        <w:rPr>
                          <w:rFonts w:cs="Times New Roman"/>
                          <w:szCs w:val="24"/>
                        </w:rPr>
                        <w:t xml:space="preserve"> market. In this tough environment, the quality of the machines Mr. Nazifi</w:t>
                      </w:r>
                      <w:r>
                        <w:rPr>
                          <w:rFonts w:cs="Times New Roman"/>
                          <w:szCs w:val="24"/>
                        </w:rPr>
                        <w:t xml:space="preserve"> owns</w:t>
                      </w:r>
                      <w:r w:rsidRPr="001C110E">
                        <w:rPr>
                          <w:rFonts w:cs="Times New Roman"/>
                          <w:szCs w:val="24"/>
                        </w:rPr>
                        <w:t xml:space="preserve"> allowed him to be more efficient than some of his competitors and therefore survive the Chinese competition. In addition, Mr. Nazifi decided to </w:t>
                      </w:r>
                      <w:r>
                        <w:rPr>
                          <w:rFonts w:cs="Times New Roman"/>
                          <w:szCs w:val="24"/>
                        </w:rPr>
                        <w:t>establish</w:t>
                      </w:r>
                      <w:r w:rsidRPr="001C110E">
                        <w:rPr>
                          <w:rFonts w:cs="Times New Roman"/>
                          <w:szCs w:val="24"/>
                        </w:rPr>
                        <w:t xml:space="preserve"> his company near the high tension </w:t>
                      </w:r>
                      <w:r>
                        <w:rPr>
                          <w:rFonts w:cs="Times New Roman"/>
                          <w:szCs w:val="24"/>
                        </w:rPr>
                        <w:t xml:space="preserve">power </w:t>
                      </w:r>
                      <w:r w:rsidRPr="001C110E">
                        <w:rPr>
                          <w:rFonts w:cs="Times New Roman"/>
                          <w:szCs w:val="24"/>
                        </w:rPr>
                        <w:t>lines between Nigeria and Niger, thus securing an a</w:t>
                      </w:r>
                      <w:r>
                        <w:rPr>
                          <w:rFonts w:cs="Times New Roman"/>
                          <w:szCs w:val="24"/>
                        </w:rPr>
                        <w:t xml:space="preserve">lmost constant supply of power and </w:t>
                      </w:r>
                      <w:r w:rsidRPr="001C110E">
                        <w:rPr>
                          <w:rFonts w:cs="Times New Roman"/>
                          <w:szCs w:val="24"/>
                        </w:rPr>
                        <w:t xml:space="preserve">significantly reducing the cost </w:t>
                      </w:r>
                      <w:r>
                        <w:rPr>
                          <w:rFonts w:cs="Times New Roman"/>
                          <w:szCs w:val="24"/>
                        </w:rPr>
                        <w:t>from using</w:t>
                      </w:r>
                      <w:r w:rsidRPr="001C110E">
                        <w:rPr>
                          <w:rFonts w:cs="Times New Roman"/>
                          <w:szCs w:val="24"/>
                        </w:rPr>
                        <w:t xml:space="preserve"> alternative source</w:t>
                      </w:r>
                      <w:r>
                        <w:rPr>
                          <w:rFonts w:cs="Times New Roman"/>
                          <w:szCs w:val="24"/>
                        </w:rPr>
                        <w:t>s</w:t>
                      </w:r>
                      <w:r w:rsidRPr="001C110E">
                        <w:rPr>
                          <w:rFonts w:cs="Times New Roman"/>
                          <w:szCs w:val="24"/>
                        </w:rPr>
                        <w:t xml:space="preserve"> of power</w:t>
                      </w:r>
                      <w:r>
                        <w:rPr>
                          <w:rFonts w:cs="Times New Roman"/>
                          <w:szCs w:val="24"/>
                        </w:rPr>
                        <w:t xml:space="preserve">. </w:t>
                      </w:r>
                    </w:p>
                    <w:p w14:paraId="0110A5BA" w14:textId="63463283" w:rsidR="00A02DAA" w:rsidRPr="001C110E" w:rsidRDefault="00A02DAA" w:rsidP="008B2C4C">
                      <w:pPr>
                        <w:rPr>
                          <w:rFonts w:cs="Times New Roman"/>
                          <w:szCs w:val="24"/>
                        </w:rPr>
                      </w:pPr>
                      <w:r w:rsidRPr="001C110E">
                        <w:rPr>
                          <w:rFonts w:cs="Times New Roman"/>
                          <w:szCs w:val="24"/>
                        </w:rPr>
                        <w:t xml:space="preserve">Given the tough competition, Mr. Nazifi </w:t>
                      </w:r>
                      <w:r>
                        <w:rPr>
                          <w:rFonts w:cs="Times New Roman"/>
                          <w:szCs w:val="24"/>
                        </w:rPr>
                        <w:t>uses</w:t>
                      </w:r>
                      <w:r w:rsidRPr="001C110E">
                        <w:rPr>
                          <w:rFonts w:cs="Times New Roman"/>
                          <w:szCs w:val="24"/>
                        </w:rPr>
                        <w:t xml:space="preserve"> an aggressive promotion and discount scheme when sending his marketing team </w:t>
                      </w:r>
                      <w:r>
                        <w:rPr>
                          <w:rFonts w:cs="Times New Roman"/>
                          <w:szCs w:val="24"/>
                        </w:rPr>
                        <w:t>to</w:t>
                      </w:r>
                      <w:r w:rsidRPr="001C110E">
                        <w:rPr>
                          <w:rFonts w:cs="Times New Roman"/>
                          <w:szCs w:val="24"/>
                        </w:rPr>
                        <w:t xml:space="preserve"> different markets in Kano </w:t>
                      </w:r>
                      <w:r>
                        <w:rPr>
                          <w:rFonts w:cs="Times New Roman"/>
                          <w:szCs w:val="24"/>
                        </w:rPr>
                        <w:t>S</w:t>
                      </w:r>
                      <w:r w:rsidRPr="001C110E">
                        <w:rPr>
                          <w:rFonts w:cs="Times New Roman"/>
                          <w:szCs w:val="24"/>
                        </w:rPr>
                        <w:t>tate. He also relies on a network of past customers that he has met through his previous trading activities, with whom he developed good relationship</w:t>
                      </w:r>
                      <w:r>
                        <w:rPr>
                          <w:rFonts w:cs="Times New Roman"/>
                          <w:szCs w:val="24"/>
                        </w:rPr>
                        <w:t>s</w:t>
                      </w:r>
                      <w:r w:rsidRPr="001C110E">
                        <w:rPr>
                          <w:rFonts w:cs="Times New Roman"/>
                          <w:szCs w:val="24"/>
                        </w:rPr>
                        <w:t>. Based on the quality of his bags and the good relationship</w:t>
                      </w:r>
                      <w:r>
                        <w:rPr>
                          <w:rFonts w:cs="Times New Roman"/>
                          <w:szCs w:val="24"/>
                        </w:rPr>
                        <w:t>s</w:t>
                      </w:r>
                      <w:r w:rsidRPr="001C110E">
                        <w:rPr>
                          <w:rFonts w:cs="Times New Roman"/>
                          <w:szCs w:val="24"/>
                        </w:rPr>
                        <w:t xml:space="preserve"> h</w:t>
                      </w:r>
                      <w:r>
                        <w:rPr>
                          <w:rFonts w:cs="Times New Roman"/>
                          <w:szCs w:val="24"/>
                        </w:rPr>
                        <w:t>e has had with his customers,</w:t>
                      </w:r>
                      <w:r w:rsidRPr="001C110E">
                        <w:rPr>
                          <w:rFonts w:cs="Times New Roman"/>
                          <w:szCs w:val="24"/>
                        </w:rPr>
                        <w:t xml:space="preserve"> Mr. Nazifi is able to sell his bags in other states like Kaduna</w:t>
                      </w:r>
                      <w:r>
                        <w:rPr>
                          <w:rFonts w:cs="Times New Roman"/>
                          <w:szCs w:val="24"/>
                        </w:rPr>
                        <w:t>, Plateau, Katsina, Borno, and Yola</w:t>
                      </w:r>
                      <w:r w:rsidRPr="001C110E">
                        <w:rPr>
                          <w:rFonts w:cs="Times New Roman"/>
                          <w:szCs w:val="24"/>
                        </w:rPr>
                        <w:t>. The business is highly seasonal</w:t>
                      </w:r>
                      <w:r>
                        <w:rPr>
                          <w:rFonts w:cs="Times New Roman"/>
                          <w:szCs w:val="24"/>
                        </w:rPr>
                        <w:t>;</w:t>
                      </w:r>
                      <w:r w:rsidRPr="001C110E">
                        <w:rPr>
                          <w:rFonts w:cs="Times New Roman"/>
                          <w:szCs w:val="24"/>
                        </w:rPr>
                        <w:t xml:space="preserve"> during rainy seasons, market activities slow down significantly, while activities </w:t>
                      </w:r>
                      <w:r>
                        <w:rPr>
                          <w:rFonts w:cs="Times New Roman"/>
                          <w:szCs w:val="24"/>
                        </w:rPr>
                        <w:t>boom</w:t>
                      </w:r>
                      <w:r w:rsidRPr="001C110E">
                        <w:rPr>
                          <w:rFonts w:cs="Times New Roman"/>
                          <w:szCs w:val="24"/>
                        </w:rPr>
                        <w:t xml:space="preserve"> during </w:t>
                      </w:r>
                      <w:r>
                        <w:rPr>
                          <w:rFonts w:cs="Times New Roman"/>
                          <w:szCs w:val="24"/>
                        </w:rPr>
                        <w:t xml:space="preserve">the </w:t>
                      </w:r>
                      <w:r w:rsidRPr="001C110E">
                        <w:rPr>
                          <w:rFonts w:cs="Times New Roman"/>
                          <w:szCs w:val="24"/>
                        </w:rPr>
                        <w:t xml:space="preserve">dry season. Based on this, depending </w:t>
                      </w:r>
                      <w:r>
                        <w:rPr>
                          <w:rFonts w:cs="Times New Roman"/>
                          <w:szCs w:val="24"/>
                        </w:rPr>
                        <w:t>on</w:t>
                      </w:r>
                      <w:r w:rsidRPr="001C110E">
                        <w:rPr>
                          <w:rFonts w:cs="Times New Roman"/>
                          <w:szCs w:val="24"/>
                        </w:rPr>
                        <w:t xml:space="preserve"> the capital at his disposal, Mr</w:t>
                      </w:r>
                      <w:r>
                        <w:rPr>
                          <w:rFonts w:cs="Times New Roman"/>
                          <w:szCs w:val="24"/>
                        </w:rPr>
                        <w:t>.</w:t>
                      </w:r>
                      <w:r w:rsidRPr="001C110E">
                        <w:rPr>
                          <w:rFonts w:cs="Times New Roman"/>
                          <w:szCs w:val="24"/>
                        </w:rPr>
                        <w:t xml:space="preserve"> Nazifi prefers not to stop production of bags in the rainy season and built up a stock </w:t>
                      </w:r>
                      <w:r>
                        <w:rPr>
                          <w:rFonts w:cs="Times New Roman"/>
                          <w:szCs w:val="24"/>
                        </w:rPr>
                        <w:t>that</w:t>
                      </w:r>
                      <w:r w:rsidRPr="001C110E">
                        <w:rPr>
                          <w:rFonts w:cs="Times New Roman"/>
                          <w:szCs w:val="24"/>
                        </w:rPr>
                        <w:t xml:space="preserve"> he could sell during the dry season. This is driven by the fact that he is employing close </w:t>
                      </w:r>
                      <w:r>
                        <w:rPr>
                          <w:rFonts w:cs="Times New Roman"/>
                          <w:szCs w:val="24"/>
                        </w:rPr>
                        <w:t xml:space="preserve">to twenty full-time staff </w:t>
                      </w:r>
                      <w:r w:rsidRPr="001C110E">
                        <w:rPr>
                          <w:rFonts w:cs="Times New Roman"/>
                          <w:szCs w:val="24"/>
                        </w:rPr>
                        <w:t xml:space="preserve">instead of relying on casual staff. Most of </w:t>
                      </w:r>
                      <w:r>
                        <w:rPr>
                          <w:rFonts w:cs="Times New Roman"/>
                          <w:szCs w:val="24"/>
                        </w:rPr>
                        <w:t>his</w:t>
                      </w:r>
                      <w:r w:rsidRPr="001C110E">
                        <w:rPr>
                          <w:rFonts w:cs="Times New Roman"/>
                          <w:szCs w:val="24"/>
                        </w:rPr>
                        <w:t xml:space="preserve"> staff are hired through informal channels </w:t>
                      </w:r>
                      <w:r>
                        <w:rPr>
                          <w:rFonts w:cs="Times New Roman"/>
                          <w:szCs w:val="24"/>
                        </w:rPr>
                        <w:t xml:space="preserve">such as </w:t>
                      </w:r>
                      <w:r w:rsidRPr="001C110E">
                        <w:rPr>
                          <w:rFonts w:cs="Times New Roman"/>
                          <w:szCs w:val="24"/>
                        </w:rPr>
                        <w:t>being recommended by relatives or being relatives of current</w:t>
                      </w:r>
                      <w:r>
                        <w:rPr>
                          <w:rFonts w:cs="Times New Roman"/>
                          <w:szCs w:val="24"/>
                        </w:rPr>
                        <w:t xml:space="preserve"> or</w:t>
                      </w:r>
                      <w:r w:rsidRPr="001C110E">
                        <w:rPr>
                          <w:rFonts w:cs="Times New Roman"/>
                          <w:szCs w:val="24"/>
                        </w:rPr>
                        <w:t xml:space="preserve"> former employees. Given th</w:t>
                      </w:r>
                      <w:r>
                        <w:rPr>
                          <w:rFonts w:cs="Times New Roman"/>
                          <w:szCs w:val="24"/>
                        </w:rPr>
                        <w:t>e level of unemployment in the s</w:t>
                      </w:r>
                      <w:r w:rsidRPr="001C110E">
                        <w:rPr>
                          <w:rFonts w:cs="Times New Roman"/>
                          <w:szCs w:val="24"/>
                        </w:rPr>
                        <w:t>tate</w:t>
                      </w:r>
                      <w:r>
                        <w:rPr>
                          <w:rFonts w:cs="Times New Roman"/>
                          <w:szCs w:val="24"/>
                        </w:rPr>
                        <w:t>, labor is easy to find. H</w:t>
                      </w:r>
                      <w:r w:rsidRPr="001C110E">
                        <w:rPr>
                          <w:rFonts w:cs="Times New Roman"/>
                          <w:szCs w:val="24"/>
                        </w:rPr>
                        <w:t xml:space="preserve">e provides to new </w:t>
                      </w:r>
                      <w:r>
                        <w:rPr>
                          <w:rFonts w:cs="Times New Roman"/>
                          <w:szCs w:val="24"/>
                        </w:rPr>
                        <w:t>workers with</w:t>
                      </w:r>
                      <w:r w:rsidRPr="001C110E">
                        <w:rPr>
                          <w:rFonts w:cs="Times New Roman"/>
                          <w:szCs w:val="24"/>
                        </w:rPr>
                        <w:t xml:space="preserve"> in</w:t>
                      </w:r>
                      <w:r>
                        <w:rPr>
                          <w:rFonts w:cs="Times New Roman"/>
                          <w:szCs w:val="24"/>
                        </w:rPr>
                        <w:t>-</w:t>
                      </w:r>
                      <w:r w:rsidRPr="001C110E">
                        <w:rPr>
                          <w:rFonts w:cs="Times New Roman"/>
                          <w:szCs w:val="24"/>
                        </w:rPr>
                        <w:t>house training</w:t>
                      </w:r>
                      <w:r>
                        <w:rPr>
                          <w:rFonts w:cs="Times New Roman"/>
                          <w:szCs w:val="24"/>
                        </w:rPr>
                        <w:t xml:space="preserve"> to build the requisite skills.</w:t>
                      </w:r>
                      <w:r w:rsidRPr="001C110E">
                        <w:rPr>
                          <w:rFonts w:cs="Times New Roman"/>
                          <w:szCs w:val="24"/>
                        </w:rPr>
                        <w:t xml:space="preserve"> By producing all year </w:t>
                      </w:r>
                      <w:r>
                        <w:rPr>
                          <w:rFonts w:cs="Times New Roman"/>
                          <w:szCs w:val="24"/>
                        </w:rPr>
                        <w:t>a</w:t>
                      </w:r>
                      <w:r w:rsidRPr="001C110E">
                        <w:rPr>
                          <w:rFonts w:cs="Times New Roman"/>
                          <w:szCs w:val="24"/>
                        </w:rPr>
                        <w:t xml:space="preserve">round, he can afford to keep the staff he has trained and prevent them from working for his competitors. </w:t>
                      </w:r>
                    </w:p>
                    <w:p w14:paraId="3B5D5E87" w14:textId="2FDA8460" w:rsidR="00A02DAA" w:rsidRPr="00512714" w:rsidRDefault="00A02DAA" w:rsidP="008B2C4C">
                      <w:r>
                        <w:rPr>
                          <w:b/>
                        </w:rPr>
                        <w:t>(</w:t>
                      </w:r>
                      <w:r>
                        <w:t>continued on next page)</w:t>
                      </w:r>
                    </w:p>
                  </w:txbxContent>
                </v:textbox>
                <w10:wrap type="square"/>
              </v:shape>
            </w:pict>
          </mc:Fallback>
        </mc:AlternateContent>
      </w:r>
      <w:r w:rsidR="00F47590">
        <w:t>A focus on Light Manufacturing</w:t>
      </w:r>
      <w:bookmarkEnd w:id="254"/>
      <w:bookmarkEnd w:id="255"/>
    </w:p>
    <w:p w14:paraId="03327A3E" w14:textId="0CA4E7FF" w:rsidR="00CA50DC" w:rsidRDefault="002A2846" w:rsidP="00D727BF">
      <w:pPr>
        <w:pStyle w:val="ParagraphNumbering"/>
        <w:numPr>
          <w:ilvl w:val="0"/>
          <w:numId w:val="0"/>
        </w:numPr>
        <w:tabs>
          <w:tab w:val="left" w:pos="720"/>
        </w:tabs>
        <w:spacing w:before="240" w:after="240"/>
      </w:pPr>
      <w:r>
        <w:lastRenderedPageBreak/>
        <w:tab/>
      </w:r>
      <w:r w:rsidR="00B04107">
        <w:t>T</w:t>
      </w:r>
      <w:r w:rsidR="00CA50DC" w:rsidRPr="00CA50DC">
        <w:t xml:space="preserve">he </w:t>
      </w:r>
      <w:r w:rsidR="00C32950">
        <w:t>enterprise survey</w:t>
      </w:r>
      <w:r w:rsidR="00CA50DC" w:rsidRPr="00CA50DC">
        <w:t xml:space="preserve"> gives differe</w:t>
      </w:r>
      <w:r w:rsidR="00B04107">
        <w:t>nt measures of firm performance</w:t>
      </w:r>
      <w:r w:rsidR="00CA50DC" w:rsidRPr="00CA50DC">
        <w:t xml:space="preserve"> </w:t>
      </w:r>
      <w:r>
        <w:t xml:space="preserve">that </w:t>
      </w:r>
      <w:r w:rsidR="000F32EE">
        <w:t>en</w:t>
      </w:r>
      <w:r w:rsidR="000F32EE" w:rsidRPr="006F6E3D">
        <w:t xml:space="preserve">able us to </w:t>
      </w:r>
      <w:r w:rsidR="008B2C4C">
        <w:rPr>
          <w:noProof/>
        </w:rPr>
        <mc:AlternateContent>
          <mc:Choice Requires="wps">
            <w:drawing>
              <wp:anchor distT="0" distB="0" distL="114300" distR="114300" simplePos="0" relativeHeight="251663360" behindDoc="0" locked="0" layoutInCell="1" allowOverlap="1" wp14:anchorId="59E0A566" wp14:editId="62E9F164">
                <wp:simplePos x="0" y="0"/>
                <wp:positionH relativeFrom="column">
                  <wp:posOffset>0</wp:posOffset>
                </wp:positionH>
                <wp:positionV relativeFrom="paragraph">
                  <wp:posOffset>0</wp:posOffset>
                </wp:positionV>
                <wp:extent cx="5958840" cy="3337560"/>
                <wp:effectExtent l="0" t="0" r="22860" b="15240"/>
                <wp:wrapTopAndBottom/>
                <wp:docPr id="18" name="Text Box 18"/>
                <wp:cNvGraphicFramePr/>
                <a:graphic xmlns:a="http://schemas.openxmlformats.org/drawingml/2006/main">
                  <a:graphicData uri="http://schemas.microsoft.com/office/word/2010/wordprocessingShape">
                    <wps:wsp>
                      <wps:cNvSpPr txBox="1"/>
                      <wps:spPr>
                        <a:xfrm>
                          <a:off x="0" y="0"/>
                          <a:ext cx="5958840" cy="3337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54455B" w14:textId="617A3B8B" w:rsidR="00A02DAA" w:rsidRPr="001C110E" w:rsidRDefault="00A02DAA" w:rsidP="008B2C4C">
                            <w:pPr>
                              <w:rPr>
                                <w:rFonts w:cs="Times New Roman"/>
                                <w:szCs w:val="24"/>
                              </w:rPr>
                            </w:pPr>
                            <w:r w:rsidRPr="001C110E">
                              <w:rPr>
                                <w:rFonts w:cs="Times New Roman"/>
                                <w:szCs w:val="24"/>
                              </w:rPr>
                              <w:t xml:space="preserve">The main input used for the production of nylon bags </w:t>
                            </w:r>
                            <w:r>
                              <w:rPr>
                                <w:rFonts w:cs="Times New Roman"/>
                                <w:szCs w:val="24"/>
                              </w:rPr>
                              <w:t>is</w:t>
                            </w:r>
                            <w:r w:rsidRPr="001C110E">
                              <w:rPr>
                                <w:rFonts w:cs="Times New Roman"/>
                                <w:szCs w:val="24"/>
                              </w:rPr>
                              <w:t xml:space="preserve"> polythene, which is provided by </w:t>
                            </w:r>
                            <w:r>
                              <w:rPr>
                                <w:rFonts w:cs="Times New Roman"/>
                                <w:szCs w:val="24"/>
                              </w:rPr>
                              <w:t>three to four</w:t>
                            </w:r>
                            <w:r w:rsidRPr="001C110E">
                              <w:rPr>
                                <w:rFonts w:cs="Times New Roman"/>
                                <w:szCs w:val="24"/>
                              </w:rPr>
                              <w:t xml:space="preserve"> local traders with </w:t>
                            </w:r>
                            <w:r>
                              <w:rPr>
                                <w:rFonts w:cs="Times New Roman"/>
                                <w:szCs w:val="24"/>
                              </w:rPr>
                              <w:t>whom</w:t>
                            </w:r>
                            <w:r w:rsidRPr="001C110E">
                              <w:rPr>
                                <w:rFonts w:cs="Times New Roman"/>
                                <w:szCs w:val="24"/>
                              </w:rPr>
                              <w:t xml:space="preserve"> </w:t>
                            </w:r>
                            <w:r>
                              <w:rPr>
                                <w:rFonts w:cs="Times New Roman"/>
                                <w:szCs w:val="24"/>
                              </w:rPr>
                              <w:t>he has</w:t>
                            </w:r>
                            <w:r w:rsidRPr="001C110E">
                              <w:rPr>
                                <w:rFonts w:cs="Times New Roman"/>
                                <w:szCs w:val="24"/>
                              </w:rPr>
                              <w:t xml:space="preserve"> developed a long term relationship over the years. With this small network, he is </w:t>
                            </w:r>
                            <w:r>
                              <w:rPr>
                                <w:rFonts w:cs="Times New Roman"/>
                                <w:szCs w:val="24"/>
                              </w:rPr>
                              <w:t xml:space="preserve">nearly </w:t>
                            </w:r>
                            <w:r w:rsidRPr="001C110E">
                              <w:rPr>
                                <w:rFonts w:cs="Times New Roman"/>
                                <w:szCs w:val="24"/>
                              </w:rPr>
                              <w:t xml:space="preserve">guaranteed </w:t>
                            </w:r>
                            <w:r>
                              <w:rPr>
                                <w:rFonts w:cs="Times New Roman"/>
                                <w:szCs w:val="24"/>
                              </w:rPr>
                              <w:t xml:space="preserve">a </w:t>
                            </w:r>
                            <w:r w:rsidRPr="001C110E">
                              <w:rPr>
                                <w:rFonts w:cs="Times New Roman"/>
                                <w:szCs w:val="24"/>
                              </w:rPr>
                              <w:t xml:space="preserve">constant supply of inputs, the only </w:t>
                            </w:r>
                            <w:r>
                              <w:rPr>
                                <w:rFonts w:cs="Times New Roman"/>
                                <w:szCs w:val="24"/>
                              </w:rPr>
                              <w:t>occasions</w:t>
                            </w:r>
                            <w:r w:rsidRPr="001C110E">
                              <w:rPr>
                                <w:rFonts w:cs="Times New Roman"/>
                                <w:szCs w:val="24"/>
                              </w:rPr>
                              <w:t xml:space="preserve"> when he </w:t>
                            </w:r>
                            <w:r>
                              <w:rPr>
                                <w:rFonts w:cs="Times New Roman"/>
                                <w:szCs w:val="24"/>
                              </w:rPr>
                              <w:t>cannot</w:t>
                            </w:r>
                            <w:r w:rsidRPr="001C110E">
                              <w:rPr>
                                <w:rFonts w:cs="Times New Roman"/>
                                <w:szCs w:val="24"/>
                              </w:rPr>
                              <w:t xml:space="preserve"> secure inputs </w:t>
                            </w:r>
                            <w:r>
                              <w:rPr>
                                <w:rFonts w:cs="Times New Roman"/>
                                <w:szCs w:val="24"/>
                              </w:rPr>
                              <w:t>are</w:t>
                            </w:r>
                            <w:r w:rsidRPr="001C110E">
                              <w:rPr>
                                <w:rFonts w:cs="Times New Roman"/>
                                <w:szCs w:val="24"/>
                              </w:rPr>
                              <w:t xml:space="preserve"> linked to countrywide scarcity (i.e.</w:t>
                            </w:r>
                            <w:r>
                              <w:rPr>
                                <w:rFonts w:cs="Times New Roman"/>
                                <w:szCs w:val="24"/>
                              </w:rPr>
                              <w:t>,</w:t>
                            </w:r>
                            <w:r w:rsidRPr="001C110E">
                              <w:rPr>
                                <w:rFonts w:cs="Times New Roman"/>
                                <w:szCs w:val="24"/>
                              </w:rPr>
                              <w:t xml:space="preserve"> plant closed down or delays in Lagos port)</w:t>
                            </w:r>
                            <w:r>
                              <w:rPr>
                                <w:rFonts w:cs="Times New Roman"/>
                                <w:szCs w:val="24"/>
                              </w:rPr>
                              <w:t>. These</w:t>
                            </w:r>
                            <w:r w:rsidRPr="001C110E">
                              <w:rPr>
                                <w:rFonts w:cs="Times New Roman"/>
                                <w:szCs w:val="24"/>
                              </w:rPr>
                              <w:t xml:space="preserve"> relationship</w:t>
                            </w:r>
                            <w:r>
                              <w:rPr>
                                <w:rFonts w:cs="Times New Roman"/>
                                <w:szCs w:val="24"/>
                              </w:rPr>
                              <w:t>s</w:t>
                            </w:r>
                            <w:r w:rsidRPr="001C110E">
                              <w:rPr>
                                <w:rFonts w:cs="Times New Roman"/>
                                <w:szCs w:val="24"/>
                              </w:rPr>
                              <w:t xml:space="preserve"> </w:t>
                            </w:r>
                            <w:r>
                              <w:rPr>
                                <w:rFonts w:cs="Times New Roman"/>
                                <w:szCs w:val="24"/>
                              </w:rPr>
                              <w:t>are</w:t>
                            </w:r>
                            <w:r w:rsidRPr="001C110E">
                              <w:rPr>
                                <w:rFonts w:cs="Times New Roman"/>
                                <w:szCs w:val="24"/>
                              </w:rPr>
                              <w:t xml:space="preserve"> </w:t>
                            </w:r>
                            <w:r>
                              <w:rPr>
                                <w:rFonts w:cs="Times New Roman"/>
                                <w:szCs w:val="24"/>
                              </w:rPr>
                              <w:t>still</w:t>
                            </w:r>
                            <w:r w:rsidRPr="001C110E">
                              <w:rPr>
                                <w:rFonts w:cs="Times New Roman"/>
                                <w:szCs w:val="24"/>
                              </w:rPr>
                              <w:t xml:space="preserve"> informal, not based on contract</w:t>
                            </w:r>
                            <w:r>
                              <w:rPr>
                                <w:rFonts w:cs="Times New Roman"/>
                                <w:szCs w:val="24"/>
                              </w:rPr>
                              <w:t>s</w:t>
                            </w:r>
                            <w:r w:rsidRPr="001C110E">
                              <w:rPr>
                                <w:rFonts w:cs="Times New Roman"/>
                                <w:szCs w:val="24"/>
                              </w:rPr>
                              <w:t xml:space="preserve">, and most transactions can be concluded in a couple of phone calls. </w:t>
                            </w:r>
                            <w:r>
                              <w:rPr>
                                <w:rFonts w:cs="Times New Roman"/>
                                <w:szCs w:val="24"/>
                              </w:rPr>
                              <w:t>These suppliers are now willing to sell to him on credit. P</w:t>
                            </w:r>
                            <w:r w:rsidRPr="001C110E">
                              <w:rPr>
                                <w:rFonts w:cs="Times New Roman"/>
                                <w:szCs w:val="24"/>
                              </w:rPr>
                              <w:t xml:space="preserve">olythene </w:t>
                            </w:r>
                            <w:r>
                              <w:rPr>
                                <w:rFonts w:cs="Times New Roman"/>
                                <w:szCs w:val="24"/>
                              </w:rPr>
                              <w:t xml:space="preserve">is </w:t>
                            </w:r>
                            <w:r w:rsidRPr="001C110E">
                              <w:rPr>
                                <w:rFonts w:cs="Times New Roman"/>
                                <w:szCs w:val="24"/>
                              </w:rPr>
                              <w:t xml:space="preserve">produced in Nigeria </w:t>
                            </w:r>
                            <w:r>
                              <w:rPr>
                                <w:rFonts w:cs="Times New Roman"/>
                                <w:szCs w:val="24"/>
                              </w:rPr>
                              <w:t xml:space="preserve">in the </w:t>
                            </w:r>
                            <w:r w:rsidRPr="001C110E">
                              <w:rPr>
                                <w:rFonts w:cs="Times New Roman"/>
                                <w:szCs w:val="24"/>
                              </w:rPr>
                              <w:t>Port Harcout region with a key supplier being the Indorama Eleme Petrochemicals Limited. Mr</w:t>
                            </w:r>
                            <w:r>
                              <w:rPr>
                                <w:rFonts w:cs="Times New Roman"/>
                                <w:szCs w:val="24"/>
                              </w:rPr>
                              <w:t>.</w:t>
                            </w:r>
                            <w:r w:rsidRPr="001C110E">
                              <w:rPr>
                                <w:rFonts w:cs="Times New Roman"/>
                                <w:szCs w:val="24"/>
                              </w:rPr>
                              <w:t xml:space="preserve"> </w:t>
                            </w:r>
                            <w:r>
                              <w:rPr>
                                <w:rFonts w:cs="Times New Roman"/>
                                <w:szCs w:val="24"/>
                              </w:rPr>
                              <w:t>Nazifi</w:t>
                            </w:r>
                            <w:r w:rsidRPr="001C110E">
                              <w:rPr>
                                <w:rFonts w:cs="Times New Roman"/>
                                <w:szCs w:val="24"/>
                              </w:rPr>
                              <w:t xml:space="preserve"> is hoping that in </w:t>
                            </w:r>
                            <w:r>
                              <w:rPr>
                                <w:rFonts w:cs="Times New Roman"/>
                                <w:szCs w:val="24"/>
                              </w:rPr>
                              <w:t>few years after expa</w:t>
                            </w:r>
                            <w:r w:rsidRPr="001C110E">
                              <w:rPr>
                                <w:rFonts w:cs="Times New Roman"/>
                                <w:szCs w:val="24"/>
                              </w:rPr>
                              <w:t xml:space="preserve">nding </w:t>
                            </w:r>
                            <w:r>
                              <w:rPr>
                                <w:rFonts w:cs="Times New Roman"/>
                                <w:szCs w:val="24"/>
                              </w:rPr>
                              <w:t>h</w:t>
                            </w:r>
                            <w:r w:rsidRPr="001C110E">
                              <w:rPr>
                                <w:rFonts w:cs="Times New Roman"/>
                                <w:szCs w:val="24"/>
                              </w:rPr>
                              <w:t>is production line</w:t>
                            </w:r>
                            <w:r>
                              <w:rPr>
                                <w:rFonts w:cs="Times New Roman"/>
                                <w:szCs w:val="24"/>
                              </w:rPr>
                              <w:t>,</w:t>
                            </w:r>
                            <w:r w:rsidRPr="001C110E">
                              <w:rPr>
                                <w:rFonts w:cs="Times New Roman"/>
                                <w:szCs w:val="24"/>
                              </w:rPr>
                              <w:t xml:space="preserve"> he will be able to sign a contract with polythene producing firms to reduce production costs.</w:t>
                            </w:r>
                            <w:r>
                              <w:rPr>
                                <w:rFonts w:cs="Times New Roman"/>
                                <w:szCs w:val="24"/>
                              </w:rPr>
                              <w:t xml:space="preserve"> </w:t>
                            </w:r>
                            <w:r w:rsidRPr="001C110E">
                              <w:rPr>
                                <w:rFonts w:cs="Times New Roman"/>
                                <w:szCs w:val="24"/>
                              </w:rPr>
                              <w:t>Mr</w:t>
                            </w:r>
                            <w:r>
                              <w:rPr>
                                <w:rFonts w:cs="Times New Roman"/>
                                <w:szCs w:val="24"/>
                              </w:rPr>
                              <w:t>.</w:t>
                            </w:r>
                            <w:r w:rsidRPr="001C110E">
                              <w:rPr>
                                <w:rFonts w:cs="Times New Roman"/>
                                <w:szCs w:val="24"/>
                              </w:rPr>
                              <w:t xml:space="preserve"> </w:t>
                            </w:r>
                            <w:r>
                              <w:rPr>
                                <w:rFonts w:cs="Times New Roman"/>
                                <w:szCs w:val="24"/>
                              </w:rPr>
                              <w:t xml:space="preserve">Nazifi </w:t>
                            </w:r>
                            <w:r w:rsidRPr="001C110E">
                              <w:rPr>
                                <w:rFonts w:cs="Times New Roman"/>
                                <w:szCs w:val="24"/>
                              </w:rPr>
                              <w:t>does not</w:t>
                            </w:r>
                            <w:r>
                              <w:rPr>
                                <w:rFonts w:cs="Times New Roman"/>
                                <w:szCs w:val="24"/>
                              </w:rPr>
                              <w:t xml:space="preserve"> have any current plans to diversify his products. H</w:t>
                            </w:r>
                            <w:r w:rsidRPr="001C110E">
                              <w:rPr>
                                <w:rFonts w:cs="Times New Roman"/>
                                <w:szCs w:val="24"/>
                              </w:rPr>
                              <w:t xml:space="preserve">e considered offering different colors of bags to </w:t>
                            </w:r>
                            <w:r>
                              <w:rPr>
                                <w:rFonts w:cs="Times New Roman"/>
                                <w:szCs w:val="24"/>
                              </w:rPr>
                              <w:t>his</w:t>
                            </w:r>
                            <w:r w:rsidRPr="001C110E">
                              <w:rPr>
                                <w:rFonts w:cs="Times New Roman"/>
                                <w:szCs w:val="24"/>
                              </w:rPr>
                              <w:t xml:space="preserve"> customers</w:t>
                            </w:r>
                            <w:r>
                              <w:rPr>
                                <w:rFonts w:cs="Times New Roman"/>
                                <w:szCs w:val="24"/>
                              </w:rPr>
                              <w:t>,</w:t>
                            </w:r>
                            <w:r w:rsidRPr="001C110E">
                              <w:rPr>
                                <w:rFonts w:cs="Times New Roman"/>
                                <w:szCs w:val="24"/>
                              </w:rPr>
                              <w:t xml:space="preserve"> but the change in production line is not worth the benefits as those colored bags do not command higher prices. </w:t>
                            </w:r>
                          </w:p>
                          <w:p w14:paraId="29F599BD" w14:textId="4426C197" w:rsidR="00A02DAA" w:rsidRPr="001C110E" w:rsidRDefault="00A02DAA" w:rsidP="008B2C4C">
                            <w:pPr>
                              <w:rPr>
                                <w:rFonts w:cs="Times New Roman"/>
                                <w:szCs w:val="24"/>
                              </w:rPr>
                            </w:pPr>
                            <w:r w:rsidRPr="001C110E">
                              <w:rPr>
                                <w:rFonts w:cs="Times New Roman"/>
                                <w:szCs w:val="24"/>
                              </w:rPr>
                              <w:t>The machine</w:t>
                            </w:r>
                            <w:r>
                              <w:rPr>
                                <w:rFonts w:cs="Times New Roman"/>
                                <w:szCs w:val="24"/>
                              </w:rPr>
                              <w:t>s</w:t>
                            </w:r>
                            <w:r w:rsidRPr="001C110E">
                              <w:rPr>
                                <w:rFonts w:cs="Times New Roman"/>
                                <w:szCs w:val="24"/>
                              </w:rPr>
                              <w:t xml:space="preserve"> </w:t>
                            </w:r>
                            <w:r>
                              <w:rPr>
                                <w:rFonts w:cs="Times New Roman"/>
                                <w:szCs w:val="24"/>
                              </w:rPr>
                              <w:t xml:space="preserve">he uses </w:t>
                            </w:r>
                            <w:r w:rsidRPr="001C110E">
                              <w:rPr>
                                <w:rFonts w:cs="Times New Roman"/>
                                <w:szCs w:val="24"/>
                              </w:rPr>
                              <w:t xml:space="preserve">are from China, bought less than </w:t>
                            </w:r>
                            <w:r>
                              <w:rPr>
                                <w:rFonts w:cs="Times New Roman"/>
                                <w:szCs w:val="24"/>
                              </w:rPr>
                              <w:t>ten</w:t>
                            </w:r>
                            <w:r w:rsidRPr="001C110E">
                              <w:rPr>
                                <w:rFonts w:cs="Times New Roman"/>
                                <w:szCs w:val="24"/>
                              </w:rPr>
                              <w:t xml:space="preserve"> years </w:t>
                            </w:r>
                            <w:r>
                              <w:rPr>
                                <w:rFonts w:cs="Times New Roman"/>
                                <w:szCs w:val="24"/>
                              </w:rPr>
                              <w:t>ago</w:t>
                            </w:r>
                            <w:r w:rsidRPr="001C110E">
                              <w:rPr>
                                <w:rFonts w:cs="Times New Roman"/>
                                <w:szCs w:val="24"/>
                              </w:rPr>
                              <w:t xml:space="preserve"> </w:t>
                            </w:r>
                            <w:r>
                              <w:rPr>
                                <w:rFonts w:cs="Times New Roman"/>
                                <w:szCs w:val="24"/>
                              </w:rPr>
                              <w:t>and still working well. He has a team of two</w:t>
                            </w:r>
                            <w:r w:rsidRPr="001C110E">
                              <w:rPr>
                                <w:rFonts w:cs="Times New Roman"/>
                                <w:szCs w:val="24"/>
                              </w:rPr>
                              <w:t xml:space="preserve"> engineers (electrical and mechanical) working with him </w:t>
                            </w:r>
                            <w:r>
                              <w:rPr>
                                <w:rFonts w:cs="Times New Roman"/>
                                <w:szCs w:val="24"/>
                              </w:rPr>
                              <w:t>who are</w:t>
                            </w:r>
                            <w:r w:rsidRPr="001C110E">
                              <w:rPr>
                                <w:rFonts w:cs="Times New Roman"/>
                                <w:szCs w:val="24"/>
                              </w:rPr>
                              <w:t xml:space="preserve"> able to fix most glitches on the production line. </w:t>
                            </w:r>
                            <w:r>
                              <w:rPr>
                                <w:rFonts w:cs="Times New Roman"/>
                                <w:szCs w:val="24"/>
                              </w:rPr>
                              <w:t>Replacement parts are also available in Kano.</w:t>
                            </w:r>
                          </w:p>
                          <w:p w14:paraId="4E17ADCB" w14:textId="77777777" w:rsidR="00A02DAA" w:rsidRDefault="00A02DAA" w:rsidP="008B2C4C">
                            <w:pPr>
                              <w:rPr>
                                <w:b/>
                              </w:rPr>
                            </w:pPr>
                          </w:p>
                          <w:p w14:paraId="7D731F2E" w14:textId="77777777" w:rsidR="00A02DAA" w:rsidRPr="00B93FAB" w:rsidRDefault="00A02DAA" w:rsidP="008B2C4C">
                            <w:pPr>
                              <w:rPr>
                                <w:b/>
                              </w:rPr>
                            </w:pPr>
                          </w:p>
                          <w:p w14:paraId="3EE627A8" w14:textId="77777777" w:rsidR="00A02DAA" w:rsidRDefault="00A02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0A566" id="Text Box 18" o:spid="_x0000_s1028" type="#_x0000_t202" style="position:absolute;left:0;text-align:left;margin-left:0;margin-top:0;width:469.2pt;height:26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" fillcolor="white [3201]" strokeweight=".5pt">
                <v:textbox>
                  <w:txbxContent>
                    <w:p w14:paraId="4654455B" w14:textId="617A3B8B" w:rsidR="00A02DAA" w:rsidRPr="001C110E" w:rsidRDefault="00A02DAA" w:rsidP="008B2C4C">
                      <w:pPr>
                        <w:rPr>
                          <w:rFonts w:cs="Times New Roman"/>
                          <w:szCs w:val="24"/>
                        </w:rPr>
                      </w:pPr>
                      <w:r w:rsidRPr="001C110E">
                        <w:rPr>
                          <w:rFonts w:cs="Times New Roman"/>
                          <w:szCs w:val="24"/>
                        </w:rPr>
                        <w:t xml:space="preserve">The main input used for the production of nylon bags </w:t>
                      </w:r>
                      <w:r>
                        <w:rPr>
                          <w:rFonts w:cs="Times New Roman"/>
                          <w:szCs w:val="24"/>
                        </w:rPr>
                        <w:t>is</w:t>
                      </w:r>
                      <w:r w:rsidRPr="001C110E">
                        <w:rPr>
                          <w:rFonts w:cs="Times New Roman"/>
                          <w:szCs w:val="24"/>
                        </w:rPr>
                        <w:t xml:space="preserve"> polythene, which is provided by </w:t>
                      </w:r>
                      <w:r>
                        <w:rPr>
                          <w:rFonts w:cs="Times New Roman"/>
                          <w:szCs w:val="24"/>
                        </w:rPr>
                        <w:t>three to four</w:t>
                      </w:r>
                      <w:r w:rsidRPr="001C110E">
                        <w:rPr>
                          <w:rFonts w:cs="Times New Roman"/>
                          <w:szCs w:val="24"/>
                        </w:rPr>
                        <w:t xml:space="preserve"> local traders with </w:t>
                      </w:r>
                      <w:r>
                        <w:rPr>
                          <w:rFonts w:cs="Times New Roman"/>
                          <w:szCs w:val="24"/>
                        </w:rPr>
                        <w:t>whom</w:t>
                      </w:r>
                      <w:r w:rsidRPr="001C110E">
                        <w:rPr>
                          <w:rFonts w:cs="Times New Roman"/>
                          <w:szCs w:val="24"/>
                        </w:rPr>
                        <w:t xml:space="preserve"> </w:t>
                      </w:r>
                      <w:r>
                        <w:rPr>
                          <w:rFonts w:cs="Times New Roman"/>
                          <w:szCs w:val="24"/>
                        </w:rPr>
                        <w:t>he has</w:t>
                      </w:r>
                      <w:r w:rsidRPr="001C110E">
                        <w:rPr>
                          <w:rFonts w:cs="Times New Roman"/>
                          <w:szCs w:val="24"/>
                        </w:rPr>
                        <w:t xml:space="preserve"> developed a long term relationship over the years. With this small network, he is </w:t>
                      </w:r>
                      <w:r>
                        <w:rPr>
                          <w:rFonts w:cs="Times New Roman"/>
                          <w:szCs w:val="24"/>
                        </w:rPr>
                        <w:t xml:space="preserve">nearly </w:t>
                      </w:r>
                      <w:r w:rsidRPr="001C110E">
                        <w:rPr>
                          <w:rFonts w:cs="Times New Roman"/>
                          <w:szCs w:val="24"/>
                        </w:rPr>
                        <w:t xml:space="preserve">guaranteed </w:t>
                      </w:r>
                      <w:r>
                        <w:rPr>
                          <w:rFonts w:cs="Times New Roman"/>
                          <w:szCs w:val="24"/>
                        </w:rPr>
                        <w:t xml:space="preserve">a </w:t>
                      </w:r>
                      <w:r w:rsidRPr="001C110E">
                        <w:rPr>
                          <w:rFonts w:cs="Times New Roman"/>
                          <w:szCs w:val="24"/>
                        </w:rPr>
                        <w:t xml:space="preserve">constant supply of inputs, the only </w:t>
                      </w:r>
                      <w:r>
                        <w:rPr>
                          <w:rFonts w:cs="Times New Roman"/>
                          <w:szCs w:val="24"/>
                        </w:rPr>
                        <w:t>occasions</w:t>
                      </w:r>
                      <w:r w:rsidRPr="001C110E">
                        <w:rPr>
                          <w:rFonts w:cs="Times New Roman"/>
                          <w:szCs w:val="24"/>
                        </w:rPr>
                        <w:t xml:space="preserve"> when he </w:t>
                      </w:r>
                      <w:r>
                        <w:rPr>
                          <w:rFonts w:cs="Times New Roman"/>
                          <w:szCs w:val="24"/>
                        </w:rPr>
                        <w:t>cannot</w:t>
                      </w:r>
                      <w:r w:rsidRPr="001C110E">
                        <w:rPr>
                          <w:rFonts w:cs="Times New Roman"/>
                          <w:szCs w:val="24"/>
                        </w:rPr>
                        <w:t xml:space="preserve"> secure inputs </w:t>
                      </w:r>
                      <w:r>
                        <w:rPr>
                          <w:rFonts w:cs="Times New Roman"/>
                          <w:szCs w:val="24"/>
                        </w:rPr>
                        <w:t>are</w:t>
                      </w:r>
                      <w:r w:rsidRPr="001C110E">
                        <w:rPr>
                          <w:rFonts w:cs="Times New Roman"/>
                          <w:szCs w:val="24"/>
                        </w:rPr>
                        <w:t xml:space="preserve"> linked to countrywide scarcity (i.e.</w:t>
                      </w:r>
                      <w:r>
                        <w:rPr>
                          <w:rFonts w:cs="Times New Roman"/>
                          <w:szCs w:val="24"/>
                        </w:rPr>
                        <w:t>,</w:t>
                      </w:r>
                      <w:r w:rsidRPr="001C110E">
                        <w:rPr>
                          <w:rFonts w:cs="Times New Roman"/>
                          <w:szCs w:val="24"/>
                        </w:rPr>
                        <w:t xml:space="preserve"> plant closed down or delays in Lagos port)</w:t>
                      </w:r>
                      <w:r>
                        <w:rPr>
                          <w:rFonts w:cs="Times New Roman"/>
                          <w:szCs w:val="24"/>
                        </w:rPr>
                        <w:t>. These</w:t>
                      </w:r>
                      <w:r w:rsidRPr="001C110E">
                        <w:rPr>
                          <w:rFonts w:cs="Times New Roman"/>
                          <w:szCs w:val="24"/>
                        </w:rPr>
                        <w:t xml:space="preserve"> relationship</w:t>
                      </w:r>
                      <w:r>
                        <w:rPr>
                          <w:rFonts w:cs="Times New Roman"/>
                          <w:szCs w:val="24"/>
                        </w:rPr>
                        <w:t>s</w:t>
                      </w:r>
                      <w:r w:rsidRPr="001C110E">
                        <w:rPr>
                          <w:rFonts w:cs="Times New Roman"/>
                          <w:szCs w:val="24"/>
                        </w:rPr>
                        <w:t xml:space="preserve"> </w:t>
                      </w:r>
                      <w:r>
                        <w:rPr>
                          <w:rFonts w:cs="Times New Roman"/>
                          <w:szCs w:val="24"/>
                        </w:rPr>
                        <w:t>are</w:t>
                      </w:r>
                      <w:r w:rsidRPr="001C110E">
                        <w:rPr>
                          <w:rFonts w:cs="Times New Roman"/>
                          <w:szCs w:val="24"/>
                        </w:rPr>
                        <w:t xml:space="preserve"> </w:t>
                      </w:r>
                      <w:r>
                        <w:rPr>
                          <w:rFonts w:cs="Times New Roman"/>
                          <w:szCs w:val="24"/>
                        </w:rPr>
                        <w:t>still</w:t>
                      </w:r>
                      <w:r w:rsidRPr="001C110E">
                        <w:rPr>
                          <w:rFonts w:cs="Times New Roman"/>
                          <w:szCs w:val="24"/>
                        </w:rPr>
                        <w:t xml:space="preserve"> informal, not based on contract</w:t>
                      </w:r>
                      <w:r>
                        <w:rPr>
                          <w:rFonts w:cs="Times New Roman"/>
                          <w:szCs w:val="24"/>
                        </w:rPr>
                        <w:t>s</w:t>
                      </w:r>
                      <w:r w:rsidRPr="001C110E">
                        <w:rPr>
                          <w:rFonts w:cs="Times New Roman"/>
                          <w:szCs w:val="24"/>
                        </w:rPr>
                        <w:t xml:space="preserve">, and most transactions can be concluded in a couple of phone calls. </w:t>
                      </w:r>
                      <w:r>
                        <w:rPr>
                          <w:rFonts w:cs="Times New Roman"/>
                          <w:szCs w:val="24"/>
                        </w:rPr>
                        <w:t>These suppliers are now willing to sell to him on credit. P</w:t>
                      </w:r>
                      <w:r w:rsidRPr="001C110E">
                        <w:rPr>
                          <w:rFonts w:cs="Times New Roman"/>
                          <w:szCs w:val="24"/>
                        </w:rPr>
                        <w:t xml:space="preserve">olythene </w:t>
                      </w:r>
                      <w:r>
                        <w:rPr>
                          <w:rFonts w:cs="Times New Roman"/>
                          <w:szCs w:val="24"/>
                        </w:rPr>
                        <w:t xml:space="preserve">is </w:t>
                      </w:r>
                      <w:r w:rsidRPr="001C110E">
                        <w:rPr>
                          <w:rFonts w:cs="Times New Roman"/>
                          <w:szCs w:val="24"/>
                        </w:rPr>
                        <w:t xml:space="preserve">produced in Nigeria </w:t>
                      </w:r>
                      <w:r>
                        <w:rPr>
                          <w:rFonts w:cs="Times New Roman"/>
                          <w:szCs w:val="24"/>
                        </w:rPr>
                        <w:t xml:space="preserve">in the </w:t>
                      </w:r>
                      <w:r w:rsidRPr="001C110E">
                        <w:rPr>
                          <w:rFonts w:cs="Times New Roman"/>
                          <w:szCs w:val="24"/>
                        </w:rPr>
                        <w:t>Port Harcout region with a key supplier being the Indorama Eleme Petrochemicals Limited. Mr</w:t>
                      </w:r>
                      <w:r>
                        <w:rPr>
                          <w:rFonts w:cs="Times New Roman"/>
                          <w:szCs w:val="24"/>
                        </w:rPr>
                        <w:t>.</w:t>
                      </w:r>
                      <w:r w:rsidRPr="001C110E">
                        <w:rPr>
                          <w:rFonts w:cs="Times New Roman"/>
                          <w:szCs w:val="24"/>
                        </w:rPr>
                        <w:t xml:space="preserve"> </w:t>
                      </w:r>
                      <w:r>
                        <w:rPr>
                          <w:rFonts w:cs="Times New Roman"/>
                          <w:szCs w:val="24"/>
                        </w:rPr>
                        <w:t>Nazifi</w:t>
                      </w:r>
                      <w:r w:rsidRPr="001C110E">
                        <w:rPr>
                          <w:rFonts w:cs="Times New Roman"/>
                          <w:szCs w:val="24"/>
                        </w:rPr>
                        <w:t xml:space="preserve"> is hoping that in </w:t>
                      </w:r>
                      <w:r>
                        <w:rPr>
                          <w:rFonts w:cs="Times New Roman"/>
                          <w:szCs w:val="24"/>
                        </w:rPr>
                        <w:t>few years after expa</w:t>
                      </w:r>
                      <w:r w:rsidRPr="001C110E">
                        <w:rPr>
                          <w:rFonts w:cs="Times New Roman"/>
                          <w:szCs w:val="24"/>
                        </w:rPr>
                        <w:t xml:space="preserve">nding </w:t>
                      </w:r>
                      <w:r>
                        <w:rPr>
                          <w:rFonts w:cs="Times New Roman"/>
                          <w:szCs w:val="24"/>
                        </w:rPr>
                        <w:t>h</w:t>
                      </w:r>
                      <w:r w:rsidRPr="001C110E">
                        <w:rPr>
                          <w:rFonts w:cs="Times New Roman"/>
                          <w:szCs w:val="24"/>
                        </w:rPr>
                        <w:t>is production line</w:t>
                      </w:r>
                      <w:r>
                        <w:rPr>
                          <w:rFonts w:cs="Times New Roman"/>
                          <w:szCs w:val="24"/>
                        </w:rPr>
                        <w:t>,</w:t>
                      </w:r>
                      <w:r w:rsidRPr="001C110E">
                        <w:rPr>
                          <w:rFonts w:cs="Times New Roman"/>
                          <w:szCs w:val="24"/>
                        </w:rPr>
                        <w:t xml:space="preserve"> he will be able to sign a contract with polythene producing firms to reduce production costs.</w:t>
                      </w:r>
                      <w:r>
                        <w:rPr>
                          <w:rFonts w:cs="Times New Roman"/>
                          <w:szCs w:val="24"/>
                        </w:rPr>
                        <w:t xml:space="preserve"> </w:t>
                      </w:r>
                      <w:r w:rsidRPr="001C110E">
                        <w:rPr>
                          <w:rFonts w:cs="Times New Roman"/>
                          <w:szCs w:val="24"/>
                        </w:rPr>
                        <w:t>Mr</w:t>
                      </w:r>
                      <w:r>
                        <w:rPr>
                          <w:rFonts w:cs="Times New Roman"/>
                          <w:szCs w:val="24"/>
                        </w:rPr>
                        <w:t>.</w:t>
                      </w:r>
                      <w:r w:rsidRPr="001C110E">
                        <w:rPr>
                          <w:rFonts w:cs="Times New Roman"/>
                          <w:szCs w:val="24"/>
                        </w:rPr>
                        <w:t xml:space="preserve"> </w:t>
                      </w:r>
                      <w:r>
                        <w:rPr>
                          <w:rFonts w:cs="Times New Roman"/>
                          <w:szCs w:val="24"/>
                        </w:rPr>
                        <w:t xml:space="preserve">Nazifi </w:t>
                      </w:r>
                      <w:r w:rsidRPr="001C110E">
                        <w:rPr>
                          <w:rFonts w:cs="Times New Roman"/>
                          <w:szCs w:val="24"/>
                        </w:rPr>
                        <w:t>does not</w:t>
                      </w:r>
                      <w:r>
                        <w:rPr>
                          <w:rFonts w:cs="Times New Roman"/>
                          <w:szCs w:val="24"/>
                        </w:rPr>
                        <w:t xml:space="preserve"> have any current plans to diversify his products. H</w:t>
                      </w:r>
                      <w:r w:rsidRPr="001C110E">
                        <w:rPr>
                          <w:rFonts w:cs="Times New Roman"/>
                          <w:szCs w:val="24"/>
                        </w:rPr>
                        <w:t xml:space="preserve">e considered offering different colors of bags to </w:t>
                      </w:r>
                      <w:r>
                        <w:rPr>
                          <w:rFonts w:cs="Times New Roman"/>
                          <w:szCs w:val="24"/>
                        </w:rPr>
                        <w:t>his</w:t>
                      </w:r>
                      <w:r w:rsidRPr="001C110E">
                        <w:rPr>
                          <w:rFonts w:cs="Times New Roman"/>
                          <w:szCs w:val="24"/>
                        </w:rPr>
                        <w:t xml:space="preserve"> customers</w:t>
                      </w:r>
                      <w:r>
                        <w:rPr>
                          <w:rFonts w:cs="Times New Roman"/>
                          <w:szCs w:val="24"/>
                        </w:rPr>
                        <w:t>,</w:t>
                      </w:r>
                      <w:r w:rsidRPr="001C110E">
                        <w:rPr>
                          <w:rFonts w:cs="Times New Roman"/>
                          <w:szCs w:val="24"/>
                        </w:rPr>
                        <w:t xml:space="preserve"> but the change in production line is not worth the benefits as those colored bags do not command higher prices. </w:t>
                      </w:r>
                    </w:p>
                    <w:p w14:paraId="29F599BD" w14:textId="4426C197" w:rsidR="00A02DAA" w:rsidRPr="001C110E" w:rsidRDefault="00A02DAA" w:rsidP="008B2C4C">
                      <w:pPr>
                        <w:rPr>
                          <w:rFonts w:cs="Times New Roman"/>
                          <w:szCs w:val="24"/>
                        </w:rPr>
                      </w:pPr>
                      <w:r w:rsidRPr="001C110E">
                        <w:rPr>
                          <w:rFonts w:cs="Times New Roman"/>
                          <w:szCs w:val="24"/>
                        </w:rPr>
                        <w:t>The machine</w:t>
                      </w:r>
                      <w:r>
                        <w:rPr>
                          <w:rFonts w:cs="Times New Roman"/>
                          <w:szCs w:val="24"/>
                        </w:rPr>
                        <w:t>s</w:t>
                      </w:r>
                      <w:r w:rsidRPr="001C110E">
                        <w:rPr>
                          <w:rFonts w:cs="Times New Roman"/>
                          <w:szCs w:val="24"/>
                        </w:rPr>
                        <w:t xml:space="preserve"> </w:t>
                      </w:r>
                      <w:r>
                        <w:rPr>
                          <w:rFonts w:cs="Times New Roman"/>
                          <w:szCs w:val="24"/>
                        </w:rPr>
                        <w:t xml:space="preserve">he uses </w:t>
                      </w:r>
                      <w:r w:rsidRPr="001C110E">
                        <w:rPr>
                          <w:rFonts w:cs="Times New Roman"/>
                          <w:szCs w:val="24"/>
                        </w:rPr>
                        <w:t xml:space="preserve">are from China, bought less than </w:t>
                      </w:r>
                      <w:r>
                        <w:rPr>
                          <w:rFonts w:cs="Times New Roman"/>
                          <w:szCs w:val="24"/>
                        </w:rPr>
                        <w:t>ten</w:t>
                      </w:r>
                      <w:r w:rsidRPr="001C110E">
                        <w:rPr>
                          <w:rFonts w:cs="Times New Roman"/>
                          <w:szCs w:val="24"/>
                        </w:rPr>
                        <w:t xml:space="preserve"> years </w:t>
                      </w:r>
                      <w:r>
                        <w:rPr>
                          <w:rFonts w:cs="Times New Roman"/>
                          <w:szCs w:val="24"/>
                        </w:rPr>
                        <w:t>ago</w:t>
                      </w:r>
                      <w:r w:rsidRPr="001C110E">
                        <w:rPr>
                          <w:rFonts w:cs="Times New Roman"/>
                          <w:szCs w:val="24"/>
                        </w:rPr>
                        <w:t xml:space="preserve"> </w:t>
                      </w:r>
                      <w:r>
                        <w:rPr>
                          <w:rFonts w:cs="Times New Roman"/>
                          <w:szCs w:val="24"/>
                        </w:rPr>
                        <w:t>and still working well. He has a team of two</w:t>
                      </w:r>
                      <w:r w:rsidRPr="001C110E">
                        <w:rPr>
                          <w:rFonts w:cs="Times New Roman"/>
                          <w:szCs w:val="24"/>
                        </w:rPr>
                        <w:t xml:space="preserve"> engineers (electrical and mechanical) working with him </w:t>
                      </w:r>
                      <w:r>
                        <w:rPr>
                          <w:rFonts w:cs="Times New Roman"/>
                          <w:szCs w:val="24"/>
                        </w:rPr>
                        <w:t>who are</w:t>
                      </w:r>
                      <w:r w:rsidRPr="001C110E">
                        <w:rPr>
                          <w:rFonts w:cs="Times New Roman"/>
                          <w:szCs w:val="24"/>
                        </w:rPr>
                        <w:t xml:space="preserve"> able to fix most glitches on the production line. </w:t>
                      </w:r>
                      <w:r>
                        <w:rPr>
                          <w:rFonts w:cs="Times New Roman"/>
                          <w:szCs w:val="24"/>
                        </w:rPr>
                        <w:t>Replacement parts are also available in Kano.</w:t>
                      </w:r>
                    </w:p>
                    <w:p w14:paraId="4E17ADCB" w14:textId="77777777" w:rsidR="00A02DAA" w:rsidRDefault="00A02DAA" w:rsidP="008B2C4C">
                      <w:pPr>
                        <w:rPr>
                          <w:b/>
                        </w:rPr>
                      </w:pPr>
                    </w:p>
                    <w:p w14:paraId="7D731F2E" w14:textId="77777777" w:rsidR="00A02DAA" w:rsidRPr="00B93FAB" w:rsidRDefault="00A02DAA" w:rsidP="008B2C4C">
                      <w:pPr>
                        <w:rPr>
                          <w:b/>
                        </w:rPr>
                      </w:pPr>
                    </w:p>
                    <w:p w14:paraId="3EE627A8" w14:textId="77777777" w:rsidR="00A02DAA" w:rsidRDefault="00A02DAA"/>
                  </w:txbxContent>
                </v:textbox>
                <w10:wrap type="topAndBottom"/>
              </v:shape>
            </w:pict>
          </mc:Fallback>
        </mc:AlternateContent>
      </w:r>
      <w:r w:rsidR="000F32EE" w:rsidRPr="006F6E3D">
        <w:t xml:space="preserve">compute various measures of firm performance for </w:t>
      </w:r>
      <w:r w:rsidR="000F32EE" w:rsidRPr="006F6E3D">
        <w:rPr>
          <w:i/>
        </w:rPr>
        <w:t xml:space="preserve">manufacturing </w:t>
      </w:r>
      <w:r w:rsidR="000F32EE" w:rsidRPr="006F6E3D">
        <w:t>firms in Nigeria.</w:t>
      </w:r>
      <w:r w:rsidR="000F32EE" w:rsidRPr="006F6E3D">
        <w:rPr>
          <w:rStyle w:val="FootnoteReference"/>
        </w:rPr>
        <w:footnoteReference w:id="42"/>
      </w:r>
      <w:r w:rsidR="000F32EE" w:rsidRPr="006F6E3D">
        <w:t xml:space="preserve"> </w:t>
      </w:r>
      <w:r w:rsidR="00CA50DC" w:rsidRPr="00CA50DC">
        <w:t>First, total factor productivity (TFP) is calculated using regression analysis and takes capital and labor use into account. However</w:t>
      </w:r>
      <w:r>
        <w:t>,</w:t>
      </w:r>
      <w:r w:rsidR="00CA50DC" w:rsidRPr="00CA50DC">
        <w:t xml:space="preserve"> this measure suffers from many shortcomings (detailed in </w:t>
      </w:r>
      <w:r>
        <w:t>a</w:t>
      </w:r>
      <w:r w:rsidR="00CA50DC" w:rsidRPr="00CA50DC">
        <w:t xml:space="preserve">ppendix 2 of the background paper on </w:t>
      </w:r>
      <w:r>
        <w:t>f</w:t>
      </w:r>
      <w:r w:rsidR="00CA50DC" w:rsidRPr="00CA50DC">
        <w:t>irm</w:t>
      </w:r>
      <w:r>
        <w:t>-</w:t>
      </w:r>
      <w:r w:rsidR="00CA50DC" w:rsidRPr="00CA50DC">
        <w:t>level performance in Nigeria).</w:t>
      </w:r>
      <w:r w:rsidR="00B04107" w:rsidRPr="00B04107">
        <w:rPr>
          <w:vertAlign w:val="superscript"/>
        </w:rPr>
        <w:t xml:space="preserve"> </w:t>
      </w:r>
      <w:r w:rsidR="00B04107" w:rsidRPr="00B04107">
        <w:rPr>
          <w:vertAlign w:val="superscript"/>
        </w:rPr>
        <w:footnoteReference w:id="43"/>
      </w:r>
      <w:r w:rsidR="00CA50DC" w:rsidRPr="00CA50DC">
        <w:t xml:space="preserve"> In particular, productivity is only one part of the competitiveness story. Firms with low productivity can remain competitive when wages are comparatively lower. </w:t>
      </w:r>
      <w:r w:rsidR="00B04107">
        <w:t>Therefore, t</w:t>
      </w:r>
      <w:r w:rsidR="00CA50DC" w:rsidRPr="00CA50DC">
        <w:t>he second measure of firm performance is unit labor costs, calculated as total labor costs divided by value added. Unit labor costs are higher when high labor costs are not fully reflected in high productivity. That is, when unit labor costs are high, all else equal, workers are earning higher wages than their productivity would justify. When this is the case, all else equal, firms will find it difficult to compete on international markets. Finally, the analysis presents measures of firm growth, defined as growth of sales and employment.</w:t>
      </w:r>
      <w:r w:rsidR="00CA50DC" w:rsidRPr="00CA50DC">
        <w:rPr>
          <w:vertAlign w:val="superscript"/>
        </w:rPr>
        <w:footnoteReference w:id="44"/>
      </w:r>
    </w:p>
    <w:p w14:paraId="1F19C42C" w14:textId="2DA174AF" w:rsidR="008B2C4C" w:rsidRPr="00CA50DC" w:rsidRDefault="008B2C4C" w:rsidP="00D727BF">
      <w:pPr>
        <w:pStyle w:val="ParagraphNumbering"/>
        <w:numPr>
          <w:ilvl w:val="0"/>
          <w:numId w:val="0"/>
        </w:numPr>
        <w:tabs>
          <w:tab w:val="left" w:pos="720"/>
        </w:tabs>
        <w:spacing w:before="240" w:after="240"/>
      </w:pPr>
    </w:p>
    <w:p w14:paraId="58184D19" w14:textId="52B495B4" w:rsidR="00797849" w:rsidRPr="00797849" w:rsidRDefault="00B04107" w:rsidP="00D727BF">
      <w:pPr>
        <w:pStyle w:val="Heading3"/>
        <w:numPr>
          <w:ilvl w:val="0"/>
          <w:numId w:val="0"/>
        </w:numPr>
        <w:tabs>
          <w:tab w:val="left" w:pos="720"/>
        </w:tabs>
        <w:spacing w:before="0"/>
        <w:jc w:val="center"/>
      </w:pPr>
      <w:r>
        <w:lastRenderedPageBreak/>
        <w:t>The productivity of the Nigerian manufacturing sector in context</w:t>
      </w:r>
    </w:p>
    <w:p w14:paraId="511E25ED" w14:textId="27477EA5" w:rsidR="009C74D5" w:rsidRPr="00FE742B" w:rsidRDefault="00C869CC" w:rsidP="00D727BF">
      <w:pPr>
        <w:pStyle w:val="ParagraphNumbering"/>
        <w:numPr>
          <w:ilvl w:val="0"/>
          <w:numId w:val="0"/>
        </w:numPr>
        <w:tabs>
          <w:tab w:val="left" w:pos="720"/>
        </w:tabs>
        <w:spacing w:after="240"/>
      </w:pPr>
      <w:r>
        <w:rPr>
          <w:b/>
        </w:rPr>
        <w:tab/>
      </w:r>
      <w:r w:rsidR="00560563">
        <w:rPr>
          <w:b/>
        </w:rPr>
        <w:t xml:space="preserve">Given the per capita income of Nigeria, the </w:t>
      </w:r>
      <w:r w:rsidR="00560563" w:rsidRPr="00414E57">
        <w:rPr>
          <w:b/>
        </w:rPr>
        <w:t xml:space="preserve">TFP of </w:t>
      </w:r>
      <w:r w:rsidR="00560563">
        <w:rPr>
          <w:b/>
        </w:rPr>
        <w:t xml:space="preserve">its </w:t>
      </w:r>
      <w:r w:rsidR="00560563" w:rsidRPr="00414E57">
        <w:rPr>
          <w:b/>
        </w:rPr>
        <w:t>manufacturing sector is lower than expected.</w:t>
      </w:r>
      <w:r w:rsidR="00560563">
        <w:t xml:space="preserve"> When compared with other emerging markets, the TFP of Nigeria</w:t>
      </w:r>
      <w:r w:rsidR="00863D16">
        <w:t>’</w:t>
      </w:r>
      <w:r w:rsidR="00560563">
        <w:t>s manufacturing sector is demonstrably low. T</w:t>
      </w:r>
      <w:r w:rsidR="00560563" w:rsidRPr="00FE742B">
        <w:t>he median manufacturing firm in each of the BRICS economies</w:t>
      </w:r>
      <w:r w:rsidR="00560563">
        <w:t xml:space="preserve"> possesses a TFP that </w:t>
      </w:r>
      <w:r w:rsidR="00560563" w:rsidRPr="00FE742B">
        <w:t>is between 376 percent and 982 percent of the median manufacturing firm in Nigeria (</w:t>
      </w:r>
      <w:r w:rsidR="002B728F">
        <w:fldChar w:fldCharType="begin"/>
      </w:r>
      <w:r w:rsidR="002B728F">
        <w:instrText xml:space="preserve"> REF _Ref445132117 \h </w:instrText>
      </w:r>
      <w:r w:rsidR="002B728F">
        <w:fldChar w:fldCharType="separate"/>
      </w:r>
      <w:r>
        <w:t>f</w:t>
      </w:r>
      <w:r w:rsidR="008A3BBD" w:rsidRPr="004D4126">
        <w:t xml:space="preserve">igure </w:t>
      </w:r>
      <w:r w:rsidR="008A3BBD">
        <w:rPr>
          <w:noProof/>
        </w:rPr>
        <w:t>50</w:t>
      </w:r>
      <w:r w:rsidR="002B728F">
        <w:fldChar w:fldCharType="end"/>
      </w:r>
      <w:r w:rsidR="00560563" w:rsidRPr="00FE742B">
        <w:t>). TFP tends to be higher in countries where per capita income is higher</w:t>
      </w:r>
      <w:r w:rsidR="00560563">
        <w:t xml:space="preserve">, and because </w:t>
      </w:r>
      <w:r w:rsidR="00560563" w:rsidRPr="00FE742B">
        <w:t xml:space="preserve">per capita income </w:t>
      </w:r>
      <w:r w:rsidR="00560563">
        <w:t xml:space="preserve">in Nigeria </w:t>
      </w:r>
      <w:r w:rsidR="00560563" w:rsidRPr="00FE742B">
        <w:t xml:space="preserve">is </w:t>
      </w:r>
      <w:r w:rsidR="00560563">
        <w:t xml:space="preserve">lower than </w:t>
      </w:r>
      <w:r w:rsidR="00560563" w:rsidRPr="00FE742B">
        <w:t xml:space="preserve">in most of the BRICS </w:t>
      </w:r>
      <w:r w:rsidR="00560563">
        <w:t>countries, this finding is not surprising</w:t>
      </w:r>
      <w:r w:rsidR="00560563" w:rsidRPr="007B54FC">
        <w:t>. However, even by the standards of countries with lower per capita incomes than Nigeria, the TFP of its manufacturing sector is considered low. TFP is between two and three times higher in Ethiopia, C</w:t>
      </w:r>
      <w:r>
        <w:t>ô</w:t>
      </w:r>
      <w:r w:rsidR="00560563" w:rsidRPr="007B54FC">
        <w:t>te d</w:t>
      </w:r>
      <w:r w:rsidR="00863D16">
        <w:t>’</w:t>
      </w:r>
      <w:r w:rsidR="00560563" w:rsidRPr="007B54FC">
        <w:t>Ivoire</w:t>
      </w:r>
      <w:r>
        <w:t>,</w:t>
      </w:r>
      <w:r w:rsidR="00560563" w:rsidRPr="007B54FC">
        <w:t xml:space="preserve"> and Ghana and almost five times higher in Kenya. Overall, these results suggest that TFP in Nigeria should be substantially higher</w:t>
      </w:r>
      <w:r w:rsidR="004D4126" w:rsidRPr="00FE742B">
        <w:t>.</w:t>
      </w:r>
      <w:r w:rsidR="00F428F9">
        <w:t xml:space="preserve"> </w:t>
      </w:r>
    </w:p>
    <w:p w14:paraId="5F56562D" w14:textId="6B2BE2D8" w:rsidR="00BB51EA" w:rsidRPr="00D707F1" w:rsidRDefault="00C869CC" w:rsidP="00D727BF">
      <w:pPr>
        <w:pStyle w:val="ParagraphNumbering"/>
        <w:numPr>
          <w:ilvl w:val="0"/>
          <w:numId w:val="0"/>
        </w:numPr>
        <w:tabs>
          <w:tab w:val="left" w:pos="720"/>
        </w:tabs>
        <w:spacing w:after="240"/>
        <w:rPr>
          <w:rFonts w:ascii="Trebuchet MS" w:eastAsia="Calibri" w:hAnsi="Trebuchet MS"/>
          <w:b/>
          <w:color w:val="0B73B6" w:themeColor="background2" w:themeShade="BF"/>
          <w:sz w:val="20"/>
          <w:szCs w:val="18"/>
        </w:rPr>
      </w:pPr>
      <w:bookmarkStart w:id="256" w:name="_Ref391236146"/>
      <w:r>
        <w:rPr>
          <w:b/>
        </w:rPr>
        <w:tab/>
      </w:r>
      <w:r w:rsidR="00560563" w:rsidRPr="00D707F1">
        <w:rPr>
          <w:b/>
        </w:rPr>
        <w:t>Why is TFP so low in Nigeria?</w:t>
      </w:r>
      <w:r w:rsidR="00560563">
        <w:t xml:space="preserve"> At least in part, Nigeria</w:t>
      </w:r>
      <w:r w:rsidR="00863D16">
        <w:t>’</w:t>
      </w:r>
      <w:r w:rsidR="00560563">
        <w:t>s low productivity measure appears to be driven by low productivity in the country</w:t>
      </w:r>
      <w:r w:rsidR="00863D16">
        <w:t>’</w:t>
      </w:r>
      <w:r w:rsidR="00560563">
        <w:t>s North (</w:t>
      </w:r>
      <w:r w:rsidR="002B728F">
        <w:fldChar w:fldCharType="begin"/>
      </w:r>
      <w:r w:rsidR="002B728F">
        <w:instrText xml:space="preserve"> REF _Ref445132132 \h </w:instrText>
      </w:r>
      <w:r w:rsidR="002B728F">
        <w:fldChar w:fldCharType="separate"/>
      </w:r>
      <w:r>
        <w:t>f</w:t>
      </w:r>
      <w:r w:rsidR="008A3BBD" w:rsidRPr="009664BA">
        <w:t xml:space="preserve">igure </w:t>
      </w:r>
      <w:r w:rsidR="008A3BBD">
        <w:rPr>
          <w:noProof/>
        </w:rPr>
        <w:t>51</w:t>
      </w:r>
      <w:r w:rsidR="002B728F">
        <w:fldChar w:fldCharType="end"/>
      </w:r>
      <w:r w:rsidR="00560563">
        <w:t xml:space="preserve">). TFP in the </w:t>
      </w:r>
      <w:r>
        <w:t>n</w:t>
      </w:r>
      <w:r w:rsidR="00560563">
        <w:t xml:space="preserve">orthern states (except Kano and Kaduna) is about one-third of TFP in the </w:t>
      </w:r>
      <w:r>
        <w:t>s</w:t>
      </w:r>
      <w:r w:rsidR="00560563">
        <w:t>outhern states (except Lagos).</w:t>
      </w:r>
      <w:r w:rsidR="005F06ED">
        <w:t xml:space="preserve"> </w:t>
      </w:r>
      <w:r w:rsidR="00560563">
        <w:t>While firm productivity in Lagos compares favorably with that in Ethiopia, Côte d</w:t>
      </w:r>
      <w:r w:rsidR="00863D16">
        <w:t>’</w:t>
      </w:r>
      <w:r w:rsidR="00560563">
        <w:t>Ivoire</w:t>
      </w:r>
      <w:r>
        <w:t>,</w:t>
      </w:r>
      <w:r w:rsidR="00560563">
        <w:t xml:space="preserve"> or Ghana</w:t>
      </w:r>
      <w:r>
        <w:t>,</w:t>
      </w:r>
      <w:r w:rsidR="00560563">
        <w:t xml:space="preserve"> and even BRICS countries</w:t>
      </w:r>
      <w:r>
        <w:t>,</w:t>
      </w:r>
      <w:r w:rsidR="00560563">
        <w:t xml:space="preserve"> cities in Nigeria</w:t>
      </w:r>
      <w:r w:rsidR="00863D16">
        <w:t>’</w:t>
      </w:r>
      <w:r w:rsidR="00560563">
        <w:t xml:space="preserve">s </w:t>
      </w:r>
      <w:r>
        <w:t>N</w:t>
      </w:r>
      <w:r w:rsidR="00560563">
        <w:t xml:space="preserve">orth lag behind considerably. The TFP of firms in Kano and Kaduna is about one-quarter of the TFP in Lagos. </w:t>
      </w:r>
      <w:r w:rsidR="00560563" w:rsidRPr="007B54FC">
        <w:t>TFP for the median firm in Kano and Kaduna is about 75 percent of TFP for the median firm in Lagos, and TFP for the median firm in other southern states is about 62 percent of TFP in Lagos.</w:t>
      </w:r>
      <w:r w:rsidR="00560563">
        <w:t xml:space="preserve"> Overall, this suggests that low TFP in </w:t>
      </w:r>
      <w:r w:rsidR="002A2158">
        <w:t xml:space="preserve">the north </w:t>
      </w:r>
      <w:r w:rsidR="00560563">
        <w:t>of Nigeria partially accounts for Nigeria</w:t>
      </w:r>
      <w:r w:rsidR="00863D16">
        <w:t>’</w:t>
      </w:r>
      <w:r w:rsidR="00560563">
        <w:t>s overall low productivity</w:t>
      </w:r>
      <w:r w:rsidR="00FE742B">
        <w:t xml:space="preserve">. </w:t>
      </w:r>
      <w:bookmarkStart w:id="257" w:name="_Ref431670262"/>
    </w:p>
    <w:p w14:paraId="69038ACB" w14:textId="6678CD37" w:rsidR="00797849" w:rsidRPr="004D4126" w:rsidRDefault="00FE742B" w:rsidP="00D727BF">
      <w:pPr>
        <w:pStyle w:val="Caption"/>
        <w:tabs>
          <w:tab w:val="left" w:pos="720"/>
        </w:tabs>
        <w:jc w:val="center"/>
      </w:pPr>
      <w:bookmarkStart w:id="258" w:name="_Ref445132117"/>
      <w:bookmarkStart w:id="259" w:name="_Toc445449668"/>
      <w:r>
        <w:t>F</w:t>
      </w:r>
      <w:r w:rsidR="00797849" w:rsidRPr="004D4126">
        <w:t xml:space="preserve">igure </w:t>
      </w:r>
      <w:fldSimple w:instr=" SEQ Figure \* ARABIC ">
        <w:r w:rsidR="008A3BBD">
          <w:rPr>
            <w:noProof/>
          </w:rPr>
          <w:t>50</w:t>
        </w:r>
      </w:fldSimple>
      <w:bookmarkEnd w:id="256"/>
      <w:bookmarkEnd w:id="257"/>
      <w:bookmarkEnd w:id="258"/>
      <w:r w:rsidR="00797849" w:rsidRPr="004D4126">
        <w:t xml:space="preserve">: </w:t>
      </w:r>
      <w:r w:rsidR="009D574B">
        <w:t xml:space="preserve">TFP for </w:t>
      </w:r>
      <w:r w:rsidR="00D17E70">
        <w:t xml:space="preserve">a </w:t>
      </w:r>
      <w:r w:rsidR="00ED71AB">
        <w:t>Median Manufacturing F</w:t>
      </w:r>
      <w:r w:rsidR="00110DCC">
        <w:t xml:space="preserve">irm in </w:t>
      </w:r>
      <w:r w:rsidR="009D574B">
        <w:t>Nigeria and</w:t>
      </w:r>
      <w:r w:rsidR="00ED71AB">
        <w:t xml:space="preserve"> C</w:t>
      </w:r>
      <w:r w:rsidR="009D574B">
        <w:t xml:space="preserve">omparator </w:t>
      </w:r>
      <w:r w:rsidR="00ED71AB">
        <w:t>Countries</w:t>
      </w:r>
      <w:bookmarkEnd w:id="259"/>
    </w:p>
    <w:p w14:paraId="47F06C61" w14:textId="77777777" w:rsidR="00797849" w:rsidRDefault="00797849" w:rsidP="00D727BF">
      <w:pPr>
        <w:keepNext/>
        <w:tabs>
          <w:tab w:val="left" w:pos="720"/>
        </w:tabs>
        <w:spacing w:after="0"/>
      </w:pPr>
      <w:r>
        <w:rPr>
          <w:noProof/>
        </w:rPr>
        <w:drawing>
          <wp:inline distT="0" distB="0" distL="0" distR="0" wp14:anchorId="309C4318" wp14:editId="14D0787E">
            <wp:extent cx="5915025" cy="22479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69418A7" w14:textId="42A8EE5E" w:rsidR="00797849" w:rsidRPr="001845F3" w:rsidRDefault="00797849" w:rsidP="00D727BF">
      <w:pPr>
        <w:keepNext/>
        <w:tabs>
          <w:tab w:val="left" w:pos="720"/>
        </w:tabs>
        <w:spacing w:after="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 based on data from </w:t>
      </w:r>
      <w:r w:rsidR="00C32950">
        <w:rPr>
          <w:rFonts w:cs="Times New Roman"/>
          <w:sz w:val="18"/>
          <w:szCs w:val="18"/>
        </w:rPr>
        <w:t>enterprise survey</w:t>
      </w:r>
      <w:r w:rsidR="002C6F93" w:rsidRPr="001845F3">
        <w:rPr>
          <w:rFonts w:cs="Times New Roman"/>
          <w:sz w:val="18"/>
          <w:szCs w:val="18"/>
        </w:rPr>
        <w:t xml:space="preserve"> (2014</w:t>
      </w:r>
      <w:r w:rsidR="00C869CC">
        <w:rPr>
          <w:rFonts w:ascii="Calibri" w:hAnsi="Calibri" w:cs="Times New Roman"/>
          <w:sz w:val="18"/>
          <w:szCs w:val="18"/>
        </w:rPr>
        <w:t>‒</w:t>
      </w:r>
      <w:r w:rsidR="002C6F93" w:rsidRPr="001845F3">
        <w:rPr>
          <w:rFonts w:cs="Times New Roman"/>
          <w:sz w:val="18"/>
          <w:szCs w:val="18"/>
        </w:rPr>
        <w:t xml:space="preserve">15 for Nigeria, </w:t>
      </w:r>
      <w:r w:rsidR="00C869CC">
        <w:rPr>
          <w:rFonts w:cs="Times New Roman"/>
          <w:sz w:val="18"/>
          <w:szCs w:val="18"/>
        </w:rPr>
        <w:t>l</w:t>
      </w:r>
      <w:r w:rsidR="002C6F93" w:rsidRPr="001845F3">
        <w:rPr>
          <w:rFonts w:cs="Times New Roman"/>
          <w:sz w:val="18"/>
          <w:szCs w:val="18"/>
        </w:rPr>
        <w:t>atest available year for other countries)</w:t>
      </w:r>
      <w:r w:rsidR="00110DCC" w:rsidRPr="001845F3">
        <w:rPr>
          <w:rFonts w:cs="Times New Roman"/>
          <w:sz w:val="18"/>
          <w:szCs w:val="18"/>
        </w:rPr>
        <w:t xml:space="preserve"> </w:t>
      </w:r>
      <w:r w:rsidRPr="001845F3">
        <w:rPr>
          <w:rFonts w:cs="Times New Roman"/>
          <w:sz w:val="18"/>
          <w:szCs w:val="18"/>
        </w:rPr>
        <w:t>Note:</w:t>
      </w:r>
      <w:r w:rsidR="00F428F9" w:rsidRPr="001845F3">
        <w:rPr>
          <w:rFonts w:cs="Times New Roman"/>
          <w:sz w:val="18"/>
          <w:szCs w:val="18"/>
        </w:rPr>
        <w:t xml:space="preserve"> </w:t>
      </w:r>
      <w:r w:rsidR="000B6548" w:rsidRPr="001845F3">
        <w:rPr>
          <w:rFonts w:cs="Times New Roman"/>
          <w:sz w:val="18"/>
          <w:szCs w:val="18"/>
        </w:rPr>
        <w:t>C</w:t>
      </w:r>
      <w:r w:rsidRPr="001845F3">
        <w:rPr>
          <w:rFonts w:cs="Times New Roman"/>
          <w:sz w:val="18"/>
          <w:szCs w:val="18"/>
        </w:rPr>
        <w:t>ountry estimates are from LAD regressions.</w:t>
      </w:r>
      <w:r w:rsidR="00F428F9" w:rsidRPr="001845F3">
        <w:rPr>
          <w:rFonts w:cs="Times New Roman"/>
          <w:sz w:val="18"/>
          <w:szCs w:val="18"/>
        </w:rPr>
        <w:t xml:space="preserve"> </w:t>
      </w:r>
    </w:p>
    <w:p w14:paraId="08C926C7" w14:textId="6E4391D8" w:rsidR="00C869CC" w:rsidRDefault="00C869CC">
      <w:bookmarkStart w:id="260" w:name="_Ref428723288"/>
      <w:r>
        <w:br w:type="page"/>
      </w:r>
    </w:p>
    <w:p w14:paraId="27E15FFC" w14:textId="49748640" w:rsidR="00797849" w:rsidRPr="009664BA" w:rsidRDefault="00797849" w:rsidP="00D727BF">
      <w:pPr>
        <w:pStyle w:val="Caption"/>
        <w:tabs>
          <w:tab w:val="left" w:pos="720"/>
        </w:tabs>
        <w:jc w:val="center"/>
      </w:pPr>
      <w:bookmarkStart w:id="261" w:name="_Ref431670220"/>
      <w:bookmarkStart w:id="262" w:name="_Ref445132132"/>
      <w:bookmarkStart w:id="263" w:name="_Toc445449669"/>
      <w:r w:rsidRPr="009664BA">
        <w:lastRenderedPageBreak/>
        <w:t xml:space="preserve">Figure </w:t>
      </w:r>
      <w:fldSimple w:instr=" SEQ Figure \* ARABIC ">
        <w:r w:rsidR="008A3BBD">
          <w:rPr>
            <w:noProof/>
          </w:rPr>
          <w:t>51</w:t>
        </w:r>
      </w:fldSimple>
      <w:bookmarkEnd w:id="260"/>
      <w:bookmarkEnd w:id="261"/>
      <w:bookmarkEnd w:id="262"/>
      <w:r w:rsidRPr="009664BA">
        <w:t xml:space="preserve">: TFP </w:t>
      </w:r>
      <w:r w:rsidR="000143AF">
        <w:t xml:space="preserve">for a </w:t>
      </w:r>
      <w:r w:rsidR="000B6548">
        <w:t xml:space="preserve">Median Manufacturing Firm in </w:t>
      </w:r>
      <w:r w:rsidR="000143AF">
        <w:t xml:space="preserve">Lagos and </w:t>
      </w:r>
      <w:r w:rsidR="00507F70">
        <w:t xml:space="preserve">the </w:t>
      </w:r>
      <w:r w:rsidR="000B6548">
        <w:t xml:space="preserve">Other </w:t>
      </w:r>
      <w:r w:rsidR="00507F70">
        <w:t xml:space="preserve">Nigerian </w:t>
      </w:r>
      <w:r w:rsidR="000B6548">
        <w:t>Regions</w:t>
      </w:r>
      <w:bookmarkEnd w:id="263"/>
    </w:p>
    <w:p w14:paraId="0C2C0929" w14:textId="77777777" w:rsidR="00797849" w:rsidRDefault="00797849" w:rsidP="00D727BF">
      <w:pPr>
        <w:keepNext/>
        <w:tabs>
          <w:tab w:val="left" w:pos="720"/>
        </w:tabs>
        <w:spacing w:after="0"/>
      </w:pPr>
      <w:r>
        <w:rPr>
          <w:noProof/>
        </w:rPr>
        <w:drawing>
          <wp:inline distT="0" distB="0" distL="0" distR="0" wp14:anchorId="65ADEA70" wp14:editId="5C07C425">
            <wp:extent cx="6010275" cy="2438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7FBD781" w14:textId="03011CBD" w:rsidR="00797849" w:rsidRPr="001845F3" w:rsidRDefault="00797849" w:rsidP="00D727BF">
      <w:pPr>
        <w:keepNext/>
        <w:tabs>
          <w:tab w:val="left" w:pos="720"/>
        </w:tabs>
        <w:spacing w:after="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 based on data from </w:t>
      </w:r>
      <w:r w:rsidR="00C32950">
        <w:rPr>
          <w:rFonts w:cs="Times New Roman"/>
          <w:sz w:val="18"/>
          <w:szCs w:val="18"/>
        </w:rPr>
        <w:t>enterprise survey</w:t>
      </w:r>
      <w:r w:rsidR="002C6F93" w:rsidRPr="001845F3">
        <w:rPr>
          <w:rFonts w:cs="Times New Roman"/>
          <w:sz w:val="18"/>
          <w:szCs w:val="18"/>
        </w:rPr>
        <w:t xml:space="preserve"> (2014</w:t>
      </w:r>
      <w:r w:rsidR="00C869CC">
        <w:rPr>
          <w:rFonts w:ascii="Calibri" w:hAnsi="Calibri" w:cs="Times New Roman"/>
          <w:sz w:val="18"/>
          <w:szCs w:val="18"/>
        </w:rPr>
        <w:t>‒</w:t>
      </w:r>
      <w:r w:rsidR="002C6F93" w:rsidRPr="001845F3">
        <w:rPr>
          <w:rFonts w:cs="Times New Roman"/>
          <w:sz w:val="18"/>
          <w:szCs w:val="18"/>
        </w:rPr>
        <w:t xml:space="preserve">15 for Nigeria, </w:t>
      </w:r>
      <w:r w:rsidR="00C869CC">
        <w:rPr>
          <w:rFonts w:cs="Times New Roman"/>
          <w:sz w:val="18"/>
          <w:szCs w:val="18"/>
        </w:rPr>
        <w:t>l</w:t>
      </w:r>
      <w:r w:rsidR="002C6F93" w:rsidRPr="001845F3">
        <w:rPr>
          <w:rFonts w:cs="Times New Roman"/>
          <w:sz w:val="18"/>
          <w:szCs w:val="18"/>
        </w:rPr>
        <w:t>atest available year for</w:t>
      </w:r>
      <w:r w:rsidR="00FE742B" w:rsidRPr="001845F3">
        <w:rPr>
          <w:rFonts w:cs="Times New Roman"/>
          <w:sz w:val="18"/>
          <w:szCs w:val="18"/>
        </w:rPr>
        <w:t xml:space="preserve"> </w:t>
      </w:r>
      <w:r w:rsidR="002C6F93" w:rsidRPr="001845F3">
        <w:rPr>
          <w:rFonts w:cs="Times New Roman"/>
          <w:sz w:val="18"/>
          <w:szCs w:val="18"/>
        </w:rPr>
        <w:t>other countries)</w:t>
      </w:r>
      <w:r w:rsidR="000B6548" w:rsidRPr="001845F3">
        <w:rPr>
          <w:rFonts w:cs="Times New Roman"/>
          <w:sz w:val="18"/>
          <w:szCs w:val="18"/>
        </w:rPr>
        <w:t xml:space="preserve"> </w:t>
      </w:r>
      <w:r w:rsidRPr="001845F3">
        <w:rPr>
          <w:rFonts w:cs="Times New Roman"/>
          <w:sz w:val="18"/>
          <w:szCs w:val="18"/>
        </w:rPr>
        <w:t>Note:</w:t>
      </w:r>
      <w:r w:rsidR="00F428F9" w:rsidRPr="001845F3">
        <w:rPr>
          <w:rFonts w:cs="Times New Roman"/>
          <w:sz w:val="18"/>
          <w:szCs w:val="18"/>
        </w:rPr>
        <w:t xml:space="preserve"> </w:t>
      </w:r>
      <w:r w:rsidR="000B6548" w:rsidRPr="001845F3">
        <w:rPr>
          <w:rFonts w:cs="Times New Roman"/>
          <w:sz w:val="18"/>
          <w:szCs w:val="18"/>
        </w:rPr>
        <w:t>C</w:t>
      </w:r>
      <w:r w:rsidRPr="001845F3">
        <w:rPr>
          <w:rFonts w:cs="Times New Roman"/>
          <w:sz w:val="18"/>
          <w:szCs w:val="18"/>
        </w:rPr>
        <w:t>ountry estimates are from LAD regressions.</w:t>
      </w:r>
      <w:r w:rsidR="00F428F9" w:rsidRPr="001845F3">
        <w:rPr>
          <w:rFonts w:cs="Times New Roman"/>
          <w:sz w:val="18"/>
          <w:szCs w:val="18"/>
        </w:rPr>
        <w:t xml:space="preserve"> </w:t>
      </w:r>
    </w:p>
    <w:p w14:paraId="4B6DC407" w14:textId="77777777" w:rsidR="00550DF7" w:rsidRDefault="00550DF7" w:rsidP="00D727BF">
      <w:pPr>
        <w:tabs>
          <w:tab w:val="left" w:pos="720"/>
        </w:tabs>
        <w:spacing w:after="0"/>
      </w:pPr>
    </w:p>
    <w:p w14:paraId="507DC822" w14:textId="5CB83428" w:rsidR="00FA370B" w:rsidRPr="00797849" w:rsidRDefault="00B04107" w:rsidP="00D727BF">
      <w:pPr>
        <w:pStyle w:val="Heading3"/>
        <w:numPr>
          <w:ilvl w:val="0"/>
          <w:numId w:val="0"/>
        </w:numPr>
        <w:tabs>
          <w:tab w:val="left" w:pos="720"/>
        </w:tabs>
        <w:spacing w:before="0"/>
        <w:ind w:left="187" w:hanging="187"/>
        <w:jc w:val="center"/>
      </w:pPr>
      <w:r>
        <w:t xml:space="preserve">The </w:t>
      </w:r>
      <w:r w:rsidR="00507F70">
        <w:t>Nigerian manufacturing secto</w:t>
      </w:r>
      <w:r>
        <w:t xml:space="preserve">r, </w:t>
      </w:r>
      <w:r w:rsidR="00507F70">
        <w:t xml:space="preserve">noncompetitive </w:t>
      </w:r>
      <w:r w:rsidR="000B6548">
        <w:t xml:space="preserve">relative </w:t>
      </w:r>
      <w:r w:rsidR="00507F70">
        <w:t>to other countries</w:t>
      </w:r>
    </w:p>
    <w:p w14:paraId="04739FAA" w14:textId="60497C0E" w:rsidR="00507F70" w:rsidRDefault="00C869CC" w:rsidP="00D727BF">
      <w:pPr>
        <w:pStyle w:val="ParagraphNumbering"/>
        <w:numPr>
          <w:ilvl w:val="0"/>
          <w:numId w:val="0"/>
        </w:numPr>
        <w:tabs>
          <w:tab w:val="left" w:pos="720"/>
        </w:tabs>
        <w:spacing w:after="240"/>
      </w:pPr>
      <w:r>
        <w:rPr>
          <w:b/>
        </w:rPr>
        <w:tab/>
      </w:r>
      <w:r w:rsidR="00560563" w:rsidRPr="00FE742B">
        <w:rPr>
          <w:b/>
        </w:rPr>
        <w:t>Unit labor costs are relatively high in Nigeria compared to other African countries.</w:t>
      </w:r>
      <w:r w:rsidR="00560563">
        <w:rPr>
          <w:b/>
        </w:rPr>
        <w:t xml:space="preserve"> </w:t>
      </w:r>
      <w:r w:rsidR="00560563" w:rsidRPr="00414E57">
        <w:t xml:space="preserve">The median firm </w:t>
      </w:r>
      <w:r w:rsidR="00560563">
        <w:t xml:space="preserve">in Nigeria </w:t>
      </w:r>
      <w:r w:rsidR="00560563" w:rsidRPr="00414E57">
        <w:t xml:space="preserve">has unit labor costs equal to </w:t>
      </w:r>
      <w:r w:rsidR="00560563">
        <w:t>approximately</w:t>
      </w:r>
      <w:r w:rsidR="00560563" w:rsidRPr="00414E57">
        <w:t xml:space="preserve"> 31 percent of output (</w:t>
      </w:r>
      <w:r w:rsidR="002B728F">
        <w:fldChar w:fldCharType="begin"/>
      </w:r>
      <w:r w:rsidR="002B728F">
        <w:instrText xml:space="preserve"> REF _Ref445132147 \h </w:instrText>
      </w:r>
      <w:r w:rsidR="002B728F">
        <w:fldChar w:fldCharType="separate"/>
      </w:r>
      <w:r>
        <w:t>f</w:t>
      </w:r>
      <w:r w:rsidR="008A3BBD" w:rsidRPr="00507F70">
        <w:t xml:space="preserve">igure </w:t>
      </w:r>
      <w:r w:rsidR="008A3BBD">
        <w:rPr>
          <w:noProof/>
        </w:rPr>
        <w:t>52</w:t>
      </w:r>
      <w:r w:rsidR="002B728F">
        <w:fldChar w:fldCharType="end"/>
      </w:r>
      <w:r w:rsidR="00560563" w:rsidRPr="00414E57">
        <w:t xml:space="preserve">). </w:t>
      </w:r>
      <w:r w:rsidR="00560563">
        <w:t xml:space="preserve">Only </w:t>
      </w:r>
      <w:r w:rsidR="00560563" w:rsidRPr="00414E57">
        <w:t>Côte d</w:t>
      </w:r>
      <w:r w:rsidR="00863D16">
        <w:t>’</w:t>
      </w:r>
      <w:r w:rsidR="00560563" w:rsidRPr="00414E57">
        <w:t>Ivoire (34 percent) and South Africa (45 percent, which is particularly high</w:t>
      </w:r>
      <w:r w:rsidR="00380BED">
        <w:t>)</w:t>
      </w:r>
      <w:r w:rsidR="00560563" w:rsidRPr="007B54FC">
        <w:rPr>
          <w:vertAlign w:val="superscript"/>
        </w:rPr>
        <w:footnoteReference w:id="45"/>
      </w:r>
      <w:r w:rsidR="00560563">
        <w:t xml:space="preserve"> possess </w:t>
      </w:r>
      <w:r w:rsidR="00560563" w:rsidRPr="00414E57">
        <w:t>higher unit labor costs. Nigeria</w:t>
      </w:r>
      <w:r w:rsidR="00863D16">
        <w:t>’</w:t>
      </w:r>
      <w:r w:rsidR="00560563" w:rsidRPr="00414E57">
        <w:t xml:space="preserve">s unit labor costs compare more favorably with those in the BRIC economies. They are only slightly higher </w:t>
      </w:r>
      <w:r w:rsidR="00560563">
        <w:t xml:space="preserve">than </w:t>
      </w:r>
      <w:r w:rsidR="00560563" w:rsidRPr="00414E57">
        <w:t>in China (27 percent), comparable with India and Brazil (31 and 33 percent</w:t>
      </w:r>
      <w:r w:rsidR="00560563">
        <w:t>, respectively</w:t>
      </w:r>
      <w:r w:rsidR="00560563" w:rsidRPr="00414E57">
        <w:t>), and lower than in Russia (41 percent)</w:t>
      </w:r>
      <w:r w:rsidR="00507F70">
        <w:t xml:space="preserve">. </w:t>
      </w:r>
    </w:p>
    <w:p w14:paraId="36EFFAAF" w14:textId="7F098064" w:rsidR="00550DF7" w:rsidRDefault="00C869CC" w:rsidP="00D727BF">
      <w:pPr>
        <w:pStyle w:val="ParagraphNumbering"/>
        <w:numPr>
          <w:ilvl w:val="0"/>
          <w:numId w:val="0"/>
        </w:numPr>
        <w:tabs>
          <w:tab w:val="left" w:pos="720"/>
        </w:tabs>
      </w:pPr>
      <w:r>
        <w:rPr>
          <w:b/>
        </w:rPr>
        <w:tab/>
      </w:r>
      <w:r w:rsidR="00560563" w:rsidRPr="00FE742B">
        <w:rPr>
          <w:b/>
        </w:rPr>
        <w:t>Unit labor costs differ substantially across Nigeria.</w:t>
      </w:r>
      <w:r w:rsidR="00560563" w:rsidRPr="00414E57">
        <w:rPr>
          <w:b/>
        </w:rPr>
        <w:t xml:space="preserve"> </w:t>
      </w:r>
      <w:r w:rsidR="00560563" w:rsidRPr="00414E57">
        <w:t>In Kano</w:t>
      </w:r>
      <w:r w:rsidR="00560563">
        <w:t xml:space="preserve">, </w:t>
      </w:r>
      <w:r w:rsidR="00560563" w:rsidRPr="00414E57">
        <w:t>Kaduna</w:t>
      </w:r>
      <w:r>
        <w:t>,</w:t>
      </w:r>
      <w:r w:rsidR="00560563" w:rsidRPr="00414E57">
        <w:t xml:space="preserve"> and </w:t>
      </w:r>
      <w:r w:rsidR="00560563">
        <w:t xml:space="preserve">the rest of the </w:t>
      </w:r>
      <w:r>
        <w:t>s</w:t>
      </w:r>
      <w:r w:rsidR="00560563" w:rsidRPr="00414E57">
        <w:t>outh</w:t>
      </w:r>
      <w:r w:rsidR="00560563">
        <w:t>ern states</w:t>
      </w:r>
      <w:r w:rsidR="00560563" w:rsidRPr="00414E57">
        <w:t xml:space="preserve">, </w:t>
      </w:r>
      <w:r w:rsidR="00560563">
        <w:t xml:space="preserve">unit labor costs </w:t>
      </w:r>
      <w:r w:rsidR="00560563" w:rsidRPr="00414E57">
        <w:t xml:space="preserve">are comparable to countries with the lowest </w:t>
      </w:r>
      <w:r w:rsidR="00560563">
        <w:t xml:space="preserve">measures </w:t>
      </w:r>
      <w:r w:rsidR="00560563" w:rsidRPr="00414E57">
        <w:t>(</w:t>
      </w:r>
      <w:r>
        <w:t>f</w:t>
      </w:r>
      <w:r w:rsidR="00FD31C6">
        <w:t>igure 5</w:t>
      </w:r>
      <w:r w:rsidR="00FC562B">
        <w:t>3</w:t>
      </w:r>
      <w:r w:rsidR="00B35CEC">
        <w:t>)</w:t>
      </w:r>
      <w:r>
        <w:t>,</w:t>
      </w:r>
      <w:r w:rsidR="00B35CEC">
        <w:t xml:space="preserve"> and TFP is not that low compared to Lagos, which suggests a comparative advantage of these states</w:t>
      </w:r>
      <w:r w:rsidR="00560563" w:rsidRPr="00414E57">
        <w:t xml:space="preserve">. Although productivity is low in other </w:t>
      </w:r>
      <w:r>
        <w:t>n</w:t>
      </w:r>
      <w:r w:rsidR="00560563" w:rsidRPr="00414E57">
        <w:t xml:space="preserve">orthern provinces, unit labor costs remain </w:t>
      </w:r>
      <w:r w:rsidR="00B35CEC">
        <w:t xml:space="preserve">also </w:t>
      </w:r>
      <w:r w:rsidR="00560563" w:rsidRPr="00414E57">
        <w:t>relatively modest</w:t>
      </w:r>
      <w:r w:rsidR="00560563">
        <w:t>, which</w:t>
      </w:r>
      <w:r w:rsidR="00560563" w:rsidRPr="00414E57">
        <w:t xml:space="preserve"> suggests that wages are relatively low in </w:t>
      </w:r>
      <w:r w:rsidR="002A2158">
        <w:t xml:space="preserve">the north </w:t>
      </w:r>
      <w:r w:rsidR="00560563" w:rsidRPr="00414E57">
        <w:t xml:space="preserve">compared to other states. In contrast, unit labor costs </w:t>
      </w:r>
      <w:r w:rsidR="00560563">
        <w:t xml:space="preserve">in Lagos </w:t>
      </w:r>
      <w:r w:rsidR="00560563" w:rsidRPr="00414E57">
        <w:t>are high; at 57 percent, they are higher than in any comparator country including South Africa</w:t>
      </w:r>
      <w:r>
        <w:t>,</w:t>
      </w:r>
      <w:r w:rsidR="00B35CEC">
        <w:t xml:space="preserve"> which is not the case for TFP</w:t>
      </w:r>
      <w:r w:rsidR="00560563" w:rsidRPr="00414E57">
        <w:t xml:space="preserve">. This indicates that labor costs in Lagos are too high compared to TFP. As a result, </w:t>
      </w:r>
      <w:r w:rsidR="00B35CEC">
        <w:t>firms</w:t>
      </w:r>
      <w:r w:rsidR="00560563" w:rsidRPr="00414E57">
        <w:t xml:space="preserve"> in Lagos </w:t>
      </w:r>
      <w:r w:rsidR="00B35CEC">
        <w:t>do not appear</w:t>
      </w:r>
      <w:r w:rsidR="00560563" w:rsidRPr="00414E57">
        <w:t xml:space="preserve"> competitive when compared to other countries</w:t>
      </w:r>
      <w:r w:rsidR="009B300B">
        <w:t>.</w:t>
      </w:r>
    </w:p>
    <w:p w14:paraId="200562FD" w14:textId="72522463" w:rsidR="00C869CC" w:rsidRDefault="00C869CC">
      <w:pPr>
        <w:rPr>
          <w:rFonts w:eastAsia="Times New Roman" w:cs="Times New Roman"/>
          <w:bCs/>
          <w:szCs w:val="24"/>
        </w:rPr>
      </w:pPr>
      <w:r>
        <w:br w:type="page"/>
      </w:r>
    </w:p>
    <w:p w14:paraId="544ACD9E" w14:textId="77777777" w:rsidR="00C869CC" w:rsidRDefault="00C869CC" w:rsidP="00D727BF">
      <w:pPr>
        <w:pStyle w:val="ParagraphNumbering"/>
        <w:numPr>
          <w:ilvl w:val="0"/>
          <w:numId w:val="0"/>
        </w:numPr>
        <w:tabs>
          <w:tab w:val="left" w:pos="720"/>
        </w:tabs>
      </w:pPr>
    </w:p>
    <w:p w14:paraId="4514C48A" w14:textId="0781B5CD" w:rsidR="000143AF" w:rsidRPr="00507F70" w:rsidRDefault="000143AF" w:rsidP="00D727BF">
      <w:pPr>
        <w:pStyle w:val="Caption"/>
        <w:tabs>
          <w:tab w:val="left" w:pos="720"/>
        </w:tabs>
        <w:jc w:val="center"/>
      </w:pPr>
      <w:bookmarkStart w:id="264" w:name="_Ref359075011"/>
      <w:bookmarkStart w:id="265" w:name="_Ref431670394"/>
      <w:bookmarkStart w:id="266" w:name="_Ref444428719"/>
      <w:bookmarkStart w:id="267" w:name="_Ref445132147"/>
      <w:bookmarkStart w:id="268" w:name="_Toc445449670"/>
      <w:r w:rsidRPr="00507F70">
        <w:t xml:space="preserve">Figure </w:t>
      </w:r>
      <w:fldSimple w:instr=" SEQ Figure \* ARABIC ">
        <w:r w:rsidR="008A3BBD">
          <w:rPr>
            <w:noProof/>
          </w:rPr>
          <w:t>52</w:t>
        </w:r>
      </w:fldSimple>
      <w:bookmarkEnd w:id="264"/>
      <w:bookmarkEnd w:id="265"/>
      <w:bookmarkEnd w:id="266"/>
      <w:bookmarkEnd w:id="267"/>
      <w:r w:rsidRPr="00507F70">
        <w:t xml:space="preserve">: Unit </w:t>
      </w:r>
      <w:r w:rsidR="00B067BB">
        <w:t>L</w:t>
      </w:r>
      <w:r w:rsidRPr="00507F70">
        <w:t xml:space="preserve">abor </w:t>
      </w:r>
      <w:r w:rsidR="00B067BB">
        <w:t>C</w:t>
      </w:r>
      <w:r w:rsidRPr="00507F70">
        <w:t>osts</w:t>
      </w:r>
      <w:r w:rsidR="00507F70">
        <w:t xml:space="preserve"> </w:t>
      </w:r>
      <w:r w:rsidR="004F7FBE">
        <w:t xml:space="preserve">in </w:t>
      </w:r>
      <w:r w:rsidR="00B067BB">
        <w:t>M</w:t>
      </w:r>
      <w:r w:rsidR="004F7FBE">
        <w:t>anufacturing</w:t>
      </w:r>
      <w:r w:rsidR="00B067BB">
        <w:t>—</w:t>
      </w:r>
      <w:r w:rsidR="00507F70">
        <w:t xml:space="preserve">Nigeria and </w:t>
      </w:r>
      <w:r w:rsidR="00B067BB">
        <w:t>I</w:t>
      </w:r>
      <w:r w:rsidR="00507F70">
        <w:t xml:space="preserve">ts </w:t>
      </w:r>
      <w:r w:rsidR="00B067BB">
        <w:t>C</w:t>
      </w:r>
      <w:r w:rsidR="00507F70">
        <w:t xml:space="preserve">omparator </w:t>
      </w:r>
      <w:r w:rsidR="00B067BB">
        <w:t>C</w:t>
      </w:r>
      <w:r w:rsidR="00507F70">
        <w:t>ountries</w:t>
      </w:r>
      <w:bookmarkEnd w:id="268"/>
    </w:p>
    <w:p w14:paraId="48C4B24E" w14:textId="77777777" w:rsidR="000143AF" w:rsidRPr="00507F70" w:rsidRDefault="000143AF" w:rsidP="00D727BF">
      <w:pPr>
        <w:keepNext/>
        <w:tabs>
          <w:tab w:val="left" w:pos="720"/>
        </w:tabs>
        <w:spacing w:after="0"/>
        <w:rPr>
          <w:rFonts w:ascii="Trebuchet MS" w:hAnsi="Trebuchet MS"/>
        </w:rPr>
      </w:pPr>
      <w:r w:rsidRPr="00507F70">
        <w:rPr>
          <w:rFonts w:ascii="Trebuchet MS" w:hAnsi="Trebuchet MS"/>
          <w:noProof/>
        </w:rPr>
        <w:drawing>
          <wp:inline distT="0" distB="0" distL="0" distR="0" wp14:anchorId="30FCAA24" wp14:editId="3F0059B6">
            <wp:extent cx="5962650" cy="2362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CF941D0" w14:textId="1B22A88F" w:rsidR="000143AF" w:rsidRPr="001845F3" w:rsidRDefault="000143AF" w:rsidP="00D727BF">
      <w:pPr>
        <w:keepNext/>
        <w:tabs>
          <w:tab w:val="left" w:pos="720"/>
        </w:tabs>
        <w:spacing w:after="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w:t>
      </w:r>
      <w:r w:rsidR="00A2010F" w:rsidRPr="001845F3">
        <w:rPr>
          <w:rFonts w:cs="Times New Roman"/>
          <w:sz w:val="18"/>
          <w:szCs w:val="18"/>
        </w:rPr>
        <w:t>s</w:t>
      </w:r>
      <w:r w:rsidRPr="001845F3">
        <w:rPr>
          <w:rFonts w:cs="Times New Roman"/>
          <w:sz w:val="18"/>
          <w:szCs w:val="18"/>
        </w:rPr>
        <w:t xml:space="preserve"> based on data from </w:t>
      </w:r>
      <w:r w:rsidR="00C32950">
        <w:rPr>
          <w:rFonts w:cs="Times New Roman"/>
          <w:sz w:val="18"/>
          <w:szCs w:val="18"/>
        </w:rPr>
        <w:t>enterprise survey</w:t>
      </w:r>
      <w:r w:rsidR="002C6F93" w:rsidRPr="001845F3">
        <w:rPr>
          <w:rFonts w:cs="Times New Roman"/>
          <w:sz w:val="18"/>
          <w:szCs w:val="18"/>
        </w:rPr>
        <w:t xml:space="preserve"> (2014</w:t>
      </w:r>
      <w:r w:rsidR="00B067BB">
        <w:rPr>
          <w:rFonts w:ascii="Calibri" w:hAnsi="Calibri" w:cs="Times New Roman"/>
          <w:sz w:val="18"/>
          <w:szCs w:val="18"/>
        </w:rPr>
        <w:t>‒</w:t>
      </w:r>
      <w:r w:rsidR="002C6F93" w:rsidRPr="001845F3">
        <w:rPr>
          <w:rFonts w:cs="Times New Roman"/>
          <w:sz w:val="18"/>
          <w:szCs w:val="18"/>
        </w:rPr>
        <w:t xml:space="preserve">15 for Nigeria, </w:t>
      </w:r>
      <w:r w:rsidR="00B067BB">
        <w:rPr>
          <w:rFonts w:cs="Times New Roman"/>
          <w:sz w:val="18"/>
          <w:szCs w:val="18"/>
        </w:rPr>
        <w:t>l</w:t>
      </w:r>
      <w:r w:rsidR="002C6F93" w:rsidRPr="001845F3">
        <w:rPr>
          <w:rFonts w:cs="Times New Roman"/>
          <w:sz w:val="18"/>
          <w:szCs w:val="18"/>
        </w:rPr>
        <w:t xml:space="preserve">atest available year for other countries) </w:t>
      </w:r>
    </w:p>
    <w:p w14:paraId="523AD724" w14:textId="1BA9448D" w:rsidR="00FC562B" w:rsidRDefault="000143AF" w:rsidP="00D727BF">
      <w:pPr>
        <w:tabs>
          <w:tab w:val="left" w:pos="720"/>
        </w:tabs>
        <w:spacing w:after="0"/>
        <w:rPr>
          <w:rFonts w:cs="Times New Roman"/>
          <w:sz w:val="18"/>
          <w:szCs w:val="18"/>
        </w:rPr>
      </w:pPr>
      <w:r w:rsidRPr="001845F3">
        <w:rPr>
          <w:rFonts w:cs="Times New Roman"/>
          <w:sz w:val="18"/>
          <w:szCs w:val="18"/>
        </w:rPr>
        <w:t>Note:</w:t>
      </w:r>
      <w:r w:rsidR="00F428F9" w:rsidRPr="001845F3">
        <w:rPr>
          <w:rFonts w:cs="Times New Roman"/>
          <w:sz w:val="18"/>
          <w:szCs w:val="18"/>
        </w:rPr>
        <w:t xml:space="preserve"> </w:t>
      </w:r>
      <w:r w:rsidRPr="001845F3">
        <w:rPr>
          <w:rFonts w:cs="Times New Roman"/>
          <w:sz w:val="18"/>
          <w:szCs w:val="18"/>
        </w:rPr>
        <w:t>Unit labor costs are the ratio of labor costs to labor productivity.</w:t>
      </w:r>
      <w:r w:rsidR="00F428F9" w:rsidRPr="001845F3">
        <w:rPr>
          <w:rFonts w:cs="Times New Roman"/>
          <w:sz w:val="18"/>
          <w:szCs w:val="18"/>
        </w:rPr>
        <w:t xml:space="preserve"> </w:t>
      </w:r>
      <w:r w:rsidRPr="001845F3">
        <w:rPr>
          <w:rFonts w:cs="Times New Roman"/>
          <w:sz w:val="18"/>
          <w:szCs w:val="18"/>
        </w:rPr>
        <w:t xml:space="preserve">See </w:t>
      </w:r>
      <w:r w:rsidR="00B067BB">
        <w:rPr>
          <w:rFonts w:cs="Times New Roman"/>
          <w:sz w:val="18"/>
          <w:szCs w:val="18"/>
        </w:rPr>
        <w:t>a</w:t>
      </w:r>
      <w:r w:rsidR="00A2010F" w:rsidRPr="001845F3">
        <w:rPr>
          <w:rFonts w:cs="Times New Roman"/>
          <w:sz w:val="18"/>
          <w:szCs w:val="18"/>
        </w:rPr>
        <w:t>nnex 3</w:t>
      </w:r>
      <w:r w:rsidRPr="001845F3">
        <w:rPr>
          <w:rFonts w:cs="Times New Roman"/>
          <w:sz w:val="18"/>
          <w:szCs w:val="18"/>
        </w:rPr>
        <w:t xml:space="preserve"> for details. </w:t>
      </w:r>
      <w:bookmarkStart w:id="269" w:name="_Ref428727290"/>
      <w:bookmarkStart w:id="270" w:name="_Ref444428743"/>
      <w:bookmarkStart w:id="271" w:name="_Ref445132160"/>
    </w:p>
    <w:p w14:paraId="123CC3AA" w14:textId="77777777" w:rsidR="00FC562B" w:rsidRDefault="00FC562B" w:rsidP="00D727BF">
      <w:pPr>
        <w:tabs>
          <w:tab w:val="left" w:pos="720"/>
        </w:tabs>
        <w:spacing w:after="0"/>
        <w:rPr>
          <w:rFonts w:cs="Times New Roman"/>
          <w:sz w:val="18"/>
          <w:szCs w:val="18"/>
        </w:rPr>
      </w:pPr>
    </w:p>
    <w:p w14:paraId="2D266D62" w14:textId="108A2668" w:rsidR="000143AF" w:rsidRPr="00914FD1" w:rsidRDefault="000143AF" w:rsidP="00D727BF">
      <w:pPr>
        <w:pStyle w:val="Caption"/>
        <w:tabs>
          <w:tab w:val="left" w:pos="720"/>
        </w:tabs>
        <w:jc w:val="center"/>
      </w:pPr>
      <w:bookmarkStart w:id="272" w:name="_Toc445449671"/>
      <w:r w:rsidRPr="00914FD1">
        <w:t xml:space="preserve">Figure </w:t>
      </w:r>
      <w:fldSimple w:instr=" SEQ Figure \* ARABIC ">
        <w:r w:rsidR="008A3BBD">
          <w:rPr>
            <w:noProof/>
          </w:rPr>
          <w:t>53</w:t>
        </w:r>
      </w:fldSimple>
      <w:bookmarkEnd w:id="269"/>
      <w:bookmarkEnd w:id="270"/>
      <w:bookmarkEnd w:id="271"/>
      <w:r w:rsidRPr="00914FD1">
        <w:t xml:space="preserve">: Unit </w:t>
      </w:r>
      <w:r w:rsidR="00B067BB">
        <w:t>L</w:t>
      </w:r>
      <w:r w:rsidRPr="00914FD1">
        <w:t xml:space="preserve">abor </w:t>
      </w:r>
      <w:r w:rsidR="00B067BB">
        <w:t>C</w:t>
      </w:r>
      <w:r w:rsidRPr="00914FD1">
        <w:t xml:space="preserve">osts </w:t>
      </w:r>
      <w:r w:rsidR="004F7FBE">
        <w:t xml:space="preserve">in </w:t>
      </w:r>
      <w:r w:rsidR="00B067BB">
        <w:t>M</w:t>
      </w:r>
      <w:r w:rsidR="004F7FBE">
        <w:t>anufacturing</w:t>
      </w:r>
      <w:r w:rsidR="00B067BB">
        <w:t>—</w:t>
      </w:r>
      <w:r w:rsidR="00507F70">
        <w:t xml:space="preserve">Lagos and the </w:t>
      </w:r>
      <w:r w:rsidR="00B067BB">
        <w:t>O</w:t>
      </w:r>
      <w:r w:rsidR="00507F70">
        <w:t xml:space="preserve">ther Nigerian </w:t>
      </w:r>
      <w:r w:rsidR="00B067BB">
        <w:t>R</w:t>
      </w:r>
      <w:r w:rsidR="00507F70">
        <w:t>egions</w:t>
      </w:r>
      <w:bookmarkEnd w:id="272"/>
    </w:p>
    <w:p w14:paraId="363F1F98" w14:textId="77777777" w:rsidR="000143AF" w:rsidRDefault="000143AF" w:rsidP="00D727BF">
      <w:pPr>
        <w:keepNext/>
        <w:tabs>
          <w:tab w:val="left" w:pos="720"/>
        </w:tabs>
        <w:spacing w:after="0"/>
      </w:pPr>
      <w:r>
        <w:rPr>
          <w:noProof/>
        </w:rPr>
        <w:drawing>
          <wp:inline distT="0" distB="0" distL="0" distR="0" wp14:anchorId="79EE1FCD" wp14:editId="3F46F7A1">
            <wp:extent cx="5962650" cy="22764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EABDFA3" w14:textId="7A2F425D" w:rsidR="000143AF" w:rsidRPr="001845F3" w:rsidRDefault="000143AF" w:rsidP="00D727BF">
      <w:pPr>
        <w:keepNext/>
        <w:tabs>
          <w:tab w:val="left" w:pos="720"/>
        </w:tabs>
        <w:spacing w:after="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Authors</w:t>
      </w:r>
      <w:r w:rsidR="00863D16">
        <w:rPr>
          <w:rFonts w:cs="Times New Roman"/>
          <w:sz w:val="18"/>
          <w:szCs w:val="18"/>
        </w:rPr>
        <w:t>’</w:t>
      </w:r>
      <w:r w:rsidRPr="001845F3">
        <w:rPr>
          <w:rFonts w:cs="Times New Roman"/>
          <w:sz w:val="18"/>
          <w:szCs w:val="18"/>
        </w:rPr>
        <w:t xml:space="preserve"> calculation</w:t>
      </w:r>
      <w:r w:rsidR="00A2010F" w:rsidRPr="001845F3">
        <w:rPr>
          <w:rFonts w:cs="Times New Roman"/>
          <w:sz w:val="18"/>
          <w:szCs w:val="18"/>
        </w:rPr>
        <w:t>s</w:t>
      </w:r>
      <w:r w:rsidRPr="001845F3">
        <w:rPr>
          <w:rFonts w:cs="Times New Roman"/>
          <w:sz w:val="18"/>
          <w:szCs w:val="18"/>
        </w:rPr>
        <w:t xml:space="preserve"> based on data from </w:t>
      </w:r>
      <w:r w:rsidR="00C32950">
        <w:rPr>
          <w:rFonts w:cs="Times New Roman"/>
          <w:sz w:val="18"/>
          <w:szCs w:val="18"/>
        </w:rPr>
        <w:t>enterprise survey</w:t>
      </w:r>
      <w:r w:rsidR="001A7BC2" w:rsidRPr="001845F3">
        <w:rPr>
          <w:rFonts w:cs="Times New Roman"/>
          <w:sz w:val="18"/>
          <w:szCs w:val="18"/>
        </w:rPr>
        <w:t xml:space="preserve"> 2014</w:t>
      </w:r>
      <w:r w:rsidR="00B067BB">
        <w:rPr>
          <w:rFonts w:ascii="Calibri" w:hAnsi="Calibri" w:cs="Times New Roman"/>
          <w:sz w:val="18"/>
          <w:szCs w:val="18"/>
        </w:rPr>
        <w:t>‒</w:t>
      </w:r>
      <w:r w:rsidR="001A7BC2" w:rsidRPr="001845F3">
        <w:rPr>
          <w:rFonts w:cs="Times New Roman"/>
          <w:sz w:val="18"/>
          <w:szCs w:val="18"/>
        </w:rPr>
        <w:t>15</w:t>
      </w:r>
    </w:p>
    <w:p w14:paraId="12AF4CC1" w14:textId="0211DEAD" w:rsidR="000143AF" w:rsidRPr="001845F3" w:rsidRDefault="000143AF" w:rsidP="00D727BF">
      <w:pPr>
        <w:tabs>
          <w:tab w:val="left" w:pos="720"/>
        </w:tabs>
        <w:spacing w:after="0"/>
        <w:rPr>
          <w:rFonts w:cs="Times New Roman"/>
          <w:sz w:val="18"/>
          <w:szCs w:val="18"/>
        </w:rPr>
      </w:pPr>
      <w:r w:rsidRPr="001845F3">
        <w:rPr>
          <w:rFonts w:cs="Times New Roman"/>
          <w:sz w:val="18"/>
          <w:szCs w:val="18"/>
        </w:rPr>
        <w:t>Note:</w:t>
      </w:r>
      <w:r w:rsidR="00F428F9" w:rsidRPr="001845F3">
        <w:rPr>
          <w:rFonts w:cs="Times New Roman"/>
          <w:sz w:val="18"/>
          <w:szCs w:val="18"/>
        </w:rPr>
        <w:t xml:space="preserve"> </w:t>
      </w:r>
      <w:r w:rsidRPr="001845F3">
        <w:rPr>
          <w:rFonts w:cs="Times New Roman"/>
          <w:sz w:val="18"/>
          <w:szCs w:val="18"/>
        </w:rPr>
        <w:t>Unit labor costs are the ratio of labor costs to labor productivity.</w:t>
      </w:r>
      <w:r w:rsidR="00F428F9" w:rsidRPr="001845F3">
        <w:rPr>
          <w:rFonts w:cs="Times New Roman"/>
          <w:sz w:val="18"/>
          <w:szCs w:val="18"/>
        </w:rPr>
        <w:t xml:space="preserve"> </w:t>
      </w:r>
      <w:r w:rsidRPr="001845F3">
        <w:rPr>
          <w:rFonts w:cs="Times New Roman"/>
          <w:sz w:val="18"/>
          <w:szCs w:val="18"/>
        </w:rPr>
        <w:t xml:space="preserve">See </w:t>
      </w:r>
      <w:r w:rsidR="00B067BB">
        <w:rPr>
          <w:rFonts w:cs="Times New Roman"/>
          <w:sz w:val="18"/>
          <w:szCs w:val="18"/>
        </w:rPr>
        <w:t>a</w:t>
      </w:r>
      <w:r w:rsidR="00A2010F" w:rsidRPr="001845F3">
        <w:rPr>
          <w:rFonts w:cs="Times New Roman"/>
          <w:sz w:val="18"/>
          <w:szCs w:val="18"/>
        </w:rPr>
        <w:t xml:space="preserve">nnex </w:t>
      </w:r>
      <w:r w:rsidR="00507F70" w:rsidRPr="001845F3">
        <w:rPr>
          <w:rFonts w:cs="Times New Roman"/>
          <w:sz w:val="18"/>
          <w:szCs w:val="18"/>
        </w:rPr>
        <w:t xml:space="preserve">3 </w:t>
      </w:r>
      <w:r w:rsidR="00A2010F" w:rsidRPr="001845F3">
        <w:rPr>
          <w:rFonts w:cs="Times New Roman"/>
          <w:sz w:val="18"/>
          <w:szCs w:val="18"/>
        </w:rPr>
        <w:t>f</w:t>
      </w:r>
      <w:r w:rsidRPr="001845F3">
        <w:rPr>
          <w:rFonts w:cs="Times New Roman"/>
          <w:sz w:val="18"/>
          <w:szCs w:val="18"/>
        </w:rPr>
        <w:t xml:space="preserve">or details. </w:t>
      </w:r>
    </w:p>
    <w:p w14:paraId="0FEDADFB" w14:textId="77777777" w:rsidR="00550DF7" w:rsidRDefault="00550DF7" w:rsidP="00D727BF">
      <w:pPr>
        <w:tabs>
          <w:tab w:val="left" w:pos="720"/>
        </w:tabs>
        <w:spacing w:after="0"/>
      </w:pPr>
    </w:p>
    <w:p w14:paraId="104435F3" w14:textId="77777777" w:rsidR="00BB51EA" w:rsidRDefault="00BB51EA" w:rsidP="00D727BF">
      <w:pPr>
        <w:tabs>
          <w:tab w:val="left" w:pos="720"/>
        </w:tabs>
        <w:spacing w:after="0"/>
      </w:pPr>
    </w:p>
    <w:p w14:paraId="7E7B1179" w14:textId="085E2583" w:rsidR="00550DF7" w:rsidRPr="00550DF7" w:rsidRDefault="005124CE" w:rsidP="00D727BF">
      <w:pPr>
        <w:pStyle w:val="Heading3"/>
        <w:numPr>
          <w:ilvl w:val="0"/>
          <w:numId w:val="0"/>
        </w:numPr>
        <w:tabs>
          <w:tab w:val="left" w:pos="720"/>
        </w:tabs>
        <w:jc w:val="center"/>
      </w:pPr>
      <w:r>
        <w:t>Nigerian manufacturing firms are underinvesting, in particular in the North</w:t>
      </w:r>
    </w:p>
    <w:p w14:paraId="4B5FB644" w14:textId="28DF9808" w:rsidR="00550DF7" w:rsidRDefault="00B067BB" w:rsidP="00D727BF">
      <w:pPr>
        <w:pStyle w:val="ParagraphNumbering"/>
        <w:numPr>
          <w:ilvl w:val="0"/>
          <w:numId w:val="0"/>
        </w:numPr>
        <w:tabs>
          <w:tab w:val="left" w:pos="720"/>
        </w:tabs>
        <w:spacing w:after="240"/>
      </w:pPr>
      <w:r>
        <w:tab/>
      </w:r>
      <w:r w:rsidR="00550DF7">
        <w:t>Capital productivity is the ratio of value added to the value of machinery and equipment.</w:t>
      </w:r>
      <w:r w:rsidR="005F06ED">
        <w:t xml:space="preserve"> </w:t>
      </w:r>
      <w:r w:rsidR="00550DF7">
        <w:t>It measures how productively firms use capital.</w:t>
      </w:r>
      <w:r w:rsidR="005F06ED">
        <w:t xml:space="preserve"> </w:t>
      </w:r>
      <w:r w:rsidR="00550DF7">
        <w:t xml:space="preserve">One advantage that capital productivity has over </w:t>
      </w:r>
      <w:r w:rsidR="00082473">
        <w:t>TFP</w:t>
      </w:r>
      <w:r w:rsidR="00550DF7">
        <w:t xml:space="preserve"> is that capital productivity is not affected by exchange rate variables.</w:t>
      </w:r>
      <w:r w:rsidR="005F06ED">
        <w:t xml:space="preserve"> </w:t>
      </w:r>
      <w:r w:rsidR="00550DF7">
        <w:t>Because value</w:t>
      </w:r>
      <w:r>
        <w:t xml:space="preserve"> </w:t>
      </w:r>
      <w:r w:rsidR="00550DF7">
        <w:t>added and capital are both measured in local currency, the ratio between the two is unit</w:t>
      </w:r>
      <w:r>
        <w:t xml:space="preserve"> </w:t>
      </w:r>
      <w:r w:rsidR="00550DF7">
        <w:t>free (the currency units in the top and bottom effectively cancel each other out).</w:t>
      </w:r>
      <w:r w:rsidR="005F06ED">
        <w:t xml:space="preserve"> </w:t>
      </w:r>
      <w:r w:rsidR="00550DF7">
        <w:t xml:space="preserve">As a result, unlike </w:t>
      </w:r>
      <w:r w:rsidR="00082473">
        <w:t>TFP</w:t>
      </w:r>
      <w:r w:rsidR="00550DF7">
        <w:t>, capital productivity will not change when external factors affect exchange rates.</w:t>
      </w:r>
      <w:r w:rsidR="005F06ED">
        <w:t xml:space="preserve"> </w:t>
      </w:r>
    </w:p>
    <w:p w14:paraId="31E03309" w14:textId="16CC62D3" w:rsidR="00550DF7" w:rsidRDefault="00B067BB" w:rsidP="00D727BF">
      <w:pPr>
        <w:pStyle w:val="ParagraphNumbering"/>
        <w:numPr>
          <w:ilvl w:val="0"/>
          <w:numId w:val="0"/>
        </w:numPr>
        <w:tabs>
          <w:tab w:val="left" w:pos="720"/>
        </w:tabs>
        <w:spacing w:after="240"/>
      </w:pPr>
      <w:r>
        <w:lastRenderedPageBreak/>
        <w:tab/>
      </w:r>
      <w:r w:rsidR="00550DF7">
        <w:t xml:space="preserve">Capital productivity is higher in firms that produce </w:t>
      </w:r>
      <w:r w:rsidR="00082473">
        <w:t>high</w:t>
      </w:r>
      <w:r w:rsidR="00550DF7">
        <w:t xml:space="preserve"> output </w:t>
      </w:r>
      <w:r w:rsidR="00082473">
        <w:t xml:space="preserve">volumes </w:t>
      </w:r>
      <w:r w:rsidR="00550DF7">
        <w:t xml:space="preserve">with only a small </w:t>
      </w:r>
      <w:r w:rsidR="00082473">
        <w:t xml:space="preserve">allocation </w:t>
      </w:r>
      <w:r w:rsidR="00550DF7">
        <w:t>of machinery and equipment. Because capital productivity does not take labor into account, capital productivity will tend to be higher in firms and countries where production is highly labor</w:t>
      </w:r>
      <w:r>
        <w:t xml:space="preserve"> </w:t>
      </w:r>
      <w:r w:rsidR="00550DF7">
        <w:t>intensive (</w:t>
      </w:r>
      <w:r w:rsidR="00327100">
        <w:t>for example</w:t>
      </w:r>
      <w:r w:rsidR="00550DF7">
        <w:t>, firms that rely relatively heavily on labor to produce their output).</w:t>
      </w:r>
      <w:r w:rsidR="005F06ED">
        <w:t xml:space="preserve"> </w:t>
      </w:r>
      <w:r w:rsidR="00550DF7">
        <w:t>Thus, although high capital productivity might indicate that firms use capital efficiently, it might instead simply indicate that firms are highly labor</w:t>
      </w:r>
      <w:r>
        <w:t xml:space="preserve"> </w:t>
      </w:r>
      <w:r w:rsidR="00550DF7">
        <w:t>intensive.</w:t>
      </w:r>
      <w:r w:rsidR="005F06ED">
        <w:t xml:space="preserve"> </w:t>
      </w:r>
    </w:p>
    <w:p w14:paraId="2B877AB4" w14:textId="53B85C8E" w:rsidR="00550DF7" w:rsidRDefault="00B067BB" w:rsidP="00D727BF">
      <w:pPr>
        <w:pStyle w:val="ParagraphNumbering"/>
        <w:numPr>
          <w:ilvl w:val="0"/>
          <w:numId w:val="0"/>
        </w:numPr>
        <w:tabs>
          <w:tab w:val="left" w:pos="720"/>
        </w:tabs>
        <w:spacing w:after="240"/>
      </w:pPr>
      <w:r>
        <w:rPr>
          <w:b/>
        </w:rPr>
        <w:tab/>
      </w:r>
      <w:r w:rsidR="00550DF7" w:rsidRPr="00550DF7">
        <w:rPr>
          <w:b/>
        </w:rPr>
        <w:t>Capital productivity is high in Nigeria.</w:t>
      </w:r>
      <w:r w:rsidR="005F06ED">
        <w:t xml:space="preserve"> </w:t>
      </w:r>
      <w:r w:rsidR="00550DF7">
        <w:t>For the median firm in Nigeria, value</w:t>
      </w:r>
      <w:r>
        <w:t xml:space="preserve"> </w:t>
      </w:r>
      <w:r w:rsidR="00550DF7">
        <w:t>added is equal to about 524 percent of the sales value of capital in Nigeria (</w:t>
      </w:r>
      <w:r w:rsidR="00550DF7" w:rsidRPr="002E02B0">
        <w:t xml:space="preserve">see </w:t>
      </w:r>
      <w:r w:rsidR="002B728F">
        <w:fldChar w:fldCharType="begin"/>
      </w:r>
      <w:r w:rsidR="002B728F">
        <w:instrText xml:space="preserve"> REF _Ref445132178 \h </w:instrText>
      </w:r>
      <w:r w:rsidR="002B728F">
        <w:fldChar w:fldCharType="separate"/>
      </w:r>
      <w:r>
        <w:t>f</w:t>
      </w:r>
      <w:r w:rsidR="008A3BBD" w:rsidRPr="00161A9D">
        <w:t xml:space="preserve">igure </w:t>
      </w:r>
      <w:r w:rsidR="008A3BBD">
        <w:rPr>
          <w:noProof/>
        </w:rPr>
        <w:t>54</w:t>
      </w:r>
      <w:r w:rsidR="002B728F">
        <w:fldChar w:fldCharType="end"/>
      </w:r>
      <w:r w:rsidR="00550DF7" w:rsidRPr="002E02B0">
        <w:t>).</w:t>
      </w:r>
      <w:r w:rsidR="005F06ED">
        <w:t xml:space="preserve"> </w:t>
      </w:r>
      <w:r w:rsidR="00550DF7">
        <w:t>In comparison, capital productivity is only about 164 percent in Russia, about 252 percent in India</w:t>
      </w:r>
      <w:r w:rsidR="00082473">
        <w:t>,</w:t>
      </w:r>
      <w:r w:rsidR="00550DF7">
        <w:t xml:space="preserve"> and 256 percent in China.</w:t>
      </w:r>
      <w:r w:rsidR="005F06ED">
        <w:t xml:space="preserve"> </w:t>
      </w:r>
      <w:r w:rsidR="00550DF7">
        <w:t>In fact, capital productivity is twice as high in Nigeria as in any of the comparator countries.</w:t>
      </w:r>
    </w:p>
    <w:p w14:paraId="677CEE51" w14:textId="3422D0FC" w:rsidR="00550DF7" w:rsidRDefault="00B067BB" w:rsidP="00D727BF">
      <w:pPr>
        <w:pStyle w:val="ParagraphNumbering"/>
        <w:numPr>
          <w:ilvl w:val="0"/>
          <w:numId w:val="0"/>
        </w:numPr>
        <w:tabs>
          <w:tab w:val="left" w:pos="720"/>
        </w:tabs>
        <w:spacing w:after="240"/>
      </w:pPr>
      <w:r>
        <w:rPr>
          <w:b/>
        </w:rPr>
        <w:tab/>
      </w:r>
      <w:r w:rsidR="00550DF7" w:rsidRPr="00550DF7">
        <w:rPr>
          <w:b/>
        </w:rPr>
        <w:t xml:space="preserve">Nigerian manufacturing firms </w:t>
      </w:r>
      <w:r w:rsidR="00082473">
        <w:rPr>
          <w:b/>
        </w:rPr>
        <w:t>are not big investors</w:t>
      </w:r>
      <w:r w:rsidR="00550DF7" w:rsidRPr="00550DF7">
        <w:rPr>
          <w:b/>
        </w:rPr>
        <w:t>.</w:t>
      </w:r>
      <w:r w:rsidR="005F06ED">
        <w:t xml:space="preserve"> </w:t>
      </w:r>
      <w:r w:rsidR="00550DF7">
        <w:t xml:space="preserve">One </w:t>
      </w:r>
      <w:r w:rsidR="00082473">
        <w:t xml:space="preserve">possible explanation for </w:t>
      </w:r>
      <w:r w:rsidR="00550DF7">
        <w:t>high capital productivity in Nigeria is that firms have substituted labor for capital.</w:t>
      </w:r>
      <w:r w:rsidR="005F06ED">
        <w:t xml:space="preserve"> </w:t>
      </w:r>
      <w:r w:rsidR="00550DF7">
        <w:t>If this were the case, however, we would expect unit labor costs to also be very high.</w:t>
      </w:r>
      <w:r w:rsidR="005F06ED">
        <w:t xml:space="preserve"> </w:t>
      </w:r>
      <w:r w:rsidR="00550DF7">
        <w:t xml:space="preserve">In practice, although unit labor costs </w:t>
      </w:r>
      <w:r w:rsidR="00082473">
        <w:t xml:space="preserve">in Nigeria </w:t>
      </w:r>
      <w:r w:rsidR="00550DF7">
        <w:t xml:space="preserve">are higher than in several </w:t>
      </w:r>
      <w:r w:rsidR="00082473">
        <w:t xml:space="preserve">other </w:t>
      </w:r>
      <w:r w:rsidR="00550DF7">
        <w:t>countries in Sub-Saharan Africa, they are not exceptionally high.</w:t>
      </w:r>
      <w:r w:rsidR="005F06ED">
        <w:t xml:space="preserve"> </w:t>
      </w:r>
      <w:r w:rsidR="00550DF7">
        <w:t>The other possib</w:t>
      </w:r>
      <w:r w:rsidR="00082473">
        <w:t>le explanation</w:t>
      </w:r>
      <w:r w:rsidR="00550DF7">
        <w:t xml:space="preserve"> is that Nigerian firms are underinvesting.</w:t>
      </w:r>
      <w:r w:rsidR="005F06ED">
        <w:t xml:space="preserve"> </w:t>
      </w:r>
      <w:r w:rsidR="00550DF7">
        <w:t>That is, although capital appears productive in Nigeria, firms do not appear to be investing much.</w:t>
      </w:r>
      <w:r w:rsidR="005F06ED">
        <w:t xml:space="preserve"> </w:t>
      </w:r>
    </w:p>
    <w:p w14:paraId="15E4EDD1" w14:textId="0263284B" w:rsidR="00CE4844" w:rsidRDefault="00B067BB" w:rsidP="004E78E7">
      <w:pPr>
        <w:pStyle w:val="ParagraphNumbering"/>
        <w:numPr>
          <w:ilvl w:val="0"/>
          <w:numId w:val="0"/>
        </w:numPr>
        <w:tabs>
          <w:tab w:val="left" w:pos="720"/>
        </w:tabs>
        <w:spacing w:after="240"/>
      </w:pPr>
      <w:r>
        <w:rPr>
          <w:b/>
        </w:rPr>
        <w:tab/>
      </w:r>
      <w:r w:rsidR="00550DF7" w:rsidRPr="00D707F1">
        <w:rPr>
          <w:b/>
        </w:rPr>
        <w:t>Why would firms underinvest in Nigeria?</w:t>
      </w:r>
      <w:r w:rsidR="00550DF7">
        <w:t xml:space="preserve"> One possible explanation for this is that firms might underinvest because they think long-term investment is risky.</w:t>
      </w:r>
      <w:r w:rsidR="005F06ED">
        <w:t xml:space="preserve"> </w:t>
      </w:r>
      <w:r w:rsidR="00550DF7">
        <w:t>Political risk, for example, might discourage firms from investing.</w:t>
      </w:r>
      <w:r w:rsidR="005F06ED">
        <w:t xml:space="preserve"> </w:t>
      </w:r>
      <w:r w:rsidR="00550DF7">
        <w:t>Similarly, previous studies have found that corruption can discourage investment</w:t>
      </w:r>
      <w:r>
        <w:t>;</w:t>
      </w:r>
      <w:r w:rsidR="00082473">
        <w:t xml:space="preserve"> </w:t>
      </w:r>
      <w:r w:rsidR="00550DF7">
        <w:t xml:space="preserve">firms that are highly capital intensive are more vulnerable to corruption than firms that are highly labor intensive </w:t>
      </w:r>
      <w:r w:rsidR="00550DF7">
        <w:fldChar w:fldCharType="begin"/>
      </w:r>
      <w:r w:rsidR="00550DF7">
        <w:instrText xml:space="preserve"> ADDIN EN.CITE &lt;EndNote&gt;&lt;Cite&gt;&lt;Author&gt;Svensson&lt;/Author&gt;&lt;Year&gt;2003&lt;/Year&gt;&lt;RecNum&gt;1500&lt;/RecNum&gt;&lt;DisplayText&gt;(Svensson, 2003)&lt;/DisplayText&gt;&lt;record&gt;&lt;rec-number&gt;1500&lt;/rec-number&gt;&lt;foreign-keys&gt;&lt;key app="EN" db-id="a2axxpp0vxrx2ye0waextew499dexfxaa0v9"&gt;1500&lt;/key&gt;&lt;/foreign-keys&gt;&lt;ref-type name="Journal Article"&gt;17&lt;/ref-type&gt;&lt;contributors&gt;&lt;authors&gt;&lt;author&gt;Svensson, Jakob&lt;/author&gt;&lt;/authors&gt;&lt;/contributors&gt;&lt;titles&gt;&lt;title&gt;Who Must Pay Bribes and How Much? Evidence from a Cross Section of Firms&lt;/title&gt;&lt;secondary-title&gt;Quarterly Journal of Economics&lt;/secondary-title&gt;&lt;/titles&gt;&lt;periodical&gt;&lt;full-title&gt;Quarterly Journal of Economics&lt;/full-title&gt;&lt;/periodical&gt;&lt;pages&gt;207-230&lt;/pages&gt;&lt;volume&gt;118&lt;/volume&gt;&lt;number&gt;1&lt;/number&gt;&lt;reprint-edition&gt;NOT IN FILE&lt;/reprint-edition&gt;&lt;dates&gt;&lt;year&gt;2003&lt;/year&gt;&lt;/dates&gt;&lt;urls&gt;&lt;related-urls&gt;&lt;url&gt;http://dx.doi.org/ doi:10.1162/00335530360535180&lt;/url&gt;&lt;/related-urls&gt;&lt;/urls&gt;&lt;/record&gt;&lt;/Cite&gt;&lt;/EndNote&gt;</w:instrText>
      </w:r>
      <w:r w:rsidR="00550DF7">
        <w:fldChar w:fldCharType="separate"/>
      </w:r>
      <w:r w:rsidR="00550DF7">
        <w:t>(</w:t>
      </w:r>
      <w:hyperlink w:anchor="_ENREF_31" w:tooltip="Svensson, 2003 #1500" w:history="1">
        <w:r w:rsidR="00550DF7">
          <w:t>Svensson, 2003</w:t>
        </w:r>
      </w:hyperlink>
      <w:r w:rsidR="00550DF7">
        <w:t>)</w:t>
      </w:r>
      <w:r w:rsidR="00550DF7">
        <w:fldChar w:fldCharType="end"/>
      </w:r>
      <w:r w:rsidR="00550DF7">
        <w:t>.</w:t>
      </w:r>
      <w:r w:rsidR="005F06ED">
        <w:t xml:space="preserve"> </w:t>
      </w:r>
      <w:r w:rsidR="00550DF7">
        <w:t xml:space="preserve">Finally, when financial markets are underdeveloped, firms might underinvest because they have to finance investment with internal </w:t>
      </w:r>
      <w:r w:rsidR="00082473">
        <w:t>sources of capital</w:t>
      </w:r>
      <w:r w:rsidR="00550DF7">
        <w:t xml:space="preserve">. </w:t>
      </w:r>
      <w:r w:rsidR="00082473" w:rsidRPr="00414E57">
        <w:t xml:space="preserve">As discussed in the next section, Nigerian firms </w:t>
      </w:r>
      <w:r w:rsidR="00082473">
        <w:t>cite</w:t>
      </w:r>
      <w:r w:rsidR="00082473" w:rsidRPr="00414E57">
        <w:t xml:space="preserve"> corruption, political instability, and access to finance (see section above)</w:t>
      </w:r>
      <w:r w:rsidR="00082473">
        <w:t xml:space="preserve"> as the biggest constraints to doing business</w:t>
      </w:r>
      <w:r w:rsidR="00082473" w:rsidRPr="00414E57">
        <w:t>.</w:t>
      </w:r>
      <w:r w:rsidR="005F06ED">
        <w:t xml:space="preserve"> </w:t>
      </w:r>
      <w:r w:rsidR="00082473">
        <w:t>Together,</w:t>
      </w:r>
      <w:r w:rsidR="00082473" w:rsidRPr="00414E57">
        <w:t xml:space="preserve"> these </w:t>
      </w:r>
      <w:r w:rsidR="00082473">
        <w:t xml:space="preserve">constraints may </w:t>
      </w:r>
      <w:r w:rsidR="00082473" w:rsidRPr="00414E57">
        <w:t xml:space="preserve">discourage </w:t>
      </w:r>
      <w:r w:rsidR="00082473">
        <w:t>investment by Nigerian firms and</w:t>
      </w:r>
      <w:r w:rsidR="00082473" w:rsidRPr="00414E57">
        <w:t xml:space="preserve">, </w:t>
      </w:r>
      <w:r w:rsidR="00082473">
        <w:t xml:space="preserve">somewhat artificially, produce a high </w:t>
      </w:r>
      <w:r w:rsidR="00082473" w:rsidRPr="00414E57">
        <w:t xml:space="preserve">capital productivity </w:t>
      </w:r>
      <w:r w:rsidR="00082473">
        <w:t>measure</w:t>
      </w:r>
      <w:r w:rsidR="00082473" w:rsidRPr="00414E57">
        <w:t>.</w:t>
      </w:r>
      <w:r w:rsidR="00082473">
        <w:t xml:space="preserve"> </w:t>
      </w:r>
      <w:bookmarkStart w:id="273" w:name="_Ref359004743"/>
    </w:p>
    <w:p w14:paraId="2E9DA08C" w14:textId="77777777" w:rsidR="00CE4844" w:rsidRDefault="00CE4844">
      <w:pPr>
        <w:rPr>
          <w:rFonts w:eastAsia="Times New Roman" w:cs="Times New Roman"/>
          <w:bCs/>
          <w:szCs w:val="24"/>
        </w:rPr>
      </w:pPr>
      <w:r>
        <w:br w:type="page"/>
      </w:r>
    </w:p>
    <w:p w14:paraId="374D4CB7" w14:textId="78DFDAD2" w:rsidR="00550DF7" w:rsidRPr="00161A9D" w:rsidRDefault="00550DF7" w:rsidP="00D727BF">
      <w:pPr>
        <w:pStyle w:val="Caption"/>
        <w:tabs>
          <w:tab w:val="left" w:pos="720"/>
        </w:tabs>
      </w:pPr>
      <w:bookmarkStart w:id="274" w:name="_Ref445132178"/>
      <w:bookmarkStart w:id="275" w:name="_Toc445449672"/>
      <w:r w:rsidRPr="00161A9D">
        <w:lastRenderedPageBreak/>
        <w:t xml:space="preserve">Figure </w:t>
      </w:r>
      <w:fldSimple w:instr=" SEQ Figure \* ARABIC ">
        <w:r w:rsidR="008A3BBD">
          <w:rPr>
            <w:noProof/>
          </w:rPr>
          <w:t>54</w:t>
        </w:r>
      </w:fldSimple>
      <w:bookmarkEnd w:id="273"/>
      <w:bookmarkEnd w:id="274"/>
      <w:r w:rsidRPr="00161A9D">
        <w:t xml:space="preserve">: Capital </w:t>
      </w:r>
      <w:r w:rsidR="00C0582E">
        <w:t>P</w:t>
      </w:r>
      <w:r w:rsidRPr="00161A9D">
        <w:t xml:space="preserve">roductivity is </w:t>
      </w:r>
      <w:r w:rsidR="00C0582E">
        <w:t>H</w:t>
      </w:r>
      <w:r w:rsidRPr="00161A9D">
        <w:t xml:space="preserve">igh </w:t>
      </w:r>
      <w:r w:rsidR="00C0582E">
        <w:t>C</w:t>
      </w:r>
      <w:r w:rsidRPr="00161A9D">
        <w:t>o</w:t>
      </w:r>
      <w:r>
        <w:t xml:space="preserve">mpared to the </w:t>
      </w:r>
      <w:r w:rsidR="00C0582E">
        <w:t>C</w:t>
      </w:r>
      <w:r>
        <w:t xml:space="preserve">omparator </w:t>
      </w:r>
      <w:r w:rsidR="00C0582E">
        <w:t>C</w:t>
      </w:r>
      <w:r>
        <w:t>ountries</w:t>
      </w:r>
      <w:bookmarkEnd w:id="275"/>
    </w:p>
    <w:p w14:paraId="2B84E611" w14:textId="77777777" w:rsidR="00550DF7" w:rsidRDefault="00550DF7" w:rsidP="00D727BF">
      <w:pPr>
        <w:keepNext/>
        <w:tabs>
          <w:tab w:val="left" w:pos="720"/>
        </w:tabs>
        <w:spacing w:after="60"/>
      </w:pPr>
      <w:r>
        <w:rPr>
          <w:noProof/>
        </w:rPr>
        <w:drawing>
          <wp:inline distT="0" distB="0" distL="0" distR="0" wp14:anchorId="0E55767D" wp14:editId="3812126E">
            <wp:extent cx="5943600" cy="3155539"/>
            <wp:effectExtent l="0" t="0" r="0" b="6985"/>
            <wp:docPr id="6145" name="Chart 6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47AEEFF" w14:textId="247223DB" w:rsidR="00550DF7" w:rsidRPr="001845F3" w:rsidRDefault="00550DF7" w:rsidP="00D727BF">
      <w:pPr>
        <w:tabs>
          <w:tab w:val="left" w:pos="720"/>
        </w:tabs>
        <w:spacing w:after="120"/>
        <w:rPr>
          <w:sz w:val="18"/>
          <w:szCs w:val="18"/>
        </w:rPr>
      </w:pPr>
      <w:r w:rsidRPr="001845F3">
        <w:rPr>
          <w:sz w:val="18"/>
          <w:szCs w:val="18"/>
        </w:rPr>
        <w:t>Source:</w:t>
      </w:r>
      <w:r w:rsidR="005F06ED" w:rsidRPr="001845F3">
        <w:rPr>
          <w:sz w:val="18"/>
          <w:szCs w:val="18"/>
        </w:rPr>
        <w:t xml:space="preserve"> </w:t>
      </w:r>
      <w:r w:rsidRPr="001845F3">
        <w:rPr>
          <w:sz w:val="18"/>
          <w:szCs w:val="18"/>
        </w:rPr>
        <w:t>Authors</w:t>
      </w:r>
      <w:r w:rsidR="00C0582E">
        <w:rPr>
          <w:sz w:val="18"/>
          <w:szCs w:val="18"/>
        </w:rPr>
        <w:t>’</w:t>
      </w:r>
      <w:r w:rsidRPr="001845F3">
        <w:rPr>
          <w:sz w:val="18"/>
          <w:szCs w:val="18"/>
        </w:rPr>
        <w:t xml:space="preserve"> calculation based on data from World Bank </w:t>
      </w:r>
      <w:r w:rsidR="00C32950">
        <w:rPr>
          <w:sz w:val="18"/>
          <w:szCs w:val="18"/>
        </w:rPr>
        <w:t>enterprise surveys</w:t>
      </w:r>
    </w:p>
    <w:p w14:paraId="1B2F77CB" w14:textId="29D42562" w:rsidR="00550DF7" w:rsidRPr="001845F3" w:rsidRDefault="00550DF7" w:rsidP="00D727BF">
      <w:pPr>
        <w:tabs>
          <w:tab w:val="left" w:pos="720"/>
        </w:tabs>
        <w:spacing w:after="0"/>
        <w:rPr>
          <w:sz w:val="18"/>
          <w:szCs w:val="18"/>
        </w:rPr>
      </w:pPr>
      <w:r w:rsidRPr="001845F3">
        <w:rPr>
          <w:sz w:val="18"/>
          <w:szCs w:val="18"/>
        </w:rPr>
        <w:t>Note:</w:t>
      </w:r>
      <w:r w:rsidR="005F06ED" w:rsidRPr="001845F3">
        <w:rPr>
          <w:sz w:val="18"/>
          <w:szCs w:val="18"/>
        </w:rPr>
        <w:t xml:space="preserve"> </w:t>
      </w:r>
      <w:r w:rsidRPr="001845F3">
        <w:rPr>
          <w:sz w:val="18"/>
          <w:szCs w:val="18"/>
        </w:rPr>
        <w:t>See appendix for details.</w:t>
      </w:r>
      <w:r w:rsidR="005F06ED" w:rsidRPr="001845F3">
        <w:rPr>
          <w:sz w:val="18"/>
          <w:szCs w:val="18"/>
        </w:rPr>
        <w:t xml:space="preserve"> </w:t>
      </w:r>
      <w:r w:rsidRPr="001845F3">
        <w:rPr>
          <w:sz w:val="18"/>
          <w:szCs w:val="18"/>
        </w:rPr>
        <w:t>All data points are for the median firm on each measure of performance</w:t>
      </w:r>
      <w:r w:rsidR="00C0582E">
        <w:rPr>
          <w:sz w:val="18"/>
          <w:szCs w:val="18"/>
        </w:rPr>
        <w:t>.</w:t>
      </w:r>
    </w:p>
    <w:p w14:paraId="6D718E79" w14:textId="77777777" w:rsidR="005124CE" w:rsidRDefault="005124CE" w:rsidP="00D727BF">
      <w:pPr>
        <w:tabs>
          <w:tab w:val="left" w:pos="720"/>
        </w:tabs>
        <w:spacing w:after="0"/>
      </w:pPr>
    </w:p>
    <w:p w14:paraId="5D335DB3" w14:textId="07F59BA1" w:rsidR="00753564" w:rsidRDefault="00C0582E" w:rsidP="00C0582E">
      <w:pPr>
        <w:pStyle w:val="ParagraphNumbering"/>
        <w:numPr>
          <w:ilvl w:val="0"/>
          <w:numId w:val="0"/>
        </w:numPr>
        <w:tabs>
          <w:tab w:val="left" w:pos="720"/>
        </w:tabs>
        <w:spacing w:after="240"/>
        <w:rPr>
          <w:noProof/>
        </w:rPr>
      </w:pPr>
      <w:r>
        <w:rPr>
          <w:b/>
        </w:rPr>
        <w:tab/>
      </w:r>
      <w:r w:rsidR="005124CE" w:rsidRPr="005124CE">
        <w:rPr>
          <w:b/>
        </w:rPr>
        <w:t>The problem seems to be more acute in the northern part of Nigeria.</w:t>
      </w:r>
      <w:r w:rsidR="005124CE">
        <w:t xml:space="preserve"> Capital productivity appears to be particularly high in </w:t>
      </w:r>
      <w:r w:rsidR="00942839">
        <w:t>Kano/Kaduna</w:t>
      </w:r>
      <w:r w:rsidR="005124CE">
        <w:t xml:space="preserve"> and in the other </w:t>
      </w:r>
      <w:r>
        <w:t>n</w:t>
      </w:r>
      <w:r w:rsidR="005124CE">
        <w:t>orthern states.</w:t>
      </w:r>
      <w:r w:rsidR="005F06ED">
        <w:t xml:space="preserve"> </w:t>
      </w:r>
      <w:r w:rsidR="005124CE">
        <w:t xml:space="preserve">Whereas capital productivity is close to 200 percent in Lagos and the other </w:t>
      </w:r>
      <w:r>
        <w:t>s</w:t>
      </w:r>
      <w:r w:rsidR="005124CE">
        <w:t>outhern states</w:t>
      </w:r>
      <w:r w:rsidR="0049050E">
        <w:t>—</w:t>
      </w:r>
      <w:r w:rsidR="005124CE">
        <w:t>similar to the other comparator countries</w:t>
      </w:r>
      <w:r>
        <w:t>—</w:t>
      </w:r>
      <w:r w:rsidR="005124CE">
        <w:t>capital productivity is exceptionally high in Kano and Kaduna (1</w:t>
      </w:r>
      <w:r w:rsidR="00082473">
        <w:t>,</w:t>
      </w:r>
      <w:r w:rsidR="005124CE">
        <w:t>233 percent) and the other northern states (700 percent).</w:t>
      </w:r>
      <w:r w:rsidR="005F06ED">
        <w:t xml:space="preserve"> </w:t>
      </w:r>
      <w:r w:rsidR="005124CE">
        <w:t xml:space="preserve">This could be because firms in these regions are particularly averse to making long-term investments. As shown previously, </w:t>
      </w:r>
      <w:r>
        <w:t>N</w:t>
      </w:r>
      <w:r w:rsidR="005124CE">
        <w:t>igerian firms</w:t>
      </w:r>
      <w:r w:rsidR="00EE3726">
        <w:t xml:space="preserve"> in </w:t>
      </w:r>
      <w:r w:rsidR="002A2158">
        <w:t xml:space="preserve">the north </w:t>
      </w:r>
      <w:r w:rsidR="00082473">
        <w:t>are more likely than firms</w:t>
      </w:r>
      <w:r w:rsidR="00EE3726">
        <w:t xml:space="preserve"> in </w:t>
      </w:r>
      <w:r w:rsidR="002A2158">
        <w:t xml:space="preserve">the south </w:t>
      </w:r>
      <w:r w:rsidR="00082473">
        <w:t xml:space="preserve">to be concerned with </w:t>
      </w:r>
      <w:r w:rsidR="005124CE">
        <w:t>corruption, political instability, and access to finance.</w:t>
      </w:r>
      <w:r w:rsidR="00AC4E9B" w:rsidRPr="00AC4E9B">
        <w:rPr>
          <w:noProof/>
        </w:rPr>
        <w:t xml:space="preserve"> </w:t>
      </w:r>
    </w:p>
    <w:p w14:paraId="0E1C91EE" w14:textId="77777777" w:rsidR="00753564" w:rsidRDefault="00753564">
      <w:pPr>
        <w:rPr>
          <w:rFonts w:eastAsia="Times New Roman" w:cs="Times New Roman"/>
          <w:bCs/>
          <w:noProof/>
          <w:szCs w:val="24"/>
        </w:rPr>
      </w:pPr>
      <w:r>
        <w:rPr>
          <w:noProof/>
        </w:rPr>
        <w:br w:type="page"/>
      </w:r>
    </w:p>
    <w:p w14:paraId="69823AC7" w14:textId="77777777" w:rsidR="00753564" w:rsidRPr="00E756A6" w:rsidRDefault="00753564" w:rsidP="00753564">
      <w:pPr>
        <w:rPr>
          <w:b/>
        </w:rPr>
      </w:pPr>
      <w:r>
        <w:rPr>
          <w:b/>
        </w:rPr>
        <w:lastRenderedPageBreak/>
        <w:t>Case Study Two: Golden Age Group in Niger State</w:t>
      </w:r>
    </w:p>
    <w:p w14:paraId="4415D9C8" w14:textId="2CC94926" w:rsidR="00753564" w:rsidRPr="00F87BDE" w:rsidRDefault="00753564" w:rsidP="00D727BF">
      <w:pPr>
        <w:pStyle w:val="Heading8"/>
        <w:tabs>
          <w:tab w:val="clear" w:pos="5400"/>
          <w:tab w:val="left" w:pos="360"/>
        </w:tabs>
        <w:ind w:left="0"/>
        <w:jc w:val="left"/>
      </w:pPr>
      <w:r>
        <w:t xml:space="preserve">(a) </w:t>
      </w:r>
      <w:r w:rsidRPr="00F87BDE">
        <w:t>History and Ownership</w:t>
      </w:r>
    </w:p>
    <w:p w14:paraId="1550A04E" w14:textId="55F7BC8C" w:rsidR="00753564" w:rsidRPr="0040425C" w:rsidRDefault="00753564" w:rsidP="00753564">
      <w:pPr>
        <w:spacing w:line="276" w:lineRule="auto"/>
        <w:rPr>
          <w:rFonts w:cs="Times New Roman"/>
        </w:rPr>
      </w:pPr>
      <w:r w:rsidRPr="0040425C">
        <w:rPr>
          <w:rFonts w:cs="Times New Roman"/>
        </w:rPr>
        <w:t xml:space="preserve">Golden Age Group consists of a water company, </w:t>
      </w:r>
      <w:r>
        <w:rPr>
          <w:rFonts w:cs="Times New Roman"/>
        </w:rPr>
        <w:t xml:space="preserve">a </w:t>
      </w:r>
      <w:r w:rsidRPr="0040425C">
        <w:rPr>
          <w:rFonts w:cs="Times New Roman"/>
        </w:rPr>
        <w:t>printing services</w:t>
      </w:r>
      <w:r>
        <w:rPr>
          <w:rFonts w:cs="Times New Roman"/>
        </w:rPr>
        <w:t xml:space="preserve"> business,</w:t>
      </w:r>
      <w:r w:rsidRPr="0040425C">
        <w:rPr>
          <w:rFonts w:cs="Times New Roman"/>
        </w:rPr>
        <w:t xml:space="preserve"> and </w:t>
      </w:r>
      <w:r>
        <w:rPr>
          <w:rFonts w:cs="Times New Roman"/>
        </w:rPr>
        <w:t xml:space="preserve">a </w:t>
      </w:r>
      <w:r w:rsidRPr="0040425C">
        <w:rPr>
          <w:rFonts w:cs="Times New Roman"/>
        </w:rPr>
        <w:t>water machinery import</w:t>
      </w:r>
      <w:r>
        <w:rPr>
          <w:rFonts w:cs="Times New Roman"/>
        </w:rPr>
        <w:t>ing business</w:t>
      </w:r>
      <w:r w:rsidRPr="0040425C">
        <w:rPr>
          <w:rFonts w:cs="Times New Roman"/>
        </w:rPr>
        <w:t>. Golden Age started operating in September 2007</w:t>
      </w:r>
      <w:r>
        <w:rPr>
          <w:rFonts w:cs="Times New Roman"/>
        </w:rPr>
        <w:t>,</w:t>
      </w:r>
      <w:r w:rsidRPr="0040425C">
        <w:rPr>
          <w:rFonts w:cs="Times New Roman"/>
        </w:rPr>
        <w:t xml:space="preserve"> producing sachet water for local resellers in Niger State. After </w:t>
      </w:r>
      <w:r>
        <w:rPr>
          <w:rFonts w:cs="Times New Roman"/>
        </w:rPr>
        <w:t>three</w:t>
      </w:r>
      <w:r w:rsidRPr="0040425C">
        <w:rPr>
          <w:rFonts w:cs="Times New Roman"/>
        </w:rPr>
        <w:t xml:space="preserve"> years of operation</w:t>
      </w:r>
      <w:r>
        <w:rPr>
          <w:rFonts w:cs="Times New Roman"/>
        </w:rPr>
        <w:t>,</w:t>
      </w:r>
      <w:r w:rsidRPr="0040425C">
        <w:rPr>
          <w:rFonts w:cs="Times New Roman"/>
        </w:rPr>
        <w:t xml:space="preserve"> it advanced to producing various sizes of bottled water and printing sachets and bottle wrappers for other water producers. </w:t>
      </w:r>
    </w:p>
    <w:p w14:paraId="51229139" w14:textId="2343E553" w:rsidR="00753564" w:rsidRDefault="00753564" w:rsidP="00753564">
      <w:pPr>
        <w:spacing w:line="276" w:lineRule="auto"/>
        <w:rPr>
          <w:rFonts w:cs="Times New Roman"/>
        </w:rPr>
      </w:pPr>
      <w:r w:rsidRPr="0040425C">
        <w:rPr>
          <w:rFonts w:cs="Times New Roman"/>
        </w:rPr>
        <w:t>Mr</w:t>
      </w:r>
      <w:r>
        <w:rPr>
          <w:rFonts w:cs="Times New Roman"/>
        </w:rPr>
        <w:t>.</w:t>
      </w:r>
      <w:r w:rsidRPr="0040425C">
        <w:rPr>
          <w:rFonts w:cs="Times New Roman"/>
        </w:rPr>
        <w:t xml:space="preserve"> Chidi Anthony </w:t>
      </w:r>
      <w:r>
        <w:rPr>
          <w:rFonts w:cs="Times New Roman"/>
        </w:rPr>
        <w:t>received</w:t>
      </w:r>
      <w:r w:rsidRPr="0040425C">
        <w:rPr>
          <w:rFonts w:cs="Times New Roman"/>
        </w:rPr>
        <w:t xml:space="preserve"> a </w:t>
      </w:r>
      <w:r>
        <w:rPr>
          <w:rFonts w:cs="Times New Roman"/>
        </w:rPr>
        <w:t>b</w:t>
      </w:r>
      <w:r w:rsidRPr="0040425C">
        <w:rPr>
          <w:rFonts w:cs="Times New Roman"/>
        </w:rPr>
        <w:t>achelor</w:t>
      </w:r>
      <w:r>
        <w:rPr>
          <w:rFonts w:cs="Times New Roman"/>
        </w:rPr>
        <w:t>’s degree</w:t>
      </w:r>
      <w:r w:rsidRPr="0040425C">
        <w:rPr>
          <w:rFonts w:cs="Times New Roman"/>
        </w:rPr>
        <w:t xml:space="preserve"> in </w:t>
      </w:r>
      <w:r w:rsidR="00EE5856">
        <w:rPr>
          <w:rFonts w:cs="Times New Roman"/>
        </w:rPr>
        <w:t>s</w:t>
      </w:r>
      <w:r w:rsidRPr="0040425C">
        <w:rPr>
          <w:rFonts w:cs="Times New Roman"/>
        </w:rPr>
        <w:t xml:space="preserve">tate </w:t>
      </w:r>
      <w:r w:rsidR="00EE5856">
        <w:rPr>
          <w:rFonts w:cs="Times New Roman"/>
        </w:rPr>
        <w:t>m</w:t>
      </w:r>
      <w:r w:rsidRPr="0040425C">
        <w:rPr>
          <w:rFonts w:cs="Times New Roman"/>
        </w:rPr>
        <w:t xml:space="preserve">anagement and </w:t>
      </w:r>
      <w:r w:rsidR="00EE5856">
        <w:rPr>
          <w:rFonts w:cs="Times New Roman"/>
        </w:rPr>
        <w:t>e</w:t>
      </w:r>
      <w:r w:rsidRPr="0040425C">
        <w:rPr>
          <w:rFonts w:cs="Times New Roman"/>
        </w:rPr>
        <w:t xml:space="preserve">valuation at FUT Minna, Niger State. On graduating, he worked for </w:t>
      </w:r>
      <w:r>
        <w:rPr>
          <w:rFonts w:cs="Times New Roman"/>
        </w:rPr>
        <w:t>four</w:t>
      </w:r>
      <w:r w:rsidRPr="0040425C">
        <w:rPr>
          <w:rFonts w:cs="Times New Roman"/>
        </w:rPr>
        <w:t xml:space="preserve"> and a half years in a supermarket business before going into interior decoration. Following this, he started selling furnitur</w:t>
      </w:r>
      <w:r>
        <w:rPr>
          <w:rFonts w:cs="Times New Roman"/>
        </w:rPr>
        <w:t xml:space="preserve">e and opened his first business, </w:t>
      </w:r>
      <w:r w:rsidRPr="0040425C">
        <w:rPr>
          <w:rFonts w:cs="Times New Roman"/>
        </w:rPr>
        <w:t>the first furniture importers in Minna. He then start</w:t>
      </w:r>
      <w:r>
        <w:rPr>
          <w:rFonts w:cs="Times New Roman"/>
        </w:rPr>
        <w:t>ed</w:t>
      </w:r>
      <w:r w:rsidRPr="0040425C">
        <w:rPr>
          <w:rFonts w:cs="Times New Roman"/>
        </w:rPr>
        <w:t xml:space="preserve"> </w:t>
      </w:r>
      <w:r>
        <w:rPr>
          <w:rFonts w:cs="Times New Roman"/>
        </w:rPr>
        <w:t>Golden Age Group</w:t>
      </w:r>
      <w:r w:rsidRPr="0040425C">
        <w:rPr>
          <w:rFonts w:cs="Times New Roman"/>
        </w:rPr>
        <w:t xml:space="preserve">. The idea of </w:t>
      </w:r>
      <w:r>
        <w:rPr>
          <w:rFonts w:cs="Times New Roman"/>
        </w:rPr>
        <w:t>the w</w:t>
      </w:r>
      <w:r w:rsidRPr="0040425C">
        <w:rPr>
          <w:rFonts w:cs="Times New Roman"/>
        </w:rPr>
        <w:t xml:space="preserve">ater business came from </w:t>
      </w:r>
      <w:r>
        <w:rPr>
          <w:rFonts w:cs="Times New Roman"/>
        </w:rPr>
        <w:t xml:space="preserve">a </w:t>
      </w:r>
      <w:r w:rsidRPr="0040425C">
        <w:rPr>
          <w:rFonts w:cs="Times New Roman"/>
        </w:rPr>
        <w:t>project Mr</w:t>
      </w:r>
      <w:r>
        <w:rPr>
          <w:rFonts w:cs="Times New Roman"/>
        </w:rPr>
        <w:t>.</w:t>
      </w:r>
      <w:r w:rsidRPr="0040425C">
        <w:rPr>
          <w:rFonts w:cs="Times New Roman"/>
        </w:rPr>
        <w:t xml:space="preserve"> Anthony researched at </w:t>
      </w:r>
      <w:r w:rsidR="00EE5856">
        <w:rPr>
          <w:rFonts w:cs="Times New Roman"/>
        </w:rPr>
        <w:t xml:space="preserve">the </w:t>
      </w:r>
      <w:r w:rsidRPr="0040425C">
        <w:rPr>
          <w:rFonts w:cs="Times New Roman"/>
        </w:rPr>
        <w:t xml:space="preserve">university. </w:t>
      </w:r>
    </w:p>
    <w:p w14:paraId="362A1D16" w14:textId="40B82E14" w:rsidR="00753564" w:rsidRPr="0040425C" w:rsidRDefault="00753564" w:rsidP="00753564">
      <w:pPr>
        <w:spacing w:line="276" w:lineRule="auto"/>
        <w:rPr>
          <w:rFonts w:cs="Times New Roman"/>
        </w:rPr>
      </w:pPr>
      <w:r w:rsidRPr="0040425C">
        <w:rPr>
          <w:rFonts w:cs="Times New Roman"/>
        </w:rPr>
        <w:t>Golden Age Group was started with Mr</w:t>
      </w:r>
      <w:r w:rsidR="00EE5856">
        <w:rPr>
          <w:rFonts w:cs="Times New Roman"/>
        </w:rPr>
        <w:t>.</w:t>
      </w:r>
      <w:r w:rsidRPr="0040425C">
        <w:rPr>
          <w:rFonts w:cs="Times New Roman"/>
        </w:rPr>
        <w:t xml:space="preserve"> Anthony</w:t>
      </w:r>
      <w:r>
        <w:rPr>
          <w:rFonts w:cs="Times New Roman"/>
        </w:rPr>
        <w:t>’</w:t>
      </w:r>
      <w:r w:rsidRPr="0040425C">
        <w:rPr>
          <w:rFonts w:cs="Times New Roman"/>
        </w:rPr>
        <w:t>s own savings</w:t>
      </w:r>
      <w:r w:rsidR="00EE5856">
        <w:rPr>
          <w:rFonts w:cs="Times New Roman"/>
        </w:rPr>
        <w:t>,</w:t>
      </w:r>
      <w:r w:rsidRPr="0040425C">
        <w:rPr>
          <w:rFonts w:cs="Times New Roman"/>
        </w:rPr>
        <w:t xml:space="preserve"> so he is the only shareholder. He was very </w:t>
      </w:r>
      <w:r>
        <w:rPr>
          <w:rFonts w:cs="Times New Roman"/>
        </w:rPr>
        <w:t>wary</w:t>
      </w:r>
      <w:r w:rsidRPr="0040425C">
        <w:rPr>
          <w:rFonts w:cs="Times New Roman"/>
        </w:rPr>
        <w:t xml:space="preserve"> of borrowing from a bank. He believes they can cause problems for business as there can be competing interests. However, he recently borrowed ₦5 million from Diamond Bank in 2014 and ₦3 million from Fidelity Bank in 2015 to fund the expansion of Golden Age Group.</w:t>
      </w:r>
    </w:p>
    <w:p w14:paraId="08AAA59E" w14:textId="3553C551" w:rsidR="00753564" w:rsidRPr="00F87BDE" w:rsidRDefault="00EE5856" w:rsidP="00D727BF">
      <w:pPr>
        <w:pStyle w:val="Heading8"/>
        <w:tabs>
          <w:tab w:val="clear" w:pos="5400"/>
          <w:tab w:val="left" w:pos="360"/>
        </w:tabs>
        <w:ind w:left="0"/>
      </w:pPr>
      <w:r>
        <w:t xml:space="preserve">(b) </w:t>
      </w:r>
      <w:r w:rsidR="00753564" w:rsidRPr="00F87BDE">
        <w:t xml:space="preserve">Products </w:t>
      </w:r>
    </w:p>
    <w:p w14:paraId="15A062F6" w14:textId="1661A567" w:rsidR="00753564" w:rsidRPr="0040425C" w:rsidRDefault="00753564" w:rsidP="00753564">
      <w:pPr>
        <w:spacing w:line="276" w:lineRule="auto"/>
        <w:rPr>
          <w:rFonts w:cs="Times New Roman"/>
        </w:rPr>
      </w:pPr>
      <w:r w:rsidRPr="0040425C">
        <w:rPr>
          <w:rFonts w:cs="Times New Roman"/>
        </w:rPr>
        <w:t>The water company sells bottled and sachet water and painted rolls (printed leather for sachet</w:t>
      </w:r>
      <w:r>
        <w:rPr>
          <w:rFonts w:cs="Times New Roman"/>
        </w:rPr>
        <w:t>s</w:t>
      </w:r>
      <w:r w:rsidRPr="0040425C">
        <w:rPr>
          <w:rFonts w:cs="Times New Roman"/>
        </w:rPr>
        <w:t xml:space="preserve"> for other companies). They also sell water treatment machines and accessories imported from China. The pure water factory is the largest in Minna</w:t>
      </w:r>
      <w:r w:rsidR="00EE5856">
        <w:rPr>
          <w:rFonts w:cs="Times New Roman"/>
        </w:rPr>
        <w:t>,</w:t>
      </w:r>
      <w:r w:rsidRPr="0040425C">
        <w:rPr>
          <w:rFonts w:cs="Times New Roman"/>
        </w:rPr>
        <w:t xml:space="preserve"> and their products are available in supermarkets, eateries,</w:t>
      </w:r>
      <w:r>
        <w:rPr>
          <w:rFonts w:cs="Times New Roman"/>
        </w:rPr>
        <w:t xml:space="preserve"> and</w:t>
      </w:r>
      <w:r w:rsidRPr="0040425C">
        <w:rPr>
          <w:rFonts w:cs="Times New Roman"/>
        </w:rPr>
        <w:t xml:space="preserve"> markets across the state. They have the required NIS, NAFDAC, </w:t>
      </w:r>
      <w:r>
        <w:rPr>
          <w:rFonts w:cs="Times New Roman"/>
        </w:rPr>
        <w:t xml:space="preserve">and </w:t>
      </w:r>
      <w:r w:rsidRPr="0040425C">
        <w:rPr>
          <w:rFonts w:cs="Times New Roman"/>
        </w:rPr>
        <w:t>NESDRA certifications. The company recently updated their bottles to the industry standard. The bottled water uses industry PET with a neck size of 30</w:t>
      </w:r>
      <w:r w:rsidR="00DC7B1B">
        <w:rPr>
          <w:rFonts w:cs="Times New Roman"/>
        </w:rPr>
        <w:t xml:space="preserve"> </w:t>
      </w:r>
      <w:r w:rsidRPr="0040425C">
        <w:rPr>
          <w:rFonts w:cs="Times New Roman"/>
        </w:rPr>
        <w:t>mm (diameter).</w:t>
      </w:r>
    </w:p>
    <w:p w14:paraId="45013290" w14:textId="6339E9DA" w:rsidR="00753564" w:rsidRPr="0040425C" w:rsidRDefault="00753564" w:rsidP="00753564">
      <w:pPr>
        <w:spacing w:line="276" w:lineRule="auto"/>
        <w:rPr>
          <w:rFonts w:cs="Times New Roman"/>
        </w:rPr>
      </w:pPr>
      <w:r>
        <w:rPr>
          <w:rFonts w:cs="Times New Roman"/>
        </w:rPr>
        <w:t xml:space="preserve">A </w:t>
      </w:r>
      <w:r w:rsidR="00EE5856">
        <w:rPr>
          <w:rFonts w:cs="Times New Roman"/>
        </w:rPr>
        <w:t>five-</w:t>
      </w:r>
      <w:r>
        <w:rPr>
          <w:rFonts w:cs="Times New Roman"/>
        </w:rPr>
        <w:t xml:space="preserve">pack of bottles </w:t>
      </w:r>
      <w:r w:rsidRPr="0040425C">
        <w:rPr>
          <w:rFonts w:cs="Times New Roman"/>
        </w:rPr>
        <w:t>is</w:t>
      </w:r>
      <w:r>
        <w:rPr>
          <w:rFonts w:cs="Times New Roman"/>
        </w:rPr>
        <w:t xml:space="preserve"> priced at</w:t>
      </w:r>
      <w:r w:rsidRPr="0040425C">
        <w:rPr>
          <w:rFonts w:cs="Times New Roman"/>
        </w:rPr>
        <w:t xml:space="preserve"> ₦450</w:t>
      </w:r>
      <w:r w:rsidR="00EE5856">
        <w:rPr>
          <w:rFonts w:cs="Times New Roman"/>
        </w:rPr>
        <w:t>,</w:t>
      </w:r>
      <w:r w:rsidRPr="0040425C">
        <w:rPr>
          <w:rFonts w:cs="Times New Roman"/>
        </w:rPr>
        <w:t xml:space="preserve"> </w:t>
      </w:r>
      <w:r>
        <w:rPr>
          <w:rFonts w:cs="Times New Roman"/>
        </w:rPr>
        <w:t xml:space="preserve">while a sachet is </w:t>
      </w:r>
      <w:r w:rsidRPr="0040425C">
        <w:rPr>
          <w:rFonts w:cs="Times New Roman"/>
        </w:rPr>
        <w:t>₦70. The price</w:t>
      </w:r>
      <w:r w:rsidR="00EE5856">
        <w:rPr>
          <w:rFonts w:cs="Times New Roman"/>
        </w:rPr>
        <w:t>s</w:t>
      </w:r>
      <w:r w:rsidRPr="0040425C">
        <w:rPr>
          <w:rFonts w:cs="Times New Roman"/>
        </w:rPr>
        <w:t xml:space="preserve"> for sachets, water treatment machines</w:t>
      </w:r>
      <w:r w:rsidR="00EE5856">
        <w:rPr>
          <w:rFonts w:cs="Times New Roman"/>
        </w:rPr>
        <w:t>,</w:t>
      </w:r>
      <w:r w:rsidRPr="0040425C">
        <w:rPr>
          <w:rFonts w:cs="Times New Roman"/>
        </w:rPr>
        <w:t xml:space="preserve"> and accessories sold vary depending on what the customer requires, as they are then sourced, imported</w:t>
      </w:r>
      <w:r w:rsidR="00EE5856">
        <w:rPr>
          <w:rFonts w:cs="Times New Roman"/>
        </w:rPr>
        <w:t>,</w:t>
      </w:r>
      <w:r w:rsidRPr="0040425C">
        <w:rPr>
          <w:rFonts w:cs="Times New Roman"/>
        </w:rPr>
        <w:t xml:space="preserve"> and delivered to them.</w:t>
      </w:r>
      <w:r>
        <w:rPr>
          <w:rFonts w:cs="Times New Roman"/>
        </w:rPr>
        <w:t xml:space="preserve"> </w:t>
      </w:r>
      <w:r w:rsidRPr="0040425C">
        <w:rPr>
          <w:rFonts w:cs="Times New Roman"/>
        </w:rPr>
        <w:t>Mr</w:t>
      </w:r>
      <w:r w:rsidR="00EE5856">
        <w:rPr>
          <w:rFonts w:cs="Times New Roman"/>
        </w:rPr>
        <w:t>.</w:t>
      </w:r>
      <w:r w:rsidRPr="0040425C">
        <w:rPr>
          <w:rFonts w:cs="Times New Roman"/>
        </w:rPr>
        <w:t xml:space="preserve"> Anthony says he doesn</w:t>
      </w:r>
      <w:r>
        <w:rPr>
          <w:rFonts w:cs="Times New Roman"/>
        </w:rPr>
        <w:t>’</w:t>
      </w:r>
      <w:r w:rsidRPr="0040425C">
        <w:rPr>
          <w:rFonts w:cs="Times New Roman"/>
        </w:rPr>
        <w:t xml:space="preserve">t see any major competitors at the level he is producing at but on a larger scale, Eva and Nestle </w:t>
      </w:r>
      <w:r>
        <w:rPr>
          <w:rFonts w:cs="Times New Roman"/>
        </w:rPr>
        <w:t xml:space="preserve">are the major competition. </w:t>
      </w:r>
      <w:r w:rsidRPr="0040425C">
        <w:rPr>
          <w:rFonts w:cs="Times New Roman"/>
        </w:rPr>
        <w:t>He believes he controls about 55</w:t>
      </w:r>
      <w:r w:rsidR="00EE5856">
        <w:rPr>
          <w:rFonts w:cs="Times New Roman"/>
        </w:rPr>
        <w:t xml:space="preserve"> percent</w:t>
      </w:r>
      <w:r w:rsidRPr="0040425C">
        <w:rPr>
          <w:rFonts w:cs="Times New Roman"/>
        </w:rPr>
        <w:t xml:space="preserve"> of the market in Niger State. The competitors</w:t>
      </w:r>
      <w:r w:rsidR="00EE5856">
        <w:rPr>
          <w:rFonts w:cs="Times New Roman"/>
        </w:rPr>
        <w:t>’</w:t>
      </w:r>
      <w:r w:rsidRPr="0040425C">
        <w:rPr>
          <w:rFonts w:cs="Times New Roman"/>
        </w:rPr>
        <w:t xml:space="preserve"> pricing is</w:t>
      </w:r>
      <w:r w:rsidR="00EE5856">
        <w:rPr>
          <w:rFonts w:cs="Times New Roman"/>
        </w:rPr>
        <w:t>,</w:t>
      </w:r>
      <w:r w:rsidRPr="0040425C">
        <w:rPr>
          <w:rFonts w:cs="Times New Roman"/>
        </w:rPr>
        <w:t xml:space="preserve"> in most cases</w:t>
      </w:r>
      <w:r w:rsidR="00EE5856">
        <w:rPr>
          <w:rFonts w:cs="Times New Roman"/>
        </w:rPr>
        <w:t>,</w:t>
      </w:r>
      <w:r w:rsidRPr="0040425C">
        <w:rPr>
          <w:rFonts w:cs="Times New Roman"/>
        </w:rPr>
        <w:t xml:space="preserve"> similar to Golden Age</w:t>
      </w:r>
      <w:r>
        <w:rPr>
          <w:rFonts w:cs="Times New Roman"/>
        </w:rPr>
        <w:t>’</w:t>
      </w:r>
      <w:r w:rsidRPr="0040425C">
        <w:rPr>
          <w:rFonts w:cs="Times New Roman"/>
        </w:rPr>
        <w:t xml:space="preserve">s. </w:t>
      </w:r>
    </w:p>
    <w:p w14:paraId="43D21250" w14:textId="092A5B27" w:rsidR="00EE5856" w:rsidRPr="00F87BDE" w:rsidRDefault="00EE5856" w:rsidP="00D727BF">
      <w:pPr>
        <w:pStyle w:val="Heading8"/>
        <w:tabs>
          <w:tab w:val="clear" w:pos="5400"/>
          <w:tab w:val="left" w:pos="360"/>
        </w:tabs>
        <w:ind w:left="0"/>
      </w:pPr>
      <w:r>
        <w:t xml:space="preserve">(c) </w:t>
      </w:r>
      <w:r w:rsidRPr="00F87BDE">
        <w:t>Distribution</w:t>
      </w:r>
      <w:r>
        <w:t xml:space="preserve"> and Security</w:t>
      </w:r>
    </w:p>
    <w:p w14:paraId="6D1562EC" w14:textId="157F8609" w:rsidR="00EE5856" w:rsidRPr="0040425C" w:rsidRDefault="00EE5856" w:rsidP="00EE5856">
      <w:pPr>
        <w:spacing w:line="276" w:lineRule="auto"/>
        <w:rPr>
          <w:rFonts w:cs="Times New Roman"/>
        </w:rPr>
      </w:pPr>
      <w:r w:rsidRPr="0040425C">
        <w:rPr>
          <w:rFonts w:cs="Times New Roman"/>
        </w:rPr>
        <w:t>Golden Age has branches in Abuja, Kaduna, Sokoto</w:t>
      </w:r>
      <w:r>
        <w:rPr>
          <w:rFonts w:cs="Times New Roman"/>
        </w:rPr>
        <w:t>,</w:t>
      </w:r>
      <w:r w:rsidRPr="0040425C">
        <w:rPr>
          <w:rFonts w:cs="Times New Roman"/>
        </w:rPr>
        <w:t xml:space="preserve"> and Bauchi through which its water products are sold. It plan</w:t>
      </w:r>
      <w:r>
        <w:rPr>
          <w:rFonts w:cs="Times New Roman"/>
        </w:rPr>
        <w:t>s to extend to Kano and Katsina. S</w:t>
      </w:r>
      <w:r w:rsidRPr="0040425C">
        <w:rPr>
          <w:rFonts w:cs="Times New Roman"/>
        </w:rPr>
        <w:t xml:space="preserve">ome of the water </w:t>
      </w:r>
      <w:r>
        <w:rPr>
          <w:rFonts w:cs="Times New Roman"/>
        </w:rPr>
        <w:t>is</w:t>
      </w:r>
      <w:r w:rsidRPr="0040425C">
        <w:rPr>
          <w:rFonts w:cs="Times New Roman"/>
        </w:rPr>
        <w:t xml:space="preserve"> sold through distributors in local governments. The sachet water is not taken out of Minna for durability </w:t>
      </w:r>
      <w:r w:rsidRPr="0040425C">
        <w:rPr>
          <w:rFonts w:cs="Times New Roman"/>
        </w:rPr>
        <w:lastRenderedPageBreak/>
        <w:t>reasons. The four main local distributors are in Bosso, Kainji, Ko</w:t>
      </w:r>
      <w:r w:rsidR="00EF6C0D">
        <w:rPr>
          <w:rFonts w:cs="Times New Roman"/>
        </w:rPr>
        <w:t>nta</w:t>
      </w:r>
      <w:r w:rsidRPr="0040425C">
        <w:rPr>
          <w:rFonts w:cs="Times New Roman"/>
        </w:rPr>
        <w:t xml:space="preserve">gora, Bida, </w:t>
      </w:r>
      <w:r w:rsidR="00EF6C0D">
        <w:rPr>
          <w:rFonts w:cs="Times New Roman"/>
        </w:rPr>
        <w:t xml:space="preserve">and </w:t>
      </w:r>
      <w:r w:rsidRPr="0040425C">
        <w:rPr>
          <w:rFonts w:cs="Times New Roman"/>
        </w:rPr>
        <w:t>Gwagwalada. These buyers pay for the water</w:t>
      </w:r>
      <w:r>
        <w:rPr>
          <w:rFonts w:cs="Times New Roman"/>
        </w:rPr>
        <w:t>,</w:t>
      </w:r>
      <w:r w:rsidRPr="0040425C">
        <w:rPr>
          <w:rFonts w:cs="Times New Roman"/>
        </w:rPr>
        <w:t xml:space="preserve"> and the company uses their vans to send it to them. They get discounted prices on the sale</w:t>
      </w:r>
      <w:r>
        <w:rPr>
          <w:rFonts w:cs="Times New Roman"/>
        </w:rPr>
        <w:t>,</w:t>
      </w:r>
      <w:r w:rsidRPr="0040425C">
        <w:rPr>
          <w:rFonts w:cs="Times New Roman"/>
        </w:rPr>
        <w:t xml:space="preserve"> so they can make a profit.</w:t>
      </w:r>
      <w:r>
        <w:rPr>
          <w:rFonts w:cs="Times New Roman"/>
        </w:rPr>
        <w:t xml:space="preserve"> </w:t>
      </w:r>
      <w:r w:rsidRPr="0040425C">
        <w:rPr>
          <w:rFonts w:cs="Times New Roman"/>
        </w:rPr>
        <w:t>Mr</w:t>
      </w:r>
      <w:r>
        <w:rPr>
          <w:rFonts w:cs="Times New Roman"/>
        </w:rPr>
        <w:t>.</w:t>
      </w:r>
      <w:r w:rsidRPr="0040425C">
        <w:rPr>
          <w:rFonts w:cs="Times New Roman"/>
        </w:rPr>
        <w:t xml:space="preserve"> Anthony believes that the company</w:t>
      </w:r>
      <w:r>
        <w:rPr>
          <w:rFonts w:cs="Times New Roman"/>
        </w:rPr>
        <w:t>’</w:t>
      </w:r>
      <w:r w:rsidRPr="0040425C">
        <w:rPr>
          <w:rFonts w:cs="Times New Roman"/>
        </w:rPr>
        <w:t>s sales ha</w:t>
      </w:r>
      <w:r>
        <w:rPr>
          <w:rFonts w:cs="Times New Roman"/>
        </w:rPr>
        <w:t>ve</w:t>
      </w:r>
      <w:r w:rsidRPr="0040425C">
        <w:rPr>
          <w:rFonts w:cs="Times New Roman"/>
        </w:rPr>
        <w:t xml:space="preserve"> been affected by the insecurity in the country. The security threat makes it difficult to reach certain areas</w:t>
      </w:r>
      <w:r>
        <w:rPr>
          <w:rFonts w:cs="Times New Roman"/>
        </w:rPr>
        <w:t>,</w:t>
      </w:r>
      <w:r w:rsidRPr="0040425C">
        <w:rPr>
          <w:rFonts w:cs="Times New Roman"/>
        </w:rPr>
        <w:t xml:space="preserve"> as no distributor will carry the products there</w:t>
      </w:r>
      <w:r>
        <w:rPr>
          <w:rFonts w:cs="Times New Roman"/>
        </w:rPr>
        <w:t>.</w:t>
      </w:r>
      <w:r w:rsidRPr="0040425C">
        <w:rPr>
          <w:rFonts w:cs="Times New Roman"/>
        </w:rPr>
        <w:t xml:space="preserve"> </w:t>
      </w:r>
    </w:p>
    <w:p w14:paraId="6880EC19" w14:textId="05166DE3" w:rsidR="00EE5856" w:rsidRPr="00F87BDE" w:rsidRDefault="00EE5856" w:rsidP="00D727BF">
      <w:pPr>
        <w:pStyle w:val="Heading8"/>
        <w:tabs>
          <w:tab w:val="clear" w:pos="5400"/>
          <w:tab w:val="left" w:pos="360"/>
        </w:tabs>
        <w:ind w:left="0"/>
      </w:pPr>
      <w:r>
        <w:t xml:space="preserve">(d) </w:t>
      </w:r>
      <w:r w:rsidRPr="00F87BDE">
        <w:t xml:space="preserve">Raw Materials and Suppliers </w:t>
      </w:r>
    </w:p>
    <w:p w14:paraId="34EE585E" w14:textId="367C0FE3" w:rsidR="00EE5856" w:rsidRPr="0040425C" w:rsidRDefault="00EE5856" w:rsidP="00EE5856">
      <w:pPr>
        <w:spacing w:line="276" w:lineRule="auto"/>
        <w:rPr>
          <w:rFonts w:cs="Times New Roman"/>
        </w:rPr>
      </w:pPr>
      <w:r w:rsidRPr="0040425C">
        <w:rPr>
          <w:rFonts w:cs="Times New Roman"/>
        </w:rPr>
        <w:t>The company gets its leather and pellets used for manufacturing the water bottles and sachets from Radiant Agro Allied Ventures in Ibadan, Prima Corporation, Omi Nigeria</w:t>
      </w:r>
      <w:r>
        <w:rPr>
          <w:rFonts w:cs="Times New Roman"/>
        </w:rPr>
        <w:t>,</w:t>
      </w:r>
      <w:r w:rsidRPr="0040425C">
        <w:rPr>
          <w:rFonts w:cs="Times New Roman"/>
        </w:rPr>
        <w:t xml:space="preserve"> and Lemmy in Lagos. The water is sourced from the Niger State Waterworks. It is then treated at the factory before it is packaged. On average, the company buys from the waterworks </w:t>
      </w:r>
      <w:r>
        <w:rPr>
          <w:rFonts w:cs="Times New Roman"/>
        </w:rPr>
        <w:t>ten to fifteen</w:t>
      </w:r>
      <w:r w:rsidRPr="0040425C">
        <w:rPr>
          <w:rFonts w:cs="Times New Roman"/>
        </w:rPr>
        <w:t xml:space="preserve"> tonnes per month of production. To match the water produced</w:t>
      </w:r>
      <w:r>
        <w:rPr>
          <w:rFonts w:cs="Times New Roman"/>
        </w:rPr>
        <w:t>,</w:t>
      </w:r>
      <w:r w:rsidRPr="0040425C">
        <w:rPr>
          <w:rFonts w:cs="Times New Roman"/>
        </w:rPr>
        <w:t xml:space="preserve"> they use roughly </w:t>
      </w:r>
      <w:r>
        <w:rPr>
          <w:rFonts w:cs="Times New Roman"/>
        </w:rPr>
        <w:t>ninety-six</w:t>
      </w:r>
      <w:r w:rsidRPr="0040425C">
        <w:rPr>
          <w:rFonts w:cs="Times New Roman"/>
        </w:rPr>
        <w:t xml:space="preserve"> tonnes of leather per month of production and almost </w:t>
      </w:r>
      <w:r>
        <w:rPr>
          <w:rFonts w:cs="Times New Roman"/>
        </w:rPr>
        <w:t>ten</w:t>
      </w:r>
      <w:r w:rsidRPr="0040425C">
        <w:rPr>
          <w:rFonts w:cs="Times New Roman"/>
        </w:rPr>
        <w:t xml:space="preserve"> tonnes of pellets for the bottles. They get stocks from Lagos and Ibadan for their own usage and to sell on to other customers.</w:t>
      </w:r>
    </w:p>
    <w:p w14:paraId="36C0ED75" w14:textId="45627853" w:rsidR="00EE5856" w:rsidRPr="00F87BDE" w:rsidRDefault="00896823" w:rsidP="00D727BF">
      <w:pPr>
        <w:pStyle w:val="Heading8"/>
        <w:tabs>
          <w:tab w:val="clear" w:pos="5400"/>
          <w:tab w:val="left" w:pos="360"/>
        </w:tabs>
        <w:ind w:left="0"/>
      </w:pPr>
      <w:r>
        <w:t xml:space="preserve">(e) </w:t>
      </w:r>
      <w:r w:rsidR="00EE5856" w:rsidRPr="00F87BDE">
        <w:t>Firm Capacity</w:t>
      </w:r>
    </w:p>
    <w:p w14:paraId="22627D25" w14:textId="3D1724AF" w:rsidR="00EE5856" w:rsidRPr="0040425C" w:rsidRDefault="00EE5856" w:rsidP="00EE5856">
      <w:pPr>
        <w:spacing w:line="276" w:lineRule="auto"/>
        <w:rPr>
          <w:rFonts w:cs="Times New Roman"/>
        </w:rPr>
      </w:pPr>
      <w:r w:rsidRPr="0040425C">
        <w:rPr>
          <w:rFonts w:cs="Times New Roman"/>
        </w:rPr>
        <w:t xml:space="preserve">The water company currently has 176 employees of which </w:t>
      </w:r>
      <w:r w:rsidR="00896823">
        <w:rPr>
          <w:rFonts w:cs="Times New Roman"/>
        </w:rPr>
        <w:t>eighty-two</w:t>
      </w:r>
      <w:r w:rsidRPr="0040425C">
        <w:rPr>
          <w:rFonts w:cs="Times New Roman"/>
        </w:rPr>
        <w:t xml:space="preserve"> are permanent</w:t>
      </w:r>
      <w:r w:rsidR="00896823">
        <w:rPr>
          <w:rFonts w:cs="Times New Roman"/>
        </w:rPr>
        <w:t>,</w:t>
      </w:r>
      <w:r w:rsidRPr="0040425C">
        <w:rPr>
          <w:rFonts w:cs="Times New Roman"/>
        </w:rPr>
        <w:t xml:space="preserve"> and </w:t>
      </w:r>
      <w:r w:rsidR="00896823">
        <w:rPr>
          <w:rFonts w:cs="Times New Roman"/>
        </w:rPr>
        <w:t>ninety-four are</w:t>
      </w:r>
      <w:r w:rsidRPr="0040425C">
        <w:rPr>
          <w:rFonts w:cs="Times New Roman"/>
        </w:rPr>
        <w:t xml:space="preserve"> casual workers. The permanent staff deal with managerial, administrative</w:t>
      </w:r>
      <w:r w:rsidR="00896823">
        <w:rPr>
          <w:rFonts w:cs="Times New Roman"/>
        </w:rPr>
        <w:t>,</w:t>
      </w:r>
      <w:r w:rsidRPr="0040425C">
        <w:rPr>
          <w:rFonts w:cs="Times New Roman"/>
        </w:rPr>
        <w:t xml:space="preserve"> and supervisory tasks. Some are also designated drivers. The casual workers are mostly assigned to loading and packing.</w:t>
      </w:r>
    </w:p>
    <w:p w14:paraId="3767AD8A" w14:textId="7157E2B9" w:rsidR="00EE5856" w:rsidRPr="0040425C" w:rsidRDefault="00EE5856" w:rsidP="00EE5856">
      <w:pPr>
        <w:spacing w:line="276" w:lineRule="auto"/>
        <w:rPr>
          <w:rFonts w:cs="Times New Roman"/>
        </w:rPr>
      </w:pPr>
      <w:r w:rsidRPr="0040425C">
        <w:rPr>
          <w:rFonts w:cs="Times New Roman"/>
        </w:rPr>
        <w:t>The machines used in production were installed from 2012</w:t>
      </w:r>
      <w:r w:rsidR="00896823">
        <w:rPr>
          <w:rFonts w:ascii="Calibri" w:hAnsi="Calibri" w:cs="Times New Roman"/>
        </w:rPr>
        <w:t>‒</w:t>
      </w:r>
      <w:r w:rsidRPr="0040425C">
        <w:rPr>
          <w:rFonts w:cs="Times New Roman"/>
        </w:rPr>
        <w:t>2015 and are sourced from China</w:t>
      </w:r>
      <w:r w:rsidR="00896823">
        <w:rPr>
          <w:rFonts w:cs="Times New Roman"/>
        </w:rPr>
        <w:t>,</w:t>
      </w:r>
      <w:r w:rsidRPr="0040425C">
        <w:rPr>
          <w:rFonts w:cs="Times New Roman"/>
        </w:rPr>
        <w:t xml:space="preserve"> as they are the most cost effective. They deal with a company called Ding Ling and also buy some of their water treatment machines to be resold. Chemicals used for treating the water are obtained from Germany, France</w:t>
      </w:r>
      <w:r w:rsidR="00896823">
        <w:rPr>
          <w:rFonts w:cs="Times New Roman"/>
        </w:rPr>
        <w:t>,</w:t>
      </w:r>
      <w:r w:rsidRPr="0040425C">
        <w:rPr>
          <w:rFonts w:cs="Times New Roman"/>
        </w:rPr>
        <w:t xml:space="preserve"> and </w:t>
      </w:r>
      <w:r w:rsidR="00896823">
        <w:rPr>
          <w:rFonts w:cs="Times New Roman"/>
        </w:rPr>
        <w:t xml:space="preserve">the </w:t>
      </w:r>
      <w:r w:rsidR="00C52FBB">
        <w:rPr>
          <w:rFonts w:cs="Times New Roman"/>
        </w:rPr>
        <w:t>United States</w:t>
      </w:r>
      <w:r w:rsidRPr="0040425C">
        <w:rPr>
          <w:rFonts w:cs="Times New Roman"/>
        </w:rPr>
        <w:t>. The company</w:t>
      </w:r>
      <w:r>
        <w:rPr>
          <w:rFonts w:cs="Times New Roman"/>
        </w:rPr>
        <w:t>’</w:t>
      </w:r>
      <w:r w:rsidRPr="0040425C">
        <w:rPr>
          <w:rFonts w:cs="Times New Roman"/>
        </w:rPr>
        <w:t>s processes are monitored by a quality control manager that quarterly reviews and updates the process where necessary.</w:t>
      </w:r>
    </w:p>
    <w:p w14:paraId="1F794A59" w14:textId="216658E8" w:rsidR="00EE5856" w:rsidRPr="00F87BDE" w:rsidRDefault="00896823" w:rsidP="00D727BF">
      <w:pPr>
        <w:pStyle w:val="Heading8"/>
        <w:tabs>
          <w:tab w:val="clear" w:pos="5400"/>
          <w:tab w:val="left" w:pos="360"/>
        </w:tabs>
        <w:ind w:left="0"/>
      </w:pPr>
      <w:r>
        <w:t xml:space="preserve">(f) </w:t>
      </w:r>
      <w:r w:rsidR="00EE5856" w:rsidRPr="00F87BDE">
        <w:t>Expansion</w:t>
      </w:r>
    </w:p>
    <w:p w14:paraId="0B25E930" w14:textId="2C8C3923" w:rsidR="00EE5856" w:rsidRPr="0040425C" w:rsidRDefault="00EE5856" w:rsidP="00EE5856">
      <w:pPr>
        <w:spacing w:line="276" w:lineRule="auto"/>
        <w:rPr>
          <w:rFonts w:cs="Times New Roman"/>
        </w:rPr>
      </w:pPr>
      <w:r w:rsidRPr="0040425C">
        <w:rPr>
          <w:rFonts w:cs="Times New Roman"/>
        </w:rPr>
        <w:t xml:space="preserve">Golden Age intends to start extruding their own </w:t>
      </w:r>
      <w:r w:rsidR="00896823">
        <w:rPr>
          <w:rFonts w:cs="Times New Roman"/>
        </w:rPr>
        <w:t>n</w:t>
      </w:r>
      <w:r w:rsidRPr="0040425C">
        <w:rPr>
          <w:rFonts w:cs="Times New Roman"/>
        </w:rPr>
        <w:t>ylon, so they can produce the sache</w:t>
      </w:r>
      <w:r>
        <w:rPr>
          <w:rFonts w:cs="Times New Roman"/>
        </w:rPr>
        <w:t>ts themselves and sell them on,</w:t>
      </w:r>
      <w:r w:rsidRPr="0040425C">
        <w:rPr>
          <w:rFonts w:cs="Times New Roman"/>
        </w:rPr>
        <w:t xml:space="preserve"> eliminating the middlemen. Currently, in their biggest market for sachet sales</w:t>
      </w:r>
      <w:r w:rsidR="00896823">
        <w:rPr>
          <w:rFonts w:cs="Times New Roman"/>
        </w:rPr>
        <w:t>,</w:t>
      </w:r>
      <w:r w:rsidRPr="0040425C">
        <w:rPr>
          <w:rFonts w:cs="Times New Roman"/>
        </w:rPr>
        <w:t xml:space="preserve"> Abuja</w:t>
      </w:r>
      <w:r w:rsidR="00896823">
        <w:rPr>
          <w:rFonts w:cs="Times New Roman"/>
        </w:rPr>
        <w:t xml:space="preserve">, </w:t>
      </w:r>
      <w:r w:rsidRPr="0040425C">
        <w:rPr>
          <w:rFonts w:cs="Times New Roman"/>
        </w:rPr>
        <w:t xml:space="preserve">only </w:t>
      </w:r>
      <w:r w:rsidR="00896823">
        <w:rPr>
          <w:rFonts w:cs="Times New Roman"/>
        </w:rPr>
        <w:t>two to three</w:t>
      </w:r>
      <w:r w:rsidRPr="0040425C">
        <w:rPr>
          <w:rFonts w:cs="Times New Roman"/>
        </w:rPr>
        <w:t xml:space="preserve"> manufacturers produce</w:t>
      </w:r>
      <w:r w:rsidR="00896823">
        <w:rPr>
          <w:rFonts w:cs="Times New Roman"/>
        </w:rPr>
        <w:t>,</w:t>
      </w:r>
      <w:r w:rsidRPr="0040425C">
        <w:rPr>
          <w:rFonts w:cs="Times New Roman"/>
        </w:rPr>
        <w:t xml:space="preserve"> and they are unable to meet the demand. They also want to expand into juice drinks. However, the company</w:t>
      </w:r>
      <w:r>
        <w:rPr>
          <w:rFonts w:cs="Times New Roman"/>
        </w:rPr>
        <w:t>’</w:t>
      </w:r>
      <w:r w:rsidRPr="0040425C">
        <w:rPr>
          <w:rFonts w:cs="Times New Roman"/>
        </w:rPr>
        <w:t xml:space="preserve">s financial strength has limited </w:t>
      </w:r>
      <w:r w:rsidR="00896823">
        <w:rPr>
          <w:rFonts w:cs="Times New Roman"/>
        </w:rPr>
        <w:t>its</w:t>
      </w:r>
      <w:r w:rsidRPr="0040425C">
        <w:rPr>
          <w:rFonts w:cs="Times New Roman"/>
        </w:rPr>
        <w:t xml:space="preserve"> growth into other states or products. They have been unable to access funding at reasonable interest rates.</w:t>
      </w:r>
    </w:p>
    <w:p w14:paraId="486F9A66" w14:textId="77BE6FA5" w:rsidR="00EE5856" w:rsidRPr="00AC4E9B" w:rsidRDefault="00EE5856" w:rsidP="00EE5856">
      <w:pPr>
        <w:spacing w:line="276" w:lineRule="auto"/>
        <w:rPr>
          <w:rFonts w:cs="Times New Roman"/>
        </w:rPr>
      </w:pPr>
      <w:r w:rsidRPr="0040425C">
        <w:rPr>
          <w:rFonts w:cs="Times New Roman"/>
        </w:rPr>
        <w:t>On</w:t>
      </w:r>
      <w:r w:rsidR="00896823">
        <w:rPr>
          <w:rFonts w:cs="Times New Roman"/>
        </w:rPr>
        <w:t>e</w:t>
      </w:r>
      <w:r w:rsidRPr="0040425C">
        <w:rPr>
          <w:rFonts w:cs="Times New Roman"/>
        </w:rPr>
        <w:t xml:space="preserve"> advantage they have acquired recently is through the intervention of the government to give their company </w:t>
      </w:r>
      <w:r>
        <w:rPr>
          <w:rFonts w:cs="Times New Roman"/>
        </w:rPr>
        <w:t xml:space="preserve">a </w:t>
      </w:r>
      <w:r w:rsidRPr="0040425C">
        <w:rPr>
          <w:rFonts w:cs="Times New Roman"/>
        </w:rPr>
        <w:t>constant supply of electricity, as their business is seen as vital to the state</w:t>
      </w:r>
      <w:r>
        <w:rPr>
          <w:rFonts w:cs="Times New Roman"/>
        </w:rPr>
        <w:t>,</w:t>
      </w:r>
      <w:r w:rsidRPr="0040425C">
        <w:rPr>
          <w:rFonts w:cs="Times New Roman"/>
        </w:rPr>
        <w:t xml:space="preserve"> and financially viable. </w:t>
      </w:r>
      <w:r>
        <w:rPr>
          <w:rFonts w:cs="Times New Roman"/>
        </w:rPr>
        <w:t>The government</w:t>
      </w:r>
      <w:r w:rsidRPr="0040425C">
        <w:rPr>
          <w:rFonts w:cs="Times New Roman"/>
        </w:rPr>
        <w:t xml:space="preserve"> visited the company to vet them. Mr</w:t>
      </w:r>
      <w:r w:rsidR="00896823">
        <w:rPr>
          <w:rFonts w:cs="Times New Roman"/>
        </w:rPr>
        <w:t>.</w:t>
      </w:r>
      <w:r w:rsidRPr="0040425C">
        <w:rPr>
          <w:rFonts w:cs="Times New Roman"/>
        </w:rPr>
        <w:t xml:space="preserve"> Anthony believes it is rare for businesses to be able to get such deals</w:t>
      </w:r>
      <w:r w:rsidR="00896823">
        <w:rPr>
          <w:rFonts w:cs="Times New Roman"/>
        </w:rPr>
        <w:t>,</w:t>
      </w:r>
      <w:r w:rsidRPr="0040425C">
        <w:rPr>
          <w:rFonts w:cs="Times New Roman"/>
        </w:rPr>
        <w:t xml:space="preserve"> as only important government buildings or officials get </w:t>
      </w:r>
      <w:r>
        <w:rPr>
          <w:rFonts w:cs="Times New Roman"/>
        </w:rPr>
        <w:t>this</w:t>
      </w:r>
      <w:r w:rsidRPr="0040425C">
        <w:rPr>
          <w:rFonts w:cs="Times New Roman"/>
        </w:rPr>
        <w:t xml:space="preserve"> privilege.</w:t>
      </w:r>
    </w:p>
    <w:p w14:paraId="5B69B14C" w14:textId="1EE8910D" w:rsidR="00753564" w:rsidRDefault="00753564">
      <w:pPr>
        <w:rPr>
          <w:rFonts w:eastAsia="Times New Roman" w:cs="Times New Roman"/>
          <w:bCs/>
          <w:noProof/>
          <w:szCs w:val="24"/>
        </w:rPr>
      </w:pPr>
    </w:p>
    <w:p w14:paraId="1C010034" w14:textId="74601E04" w:rsidR="005124CE" w:rsidRDefault="005124CE" w:rsidP="00D727BF">
      <w:pPr>
        <w:pStyle w:val="ParagraphNumbering"/>
        <w:numPr>
          <w:ilvl w:val="0"/>
          <w:numId w:val="0"/>
        </w:numPr>
        <w:tabs>
          <w:tab w:val="left" w:pos="720"/>
        </w:tabs>
        <w:spacing w:after="240"/>
      </w:pPr>
    </w:p>
    <w:p w14:paraId="1DB50552" w14:textId="266C77F1" w:rsidR="00444A14" w:rsidRDefault="00444A14" w:rsidP="00D727BF">
      <w:pPr>
        <w:pStyle w:val="ParagraphNumbering"/>
        <w:numPr>
          <w:ilvl w:val="0"/>
          <w:numId w:val="0"/>
        </w:numPr>
        <w:tabs>
          <w:tab w:val="left" w:pos="720"/>
        </w:tabs>
        <w:spacing w:after="240"/>
      </w:pPr>
    </w:p>
    <w:p w14:paraId="35680A24" w14:textId="50864DE4" w:rsidR="00274FD4" w:rsidRPr="00DD3FC5" w:rsidRDefault="003307EB" w:rsidP="00D727BF">
      <w:pPr>
        <w:pStyle w:val="Heading3"/>
        <w:numPr>
          <w:ilvl w:val="0"/>
          <w:numId w:val="0"/>
        </w:numPr>
        <w:tabs>
          <w:tab w:val="left" w:pos="720"/>
        </w:tabs>
        <w:jc w:val="center"/>
      </w:pPr>
      <w:bookmarkStart w:id="276" w:name="_Toc419276501"/>
      <w:bookmarkEnd w:id="276"/>
      <w:r w:rsidRPr="00DD3FC5">
        <w:t xml:space="preserve">How the </w:t>
      </w:r>
      <w:r w:rsidR="00CE4844">
        <w:t>i</w:t>
      </w:r>
      <w:r w:rsidRPr="00DD3FC5">
        <w:t xml:space="preserve">nvestment </w:t>
      </w:r>
      <w:r w:rsidR="00CE4844">
        <w:t>c</w:t>
      </w:r>
      <w:r w:rsidRPr="00DD3FC5">
        <w:t xml:space="preserve">limate </w:t>
      </w:r>
      <w:r w:rsidR="00CE4844">
        <w:t>a</w:t>
      </w:r>
      <w:r w:rsidRPr="00DD3FC5">
        <w:t xml:space="preserve">ffects </w:t>
      </w:r>
      <w:r w:rsidR="00CE4844">
        <w:t>m</w:t>
      </w:r>
      <w:r w:rsidR="00CA50DC">
        <w:t>anufacturing</w:t>
      </w:r>
      <w:r w:rsidRPr="00DD3FC5">
        <w:t xml:space="preserve"> </w:t>
      </w:r>
      <w:r w:rsidR="00CE4844">
        <w:t>p</w:t>
      </w:r>
      <w:r w:rsidRPr="00DD3FC5">
        <w:t>erformance</w:t>
      </w:r>
      <w:r w:rsidR="00CA50DC">
        <w:t xml:space="preserve"> in Nigeria</w:t>
      </w:r>
    </w:p>
    <w:p w14:paraId="620B55FE" w14:textId="1DCAB500" w:rsidR="00444A14" w:rsidRDefault="004E0988" w:rsidP="00D727BF">
      <w:pPr>
        <w:pStyle w:val="ParagraphNumbering"/>
        <w:numPr>
          <w:ilvl w:val="0"/>
          <w:numId w:val="0"/>
        </w:numPr>
        <w:tabs>
          <w:tab w:val="left" w:pos="720"/>
        </w:tabs>
        <w:spacing w:after="240"/>
      </w:pPr>
      <w:r>
        <w:rPr>
          <w:b/>
        </w:rPr>
        <w:tab/>
      </w:r>
      <w:r w:rsidR="003307EB" w:rsidRPr="000F6A00">
        <w:rPr>
          <w:b/>
        </w:rPr>
        <w:t xml:space="preserve">A </w:t>
      </w:r>
      <w:r w:rsidR="00B023B3">
        <w:rPr>
          <w:b/>
        </w:rPr>
        <w:t xml:space="preserve">critical </w:t>
      </w:r>
      <w:r w:rsidR="003307EB" w:rsidRPr="000F6A00">
        <w:rPr>
          <w:b/>
        </w:rPr>
        <w:t>question is how the investment climate affects firm performance.</w:t>
      </w:r>
      <w:r w:rsidR="00F428F9">
        <w:t xml:space="preserve"> </w:t>
      </w:r>
      <w:r w:rsidR="003307EB">
        <w:t>That is, could Nigeria increase productivity by improving its investment climate?</w:t>
      </w:r>
      <w:r w:rsidR="00F428F9">
        <w:t xml:space="preserve"> </w:t>
      </w:r>
      <w:r w:rsidR="003307EB">
        <w:t>And if so, where would improvement have the greatest impact?</w:t>
      </w:r>
      <w:r w:rsidR="00F428F9">
        <w:t xml:space="preserve"> </w:t>
      </w:r>
      <w:r w:rsidR="003307EB">
        <w:t xml:space="preserve">Based on an analysis using </w:t>
      </w:r>
      <w:r w:rsidR="00C32950">
        <w:t>enterprise surveys</w:t>
      </w:r>
      <w:r w:rsidR="002C6F93">
        <w:t xml:space="preserve"> from different countries</w:t>
      </w:r>
      <w:r w:rsidR="003307EB">
        <w:t xml:space="preserve">, we can look at how much higher TFP would be </w:t>
      </w:r>
      <w:r w:rsidR="00B023B3">
        <w:t xml:space="preserve">if </w:t>
      </w:r>
      <w:r w:rsidR="003307EB">
        <w:t>Nigeria</w:t>
      </w:r>
      <w:r w:rsidR="00863D16">
        <w:t>’</w:t>
      </w:r>
      <w:r w:rsidR="003307EB">
        <w:t>s investment climate w</w:t>
      </w:r>
      <w:r w:rsidR="00680496">
        <w:t>ere</w:t>
      </w:r>
      <w:r w:rsidR="003307EB">
        <w:t xml:space="preserve"> more favorable. </w:t>
      </w:r>
      <w:r w:rsidR="00BF59F3">
        <w:t xml:space="preserve">The methodology is presented in detail in </w:t>
      </w:r>
      <w:r>
        <w:t>a</w:t>
      </w:r>
      <w:r w:rsidR="00BF59F3">
        <w:t>ppendix 2 of the background paper.</w:t>
      </w:r>
      <w:r w:rsidR="008D57A9">
        <w:rPr>
          <w:rStyle w:val="FootnoteReference"/>
        </w:rPr>
        <w:footnoteReference w:id="46"/>
      </w:r>
      <w:r w:rsidR="00F917D3">
        <w:t xml:space="preserve"> </w:t>
      </w:r>
      <w:r w:rsidR="00B023B3">
        <w:t xml:space="preserve">In summary, </w:t>
      </w:r>
      <w:r w:rsidR="00F917D3">
        <w:t xml:space="preserve">data from all enterprise surveys </w:t>
      </w:r>
      <w:r>
        <w:t xml:space="preserve">were </w:t>
      </w:r>
      <w:r w:rsidR="00F917D3">
        <w:t>pooled together</w:t>
      </w:r>
      <w:r>
        <w:t>,</w:t>
      </w:r>
      <w:r w:rsidR="00F917D3">
        <w:t xml:space="preserve"> and investment climate variables </w:t>
      </w:r>
      <w:r w:rsidR="00B023B3">
        <w:t xml:space="preserve">were </w:t>
      </w:r>
      <w:r w:rsidR="00F917D3">
        <w:t>tested on firm-level performance.</w:t>
      </w:r>
      <w:r w:rsidR="003307EB">
        <w:t xml:space="preserve"> </w:t>
      </w:r>
      <w:r w:rsidR="00F917D3">
        <w:t xml:space="preserve">Coefficients from this regression were used to then understand </w:t>
      </w:r>
      <w:r w:rsidR="00B023B3">
        <w:t xml:space="preserve">impact on productivity </w:t>
      </w:r>
      <w:r w:rsidR="00F917D3">
        <w:t>if Nigeria improve</w:t>
      </w:r>
      <w:r w:rsidR="00B023B3">
        <w:t>s</w:t>
      </w:r>
      <w:r w:rsidR="00F917D3">
        <w:t xml:space="preserve"> a particular aspect of its business environment. </w:t>
      </w:r>
      <w:r w:rsidR="003307EB">
        <w:t>It is important to note</w:t>
      </w:r>
      <w:r w:rsidR="00BF59F3">
        <w:t xml:space="preserve"> </w:t>
      </w:r>
      <w:r w:rsidR="003307EB">
        <w:t xml:space="preserve">that it is very difficult to fully resolve all econometric issues </w:t>
      </w:r>
      <w:r w:rsidR="00BF59F3">
        <w:t>associated with this analysis</w:t>
      </w:r>
      <w:r>
        <w:t>,</w:t>
      </w:r>
      <w:r w:rsidR="00BF59F3">
        <w:t xml:space="preserve"> </w:t>
      </w:r>
      <w:r w:rsidR="003307EB">
        <w:t>and, as a result, the results should be treated cautiously.</w:t>
      </w:r>
      <w:r w:rsidR="00F428F9">
        <w:t xml:space="preserve"> </w:t>
      </w:r>
    </w:p>
    <w:p w14:paraId="590B1512" w14:textId="4112AFBE" w:rsidR="003307EB" w:rsidRDefault="004E0988" w:rsidP="00D727BF">
      <w:pPr>
        <w:pStyle w:val="ParagraphNumbering"/>
        <w:numPr>
          <w:ilvl w:val="0"/>
          <w:numId w:val="0"/>
        </w:numPr>
        <w:tabs>
          <w:tab w:val="left" w:pos="720"/>
        </w:tabs>
      </w:pPr>
      <w:r>
        <w:tab/>
      </w:r>
      <w:r w:rsidR="003307EB" w:rsidRPr="000E312C">
        <w:t>The benefits of improving Nigeria</w:t>
      </w:r>
      <w:r w:rsidR="00863D16">
        <w:t>’</w:t>
      </w:r>
      <w:r w:rsidR="003307EB" w:rsidRPr="000E312C">
        <w:t>s investment climate depend on two things:</w:t>
      </w:r>
      <w:r w:rsidR="00F428F9">
        <w:t xml:space="preserve"> </w:t>
      </w:r>
      <w:r w:rsidR="003307EB">
        <w:t xml:space="preserve">how much </w:t>
      </w:r>
      <w:r w:rsidR="0013102A">
        <w:t>a particular aspect o</w:t>
      </w:r>
      <w:r w:rsidR="003307EB">
        <w:t>f the investment climate affect</w:t>
      </w:r>
      <w:r w:rsidR="0013102A">
        <w:t>s</w:t>
      </w:r>
      <w:r w:rsidR="003307EB">
        <w:t xml:space="preserve"> productivity</w:t>
      </w:r>
      <w:r w:rsidR="0013102A">
        <w:t>,</w:t>
      </w:r>
      <w:r w:rsidR="003307EB">
        <w:t xml:space="preserve"> and how Nigeria</w:t>
      </w:r>
      <w:r w:rsidR="00863D16">
        <w:t>’</w:t>
      </w:r>
      <w:r w:rsidR="003307EB">
        <w:t>s investment climate compares with th</w:t>
      </w:r>
      <w:r w:rsidR="0013102A">
        <w:t>at of</w:t>
      </w:r>
      <w:r w:rsidR="003307EB">
        <w:t xml:space="preserve"> </w:t>
      </w:r>
      <w:r w:rsidR="0013102A">
        <w:t xml:space="preserve">comparator countries. </w:t>
      </w:r>
      <w:r w:rsidR="003307EB">
        <w:t>Nigeria</w:t>
      </w:r>
      <w:r w:rsidR="00863D16">
        <w:t>’</w:t>
      </w:r>
      <w:r w:rsidR="003307EB">
        <w:t xml:space="preserve">s investment climate is more challenging than in most other countries, </w:t>
      </w:r>
      <w:r w:rsidR="0013102A">
        <w:t>so</w:t>
      </w:r>
      <w:r w:rsidR="003307EB">
        <w:t xml:space="preserve"> the gains from improving </w:t>
      </w:r>
      <w:r w:rsidR="0013102A">
        <w:t xml:space="preserve">it </w:t>
      </w:r>
      <w:r w:rsidR="003307EB">
        <w:t xml:space="preserve">are likely to be large. </w:t>
      </w:r>
      <w:r w:rsidR="00F07E51">
        <w:t>Table 8</w:t>
      </w:r>
      <w:r w:rsidR="003307EB">
        <w:t xml:space="preserve"> shows the average values for investment climate variables </w:t>
      </w:r>
      <w:r w:rsidR="00B023B3">
        <w:t xml:space="preserve">across </w:t>
      </w:r>
      <w:r w:rsidR="00836630">
        <w:t xml:space="preserve">Nigerian </w:t>
      </w:r>
      <w:r w:rsidR="003307EB">
        <w:t>manufacturing firms.</w:t>
      </w:r>
      <w:r w:rsidR="003307EB">
        <w:rPr>
          <w:rStyle w:val="FootnoteReference"/>
        </w:rPr>
        <w:footnoteReference w:id="47"/>
      </w:r>
      <w:r w:rsidR="003307EB">
        <w:t xml:space="preserve"> It also shows similar values for</w:t>
      </w:r>
      <w:r w:rsidR="00836630">
        <w:t xml:space="preserve"> a</w:t>
      </w:r>
      <w:r w:rsidR="003307EB">
        <w:t xml:space="preserve"> median developing country</w:t>
      </w:r>
      <w:r w:rsidR="0013102A">
        <w:t xml:space="preserve">, as well as </w:t>
      </w:r>
      <w:r w:rsidR="00836630">
        <w:t xml:space="preserve">for a </w:t>
      </w:r>
      <w:r w:rsidR="003307EB">
        <w:t xml:space="preserve">country that was at the </w:t>
      </w:r>
      <w:r>
        <w:t xml:space="preserve">twentieth </w:t>
      </w:r>
      <w:r w:rsidR="003307EB">
        <w:t>percentile on each measure.</w:t>
      </w:r>
      <w:r w:rsidR="003307EB">
        <w:rPr>
          <w:rStyle w:val="FootnoteReference"/>
        </w:rPr>
        <w:footnoteReference w:id="48"/>
      </w:r>
      <w:r w:rsidR="00F428F9">
        <w:t xml:space="preserve"> </w:t>
      </w:r>
    </w:p>
    <w:p w14:paraId="19342CA2" w14:textId="100457E8" w:rsidR="003307EB" w:rsidRDefault="004E0988" w:rsidP="00D727BF">
      <w:pPr>
        <w:pStyle w:val="ParagraphNumbering"/>
        <w:numPr>
          <w:ilvl w:val="0"/>
          <w:numId w:val="0"/>
        </w:numPr>
        <w:tabs>
          <w:tab w:val="left" w:pos="720"/>
        </w:tabs>
      </w:pPr>
      <w:r>
        <w:rPr>
          <w:b/>
        </w:rPr>
        <w:tab/>
      </w:r>
      <w:r w:rsidR="00B023B3" w:rsidRPr="000343E4">
        <w:rPr>
          <w:b/>
        </w:rPr>
        <w:t xml:space="preserve">Across every metric of the </w:t>
      </w:r>
      <w:r w:rsidR="00C32950">
        <w:rPr>
          <w:b/>
        </w:rPr>
        <w:t>enterprise survey</w:t>
      </w:r>
      <w:r w:rsidR="00B023B3" w:rsidRPr="000343E4">
        <w:rPr>
          <w:b/>
        </w:rPr>
        <w:t>, the investment climate in Nigeria is more challenging than the median developing-country level.</w:t>
      </w:r>
      <w:r w:rsidR="00B023B3" w:rsidRPr="00F26C12">
        <w:rPr>
          <w:b/>
        </w:rPr>
        <w:t xml:space="preserve"> </w:t>
      </w:r>
      <w:r w:rsidR="00B023B3" w:rsidRPr="00F26C12">
        <w:t xml:space="preserve">Manufacturing firms in Nigeria spend more time </w:t>
      </w:r>
      <w:r w:rsidR="00B023B3">
        <w:t>meeting</w:t>
      </w:r>
      <w:r w:rsidR="00B023B3" w:rsidRPr="00F26C12">
        <w:t xml:space="preserve"> regulation</w:t>
      </w:r>
      <w:r w:rsidR="00B023B3">
        <w:t xml:space="preserve"> requirements, pay</w:t>
      </w:r>
      <w:r>
        <w:t>ing</w:t>
      </w:r>
      <w:r w:rsidR="00B023B3">
        <w:t xml:space="preserve"> more bribes, </w:t>
      </w:r>
      <w:r w:rsidR="00B023B3" w:rsidRPr="00F26C12">
        <w:t>and los</w:t>
      </w:r>
      <w:r>
        <w:t>ing</w:t>
      </w:r>
      <w:r w:rsidR="00B023B3" w:rsidRPr="00F26C12">
        <w:t xml:space="preserve"> more to crime, insecurity</w:t>
      </w:r>
      <w:r>
        <w:t>,</w:t>
      </w:r>
      <w:r w:rsidR="00B023B3" w:rsidRPr="00F26C12">
        <w:t xml:space="preserve"> and power outages than the median developing country. Manufacturing firms in Nigeria are also less likely to have bank credit, less likely to have their own website</w:t>
      </w:r>
      <w:r w:rsidR="00C52FBB">
        <w:t>s</w:t>
      </w:r>
      <w:r w:rsidR="00B023B3" w:rsidRPr="00F26C12">
        <w:t xml:space="preserve">, less likely to license foreign technologies, and less likely to have training programs. They are also less likely to export and less likely to be foreign owned. All of these factors </w:t>
      </w:r>
      <w:r w:rsidR="00B023B3">
        <w:t xml:space="preserve">contribute to a </w:t>
      </w:r>
      <w:r w:rsidR="00B023B3" w:rsidRPr="00F26C12">
        <w:t>lower TFP</w:t>
      </w:r>
      <w:r w:rsidR="00B023B3">
        <w:t xml:space="preserve"> </w:t>
      </w:r>
      <w:r w:rsidR="003307EB">
        <w:t xml:space="preserve">(see </w:t>
      </w:r>
      <w:r w:rsidR="005C2C98">
        <w:t>t</w:t>
      </w:r>
      <w:r w:rsidR="00D707F1">
        <w:t>able 8).</w:t>
      </w:r>
    </w:p>
    <w:p w14:paraId="11240C3D" w14:textId="2852C6F4" w:rsidR="007C1F68" w:rsidRDefault="004E0988" w:rsidP="00D727BF">
      <w:pPr>
        <w:pStyle w:val="ParagraphNumbering"/>
        <w:numPr>
          <w:ilvl w:val="0"/>
          <w:numId w:val="0"/>
        </w:numPr>
        <w:tabs>
          <w:tab w:val="left" w:pos="720"/>
        </w:tabs>
        <w:spacing w:after="240"/>
      </w:pPr>
      <w:r>
        <w:rPr>
          <w:b/>
        </w:rPr>
        <w:tab/>
      </w:r>
      <w:r w:rsidR="007C1F68" w:rsidRPr="007C1F68">
        <w:rPr>
          <w:b/>
        </w:rPr>
        <w:t xml:space="preserve">Improving </w:t>
      </w:r>
      <w:r w:rsidR="00B023B3">
        <w:rPr>
          <w:b/>
        </w:rPr>
        <w:t xml:space="preserve">the </w:t>
      </w:r>
      <w:r w:rsidR="007C1F68" w:rsidRPr="007C1F68">
        <w:rPr>
          <w:b/>
        </w:rPr>
        <w:t xml:space="preserve">business environment in Nigeria may lead to important </w:t>
      </w:r>
      <w:r w:rsidR="00B023B3">
        <w:rPr>
          <w:b/>
        </w:rPr>
        <w:t xml:space="preserve">productivity </w:t>
      </w:r>
      <w:r w:rsidR="007C1F68" w:rsidRPr="007C1F68">
        <w:rPr>
          <w:b/>
        </w:rPr>
        <w:t xml:space="preserve">gains </w:t>
      </w:r>
      <w:r w:rsidR="00B023B3">
        <w:rPr>
          <w:b/>
        </w:rPr>
        <w:t xml:space="preserve">in </w:t>
      </w:r>
      <w:r w:rsidR="007C1F68" w:rsidRPr="007C1F68">
        <w:rPr>
          <w:b/>
        </w:rPr>
        <w:t>the manufacturing sector.</w:t>
      </w:r>
      <w:r w:rsidR="007C1F68">
        <w:t xml:space="preserve"> </w:t>
      </w:r>
      <w:r w:rsidR="00B023B3" w:rsidRPr="000343E4">
        <w:t>If Nigeria</w:t>
      </w:r>
      <w:r w:rsidR="00863D16">
        <w:t>’</w:t>
      </w:r>
      <w:r w:rsidR="00B023B3" w:rsidRPr="000343E4">
        <w:t xml:space="preserve">s investment climate reached the median level within each performance metric measured by the </w:t>
      </w:r>
      <w:r w:rsidR="00C32950">
        <w:t>enterprise survey</w:t>
      </w:r>
      <w:r w:rsidR="00B023B3" w:rsidRPr="000343E4">
        <w:t xml:space="preserve">, TFP would be approximately </w:t>
      </w:r>
      <w:r w:rsidR="00B023B3" w:rsidRPr="000343E4">
        <w:lastRenderedPageBreak/>
        <w:t>40 percent higher.</w:t>
      </w:r>
      <w:r w:rsidR="00B023B3" w:rsidRPr="00F26C12">
        <w:t xml:space="preserve"> </w:t>
      </w:r>
      <w:r w:rsidR="00B023B3">
        <w:t xml:space="preserve">If the investment climate reached the level of the developing country at the </w:t>
      </w:r>
      <w:r w:rsidR="005C2C98">
        <w:t xml:space="preserve">twentieth </w:t>
      </w:r>
      <w:r w:rsidR="00B023B3">
        <w:t>percentile within each performance metric, TFP would be approximately 62 percent higher.</w:t>
      </w:r>
      <w:r w:rsidR="00E60989">
        <w:t xml:space="preserve"> </w:t>
      </w:r>
    </w:p>
    <w:p w14:paraId="08149C61" w14:textId="156942DC" w:rsidR="00431C9A" w:rsidRPr="000F6A00" w:rsidRDefault="004E0988" w:rsidP="00D727BF">
      <w:pPr>
        <w:pStyle w:val="ParagraphNumbering"/>
        <w:numPr>
          <w:ilvl w:val="0"/>
          <w:numId w:val="0"/>
        </w:numPr>
        <w:tabs>
          <w:tab w:val="left" w:pos="720"/>
        </w:tabs>
        <w:spacing w:after="240"/>
      </w:pPr>
      <w:r>
        <w:rPr>
          <w:b/>
        </w:rPr>
        <w:tab/>
      </w:r>
      <w:r w:rsidR="00431C9A" w:rsidRPr="007C1F68">
        <w:rPr>
          <w:b/>
        </w:rPr>
        <w:t xml:space="preserve">The biggest gains would come from reducing crime, improving access to credit, reducing losses due to power outages, and increasing use of the Internet. </w:t>
      </w:r>
      <w:r w:rsidR="00431C9A">
        <w:t>Two areas—electricity and access to finance—were among Nigerian firms</w:t>
      </w:r>
      <w:r w:rsidR="00863D16">
        <w:t>’</w:t>
      </w:r>
      <w:r w:rsidR="00431C9A">
        <w:t xml:space="preserve"> greatest concerns (see </w:t>
      </w:r>
      <w:r w:rsidR="00E60989">
        <w:t>above</w:t>
      </w:r>
      <w:r w:rsidR="00431C9A">
        <w:t>). This suggests that large gains in TFP would be possible if Nigeria could improve infrastructure, reduce crime, improve access to finance</w:t>
      </w:r>
      <w:r w:rsidR="005C2C98">
        <w:t>,</w:t>
      </w:r>
      <w:r w:rsidR="00E60989">
        <w:t xml:space="preserve"> and increase access to Internet</w:t>
      </w:r>
      <w:r w:rsidR="00431C9A">
        <w:t xml:space="preserve">. In contrast, although firms in Nigeria are concerned about corruption (see </w:t>
      </w:r>
      <w:r w:rsidR="00E60989">
        <w:t>above</w:t>
      </w:r>
      <w:r w:rsidR="00431C9A">
        <w:t>), reducing corruption would have only a modest effect on productivity.</w:t>
      </w:r>
      <w:r w:rsidR="00F428F9">
        <w:t xml:space="preserve"> </w:t>
      </w:r>
      <w:r w:rsidR="00431C9A">
        <w:t>Even if Nigeria reduced corruption to the levels seen in the best performing countries, TFP would b</w:t>
      </w:r>
      <w:r w:rsidR="007C1F68">
        <w:t>e only about 0.3 percent higher</w:t>
      </w:r>
      <w:r w:rsidR="00431C9A">
        <w:t>.</w:t>
      </w:r>
      <w:r w:rsidR="00F428F9">
        <w:t xml:space="preserve"> </w:t>
      </w:r>
    </w:p>
    <w:p w14:paraId="05B933DA" w14:textId="2953CA10" w:rsidR="00BB51EA" w:rsidRPr="00E73CE3" w:rsidRDefault="005C2C98" w:rsidP="00D727BF">
      <w:pPr>
        <w:pStyle w:val="ParagraphNumbering"/>
        <w:numPr>
          <w:ilvl w:val="0"/>
          <w:numId w:val="0"/>
        </w:numPr>
        <w:tabs>
          <w:tab w:val="left" w:pos="720"/>
        </w:tabs>
        <w:spacing w:after="240"/>
        <w:rPr>
          <w:rFonts w:ascii="Trebuchet MS" w:eastAsia="Calibri" w:hAnsi="Trebuchet MS"/>
          <w:b/>
          <w:color w:val="0B73B6" w:themeColor="background2" w:themeShade="BF"/>
          <w:sz w:val="20"/>
          <w:szCs w:val="18"/>
        </w:rPr>
      </w:pPr>
      <w:r>
        <w:rPr>
          <w:b/>
        </w:rPr>
        <w:tab/>
      </w:r>
      <w:r w:rsidR="00431C9A" w:rsidRPr="00D707F1">
        <w:rPr>
          <w:b/>
        </w:rPr>
        <w:t>These estimates may actually understate the possible gains from improving the investment climate.</w:t>
      </w:r>
      <w:r w:rsidR="00F428F9">
        <w:t xml:space="preserve"> </w:t>
      </w:r>
      <w:r w:rsidR="00431C9A" w:rsidRPr="00BC43DF">
        <w:t>Although the analysis looks at many areas of the investment climate, it does not look at all areas.</w:t>
      </w:r>
      <w:r w:rsidR="00F428F9">
        <w:t xml:space="preserve"> </w:t>
      </w:r>
      <w:r w:rsidR="00431C9A">
        <w:t>For example, many Nigerian firms reported that political instability was a serious problem, but this is not included in measures of the investment climate. T</w:t>
      </w:r>
      <w:r w:rsidR="00431C9A" w:rsidRPr="00BC43DF">
        <w:t xml:space="preserve">he country dummies </w:t>
      </w:r>
      <w:r w:rsidR="00431C9A">
        <w:t xml:space="preserve">do take into account measures of </w:t>
      </w:r>
      <w:r w:rsidR="00431C9A" w:rsidRPr="00BC43DF">
        <w:t>institutional quality and macroeconomic stability</w:t>
      </w:r>
      <w:r w:rsidR="00B023B3">
        <w:t xml:space="preserve">, and findings suggest that </w:t>
      </w:r>
      <w:r w:rsidR="00431C9A">
        <w:t xml:space="preserve">Nigeria could </w:t>
      </w:r>
      <w:r w:rsidR="00B023B3">
        <w:t xml:space="preserve">further </w:t>
      </w:r>
      <w:r w:rsidR="00431C9A">
        <w:t>improve TFP if it also improved in these areas.</w:t>
      </w:r>
      <w:bookmarkStart w:id="277" w:name="_Ref428735378"/>
    </w:p>
    <w:p w14:paraId="0535AB4E" w14:textId="77777777" w:rsidR="00E73CE3" w:rsidRDefault="00E73CE3" w:rsidP="00D727BF">
      <w:pPr>
        <w:pStyle w:val="ParagraphNumbering"/>
        <w:numPr>
          <w:ilvl w:val="0"/>
          <w:numId w:val="0"/>
        </w:numPr>
        <w:tabs>
          <w:tab w:val="left" w:pos="720"/>
        </w:tabs>
        <w:spacing w:after="240"/>
        <w:rPr>
          <w:rFonts w:ascii="Trebuchet MS" w:eastAsia="Calibri" w:hAnsi="Trebuchet MS"/>
          <w:b/>
          <w:color w:val="0B73B6" w:themeColor="background2" w:themeShade="BF"/>
          <w:sz w:val="20"/>
          <w:szCs w:val="18"/>
        </w:rPr>
      </w:pPr>
    </w:p>
    <w:p w14:paraId="7D085157" w14:textId="77777777" w:rsidR="00E73CE3" w:rsidRDefault="00E73CE3" w:rsidP="00D727BF">
      <w:pPr>
        <w:pStyle w:val="Caption"/>
        <w:tabs>
          <w:tab w:val="left" w:pos="720"/>
        </w:tabs>
        <w:jc w:val="center"/>
      </w:pPr>
      <w:bookmarkStart w:id="278" w:name="_Toc445449529"/>
    </w:p>
    <w:p w14:paraId="01A0F535" w14:textId="428B7FAD" w:rsidR="003307EB" w:rsidRDefault="003307EB" w:rsidP="00D727BF">
      <w:pPr>
        <w:pStyle w:val="Caption"/>
        <w:tabs>
          <w:tab w:val="left" w:pos="720"/>
        </w:tabs>
        <w:jc w:val="center"/>
      </w:pPr>
      <w:r>
        <w:t xml:space="preserve">Table </w:t>
      </w:r>
      <w:fldSimple w:instr=" SEQ Table \* ARABIC ">
        <w:r w:rsidR="008A3BBD">
          <w:rPr>
            <w:noProof/>
          </w:rPr>
          <w:t>8</w:t>
        </w:r>
      </w:fldSimple>
      <w:bookmarkEnd w:id="277"/>
      <w:r>
        <w:t xml:space="preserve">: Increase in TFP if Nigeria </w:t>
      </w:r>
      <w:r w:rsidR="0013102A">
        <w:t xml:space="preserve">Improved Various Aspects </w:t>
      </w:r>
      <w:r>
        <w:t xml:space="preserve">of </w:t>
      </w:r>
      <w:r w:rsidR="0013102A">
        <w:t>Its Investment Climate</w:t>
      </w:r>
      <w:bookmarkEnd w:id="278"/>
    </w:p>
    <w:tbl>
      <w:tblPr>
        <w:tblW w:w="9320" w:type="dxa"/>
        <w:tblInd w:w="93" w:type="dxa"/>
        <w:tblLook w:val="04A0" w:firstRow="1" w:lastRow="0" w:firstColumn="1" w:lastColumn="0" w:noHBand="0" w:noVBand="1"/>
      </w:tblPr>
      <w:tblGrid>
        <w:gridCol w:w="3435"/>
        <w:gridCol w:w="1080"/>
        <w:gridCol w:w="1440"/>
        <w:gridCol w:w="939"/>
        <w:gridCol w:w="1142"/>
        <w:gridCol w:w="1328"/>
      </w:tblGrid>
      <w:tr w:rsidR="003307EB" w:rsidRPr="001845F3" w14:paraId="3699B354" w14:textId="77777777" w:rsidTr="00BF59F3">
        <w:trPr>
          <w:trHeight w:val="255"/>
        </w:trPr>
        <w:tc>
          <w:tcPr>
            <w:tcW w:w="3435" w:type="dxa"/>
            <w:tcBorders>
              <w:top w:val="single" w:sz="4" w:space="0" w:color="auto"/>
            </w:tcBorders>
            <w:shd w:val="clear" w:color="auto" w:fill="auto"/>
            <w:noWrap/>
            <w:vAlign w:val="center"/>
          </w:tcPr>
          <w:p w14:paraId="16EBA821" w14:textId="77777777" w:rsidR="003307EB" w:rsidRPr="001845F3" w:rsidRDefault="003307EB" w:rsidP="00D727BF">
            <w:pPr>
              <w:tabs>
                <w:tab w:val="left" w:pos="720"/>
              </w:tabs>
              <w:spacing w:after="0"/>
              <w:rPr>
                <w:rFonts w:cs="Times New Roman"/>
                <w:b/>
                <w:sz w:val="20"/>
                <w:szCs w:val="20"/>
              </w:rPr>
            </w:pPr>
          </w:p>
        </w:tc>
        <w:tc>
          <w:tcPr>
            <w:tcW w:w="1080" w:type="dxa"/>
            <w:vMerge w:val="restart"/>
            <w:tcBorders>
              <w:top w:val="single" w:sz="4" w:space="0" w:color="auto"/>
            </w:tcBorders>
            <w:shd w:val="clear" w:color="auto" w:fill="auto"/>
            <w:noWrap/>
            <w:vAlign w:val="center"/>
          </w:tcPr>
          <w:p w14:paraId="699DC477" w14:textId="77777777" w:rsidR="003307EB" w:rsidRPr="001845F3" w:rsidRDefault="003307EB" w:rsidP="00D727BF">
            <w:pPr>
              <w:tabs>
                <w:tab w:val="left" w:pos="720"/>
              </w:tabs>
              <w:spacing w:after="0"/>
              <w:rPr>
                <w:rFonts w:cs="Times New Roman"/>
                <w:b/>
                <w:sz w:val="20"/>
                <w:szCs w:val="20"/>
              </w:rPr>
            </w:pPr>
            <w:r w:rsidRPr="001845F3">
              <w:rPr>
                <w:rFonts w:cs="Times New Roman"/>
                <w:b/>
                <w:sz w:val="20"/>
                <w:szCs w:val="20"/>
              </w:rPr>
              <w:t>Value for Nigeria</w:t>
            </w:r>
          </w:p>
        </w:tc>
        <w:tc>
          <w:tcPr>
            <w:tcW w:w="2335" w:type="dxa"/>
            <w:gridSpan w:val="2"/>
            <w:tcBorders>
              <w:top w:val="single" w:sz="4" w:space="0" w:color="auto"/>
              <w:bottom w:val="single" w:sz="4" w:space="0" w:color="auto"/>
            </w:tcBorders>
            <w:shd w:val="clear" w:color="auto" w:fill="auto"/>
            <w:noWrap/>
            <w:vAlign w:val="center"/>
          </w:tcPr>
          <w:p w14:paraId="648703B3" w14:textId="77777777" w:rsidR="003307EB" w:rsidRPr="001845F3" w:rsidRDefault="003307EB" w:rsidP="00D727BF">
            <w:pPr>
              <w:tabs>
                <w:tab w:val="left" w:pos="720"/>
              </w:tabs>
              <w:spacing w:after="0"/>
              <w:rPr>
                <w:rFonts w:cs="Times New Roman"/>
                <w:b/>
                <w:sz w:val="20"/>
                <w:szCs w:val="20"/>
              </w:rPr>
            </w:pPr>
            <w:r w:rsidRPr="001845F3">
              <w:rPr>
                <w:rFonts w:cs="Times New Roman"/>
                <w:b/>
                <w:sz w:val="20"/>
                <w:szCs w:val="20"/>
              </w:rPr>
              <w:t>Performance of other countries</w:t>
            </w:r>
          </w:p>
        </w:tc>
        <w:tc>
          <w:tcPr>
            <w:tcW w:w="2470" w:type="dxa"/>
            <w:gridSpan w:val="2"/>
            <w:tcBorders>
              <w:top w:val="single" w:sz="4" w:space="0" w:color="auto"/>
              <w:bottom w:val="single" w:sz="4" w:space="0" w:color="auto"/>
            </w:tcBorders>
            <w:shd w:val="clear" w:color="auto" w:fill="auto"/>
            <w:noWrap/>
            <w:vAlign w:val="center"/>
          </w:tcPr>
          <w:p w14:paraId="2AA5D2EE" w14:textId="77777777" w:rsidR="003307EB" w:rsidRPr="001845F3" w:rsidRDefault="003307EB" w:rsidP="00D727BF">
            <w:pPr>
              <w:tabs>
                <w:tab w:val="left" w:pos="720"/>
              </w:tabs>
              <w:spacing w:after="0"/>
              <w:rPr>
                <w:rFonts w:cs="Times New Roman"/>
                <w:b/>
                <w:sz w:val="20"/>
                <w:szCs w:val="20"/>
              </w:rPr>
            </w:pPr>
            <w:r w:rsidRPr="001845F3">
              <w:rPr>
                <w:rFonts w:cs="Times New Roman"/>
                <w:b/>
                <w:sz w:val="20"/>
                <w:szCs w:val="20"/>
              </w:rPr>
              <w:t>Increase in productivity if Nigeria improve</w:t>
            </w:r>
            <w:r w:rsidR="0013102A" w:rsidRPr="001845F3">
              <w:rPr>
                <w:rFonts w:cs="Times New Roman"/>
                <w:b/>
                <w:sz w:val="20"/>
                <w:szCs w:val="20"/>
              </w:rPr>
              <w:t>s</w:t>
            </w:r>
            <w:r w:rsidRPr="001845F3">
              <w:rPr>
                <w:rFonts w:cs="Times New Roman"/>
                <w:b/>
                <w:sz w:val="20"/>
                <w:szCs w:val="20"/>
              </w:rPr>
              <w:t xml:space="preserve"> to:</w:t>
            </w:r>
          </w:p>
        </w:tc>
      </w:tr>
      <w:tr w:rsidR="003307EB" w:rsidRPr="001845F3" w14:paraId="38B27026" w14:textId="77777777" w:rsidTr="00BF59F3">
        <w:trPr>
          <w:trHeight w:val="255"/>
        </w:trPr>
        <w:tc>
          <w:tcPr>
            <w:tcW w:w="3435" w:type="dxa"/>
            <w:tcBorders>
              <w:bottom w:val="single" w:sz="4" w:space="0" w:color="auto"/>
            </w:tcBorders>
            <w:shd w:val="clear" w:color="auto" w:fill="auto"/>
            <w:noWrap/>
            <w:vAlign w:val="center"/>
            <w:hideMark/>
          </w:tcPr>
          <w:p w14:paraId="41816034" w14:textId="77777777" w:rsidR="003307EB" w:rsidRPr="001845F3" w:rsidRDefault="003307EB" w:rsidP="00D727BF">
            <w:pPr>
              <w:tabs>
                <w:tab w:val="left" w:pos="720"/>
              </w:tabs>
              <w:spacing w:after="0"/>
              <w:rPr>
                <w:rFonts w:cs="Times New Roman"/>
                <w:b/>
                <w:sz w:val="20"/>
                <w:szCs w:val="20"/>
              </w:rPr>
            </w:pPr>
          </w:p>
        </w:tc>
        <w:tc>
          <w:tcPr>
            <w:tcW w:w="1080" w:type="dxa"/>
            <w:vMerge/>
            <w:tcBorders>
              <w:bottom w:val="single" w:sz="4" w:space="0" w:color="auto"/>
            </w:tcBorders>
            <w:shd w:val="clear" w:color="auto" w:fill="auto"/>
            <w:noWrap/>
            <w:vAlign w:val="center"/>
            <w:hideMark/>
          </w:tcPr>
          <w:p w14:paraId="1B5477B2" w14:textId="77777777" w:rsidR="003307EB" w:rsidRPr="001845F3" w:rsidRDefault="003307EB" w:rsidP="00D727BF">
            <w:pPr>
              <w:tabs>
                <w:tab w:val="left" w:pos="720"/>
              </w:tabs>
              <w:spacing w:after="0"/>
              <w:rPr>
                <w:rFonts w:cs="Times New Roman"/>
                <w:b/>
                <w:sz w:val="20"/>
                <w:szCs w:val="20"/>
              </w:rPr>
            </w:pPr>
          </w:p>
        </w:tc>
        <w:tc>
          <w:tcPr>
            <w:tcW w:w="1440" w:type="dxa"/>
            <w:tcBorders>
              <w:top w:val="single" w:sz="4" w:space="0" w:color="auto"/>
              <w:bottom w:val="single" w:sz="4" w:space="0" w:color="auto"/>
            </w:tcBorders>
            <w:shd w:val="clear" w:color="auto" w:fill="auto"/>
            <w:noWrap/>
            <w:vAlign w:val="center"/>
            <w:hideMark/>
          </w:tcPr>
          <w:p w14:paraId="1280A21C" w14:textId="77777777" w:rsidR="003307EB" w:rsidRPr="001845F3" w:rsidRDefault="003307EB" w:rsidP="00D727BF">
            <w:pPr>
              <w:tabs>
                <w:tab w:val="left" w:pos="720"/>
              </w:tabs>
              <w:spacing w:after="0"/>
              <w:rPr>
                <w:rFonts w:cs="Times New Roman"/>
                <w:b/>
                <w:sz w:val="20"/>
                <w:szCs w:val="20"/>
              </w:rPr>
            </w:pPr>
            <w:r w:rsidRPr="001845F3">
              <w:rPr>
                <w:rFonts w:cs="Times New Roman"/>
                <w:b/>
                <w:sz w:val="20"/>
                <w:szCs w:val="20"/>
              </w:rPr>
              <w:t>Country at 20th percentile</w:t>
            </w:r>
          </w:p>
        </w:tc>
        <w:tc>
          <w:tcPr>
            <w:tcW w:w="895" w:type="dxa"/>
            <w:tcBorders>
              <w:top w:val="single" w:sz="4" w:space="0" w:color="auto"/>
              <w:bottom w:val="single" w:sz="4" w:space="0" w:color="auto"/>
            </w:tcBorders>
            <w:shd w:val="clear" w:color="auto" w:fill="auto"/>
            <w:noWrap/>
            <w:vAlign w:val="center"/>
            <w:hideMark/>
          </w:tcPr>
          <w:p w14:paraId="6BD7D9B8" w14:textId="77777777" w:rsidR="003307EB" w:rsidRPr="001845F3" w:rsidRDefault="003307EB" w:rsidP="00D727BF">
            <w:pPr>
              <w:tabs>
                <w:tab w:val="left" w:pos="720"/>
              </w:tabs>
              <w:spacing w:after="0"/>
              <w:rPr>
                <w:rFonts w:cs="Times New Roman"/>
                <w:b/>
                <w:sz w:val="20"/>
                <w:szCs w:val="20"/>
              </w:rPr>
            </w:pPr>
            <w:r w:rsidRPr="001845F3">
              <w:rPr>
                <w:rFonts w:cs="Times New Roman"/>
                <w:b/>
                <w:sz w:val="20"/>
                <w:szCs w:val="20"/>
              </w:rPr>
              <w:t>Median Country</w:t>
            </w:r>
          </w:p>
        </w:tc>
        <w:tc>
          <w:tcPr>
            <w:tcW w:w="1142" w:type="dxa"/>
            <w:tcBorders>
              <w:top w:val="single" w:sz="4" w:space="0" w:color="auto"/>
              <w:bottom w:val="single" w:sz="4" w:space="0" w:color="auto"/>
            </w:tcBorders>
            <w:shd w:val="clear" w:color="auto" w:fill="auto"/>
            <w:noWrap/>
            <w:vAlign w:val="center"/>
            <w:hideMark/>
          </w:tcPr>
          <w:p w14:paraId="52C867F8" w14:textId="77777777" w:rsidR="003307EB" w:rsidRPr="001845F3" w:rsidRDefault="003307EB" w:rsidP="00D727BF">
            <w:pPr>
              <w:tabs>
                <w:tab w:val="left" w:pos="720"/>
              </w:tabs>
              <w:spacing w:after="0"/>
              <w:rPr>
                <w:rFonts w:cs="Times New Roman"/>
                <w:b/>
                <w:sz w:val="20"/>
                <w:szCs w:val="20"/>
              </w:rPr>
            </w:pPr>
            <w:r w:rsidRPr="001845F3">
              <w:rPr>
                <w:rFonts w:cs="Times New Roman"/>
                <w:b/>
                <w:sz w:val="20"/>
                <w:szCs w:val="20"/>
              </w:rPr>
              <w:t>20th percentile</w:t>
            </w:r>
          </w:p>
        </w:tc>
        <w:tc>
          <w:tcPr>
            <w:tcW w:w="1328" w:type="dxa"/>
            <w:tcBorders>
              <w:top w:val="single" w:sz="4" w:space="0" w:color="auto"/>
              <w:bottom w:val="single" w:sz="4" w:space="0" w:color="auto"/>
            </w:tcBorders>
            <w:shd w:val="clear" w:color="auto" w:fill="auto"/>
            <w:noWrap/>
            <w:vAlign w:val="center"/>
            <w:hideMark/>
          </w:tcPr>
          <w:p w14:paraId="6D49864F" w14:textId="77777777" w:rsidR="003307EB" w:rsidRPr="001845F3" w:rsidRDefault="003307EB" w:rsidP="00D727BF">
            <w:pPr>
              <w:tabs>
                <w:tab w:val="left" w:pos="720"/>
              </w:tabs>
              <w:spacing w:after="0"/>
              <w:rPr>
                <w:rFonts w:cs="Times New Roman"/>
                <w:b/>
                <w:sz w:val="20"/>
                <w:szCs w:val="20"/>
              </w:rPr>
            </w:pPr>
            <w:r w:rsidRPr="001845F3">
              <w:rPr>
                <w:rFonts w:cs="Times New Roman"/>
                <w:b/>
                <w:sz w:val="20"/>
                <w:szCs w:val="20"/>
              </w:rPr>
              <w:t>Median</w:t>
            </w:r>
          </w:p>
        </w:tc>
      </w:tr>
      <w:tr w:rsidR="003307EB" w:rsidRPr="001845F3" w14:paraId="4B98122B" w14:textId="77777777" w:rsidTr="001845F3">
        <w:trPr>
          <w:trHeight w:hRule="exact" w:val="288"/>
        </w:trPr>
        <w:tc>
          <w:tcPr>
            <w:tcW w:w="3435" w:type="dxa"/>
            <w:tcBorders>
              <w:top w:val="single" w:sz="4" w:space="0" w:color="auto"/>
            </w:tcBorders>
            <w:shd w:val="clear" w:color="auto" w:fill="auto"/>
            <w:noWrap/>
            <w:vAlign w:val="center"/>
            <w:hideMark/>
          </w:tcPr>
          <w:p w14:paraId="30852790"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Time dealing with regulation (%)</w:t>
            </w:r>
          </w:p>
        </w:tc>
        <w:tc>
          <w:tcPr>
            <w:tcW w:w="1080" w:type="dxa"/>
            <w:tcBorders>
              <w:top w:val="single" w:sz="4" w:space="0" w:color="auto"/>
            </w:tcBorders>
            <w:shd w:val="clear" w:color="auto" w:fill="auto"/>
            <w:noWrap/>
            <w:vAlign w:val="center"/>
            <w:hideMark/>
          </w:tcPr>
          <w:p w14:paraId="7F4B9D45"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9.9</w:t>
            </w:r>
          </w:p>
        </w:tc>
        <w:tc>
          <w:tcPr>
            <w:tcW w:w="1440" w:type="dxa"/>
            <w:tcBorders>
              <w:top w:val="single" w:sz="4" w:space="0" w:color="auto"/>
            </w:tcBorders>
            <w:shd w:val="clear" w:color="auto" w:fill="auto"/>
            <w:noWrap/>
            <w:vAlign w:val="center"/>
            <w:hideMark/>
          </w:tcPr>
          <w:p w14:paraId="12DD57BB"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5.09</w:t>
            </w:r>
          </w:p>
        </w:tc>
        <w:tc>
          <w:tcPr>
            <w:tcW w:w="895" w:type="dxa"/>
            <w:tcBorders>
              <w:top w:val="single" w:sz="4" w:space="0" w:color="auto"/>
            </w:tcBorders>
            <w:shd w:val="clear" w:color="auto" w:fill="auto"/>
            <w:noWrap/>
            <w:vAlign w:val="center"/>
            <w:hideMark/>
          </w:tcPr>
          <w:p w14:paraId="507B578E"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9.41</w:t>
            </w:r>
          </w:p>
        </w:tc>
        <w:tc>
          <w:tcPr>
            <w:tcW w:w="1142" w:type="dxa"/>
            <w:tcBorders>
              <w:top w:val="single" w:sz="4" w:space="0" w:color="auto"/>
            </w:tcBorders>
            <w:shd w:val="clear" w:color="auto" w:fill="auto"/>
            <w:noWrap/>
            <w:vAlign w:val="center"/>
            <w:hideMark/>
          </w:tcPr>
          <w:p w14:paraId="26DACC63"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1.0%</w:t>
            </w:r>
          </w:p>
        </w:tc>
        <w:tc>
          <w:tcPr>
            <w:tcW w:w="1328" w:type="dxa"/>
            <w:tcBorders>
              <w:top w:val="single" w:sz="4" w:space="0" w:color="auto"/>
            </w:tcBorders>
            <w:shd w:val="clear" w:color="auto" w:fill="auto"/>
            <w:noWrap/>
            <w:vAlign w:val="center"/>
            <w:hideMark/>
          </w:tcPr>
          <w:p w14:paraId="32DFB7B9"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0.1%</w:t>
            </w:r>
          </w:p>
        </w:tc>
      </w:tr>
      <w:tr w:rsidR="003307EB" w:rsidRPr="001845F3" w14:paraId="68AA02F1" w14:textId="77777777" w:rsidTr="001845F3">
        <w:trPr>
          <w:trHeight w:hRule="exact" w:val="288"/>
        </w:trPr>
        <w:tc>
          <w:tcPr>
            <w:tcW w:w="3435" w:type="dxa"/>
            <w:shd w:val="clear" w:color="auto" w:fill="auto"/>
            <w:noWrap/>
            <w:vAlign w:val="center"/>
            <w:hideMark/>
          </w:tcPr>
          <w:p w14:paraId="23FDCCEC"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Bribes (% of sales)</w:t>
            </w:r>
          </w:p>
        </w:tc>
        <w:tc>
          <w:tcPr>
            <w:tcW w:w="1080" w:type="dxa"/>
            <w:shd w:val="clear" w:color="auto" w:fill="auto"/>
            <w:noWrap/>
            <w:vAlign w:val="center"/>
            <w:hideMark/>
          </w:tcPr>
          <w:p w14:paraId="5AAB3048"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0.2</w:t>
            </w:r>
          </w:p>
        </w:tc>
        <w:tc>
          <w:tcPr>
            <w:tcW w:w="1440" w:type="dxa"/>
            <w:shd w:val="clear" w:color="auto" w:fill="auto"/>
            <w:noWrap/>
            <w:vAlign w:val="center"/>
            <w:hideMark/>
          </w:tcPr>
          <w:p w14:paraId="74681CFC"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0.00</w:t>
            </w:r>
          </w:p>
        </w:tc>
        <w:tc>
          <w:tcPr>
            <w:tcW w:w="895" w:type="dxa"/>
            <w:shd w:val="clear" w:color="auto" w:fill="auto"/>
            <w:noWrap/>
            <w:vAlign w:val="center"/>
            <w:hideMark/>
          </w:tcPr>
          <w:p w14:paraId="592CDFCA"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0.01</w:t>
            </w:r>
          </w:p>
        </w:tc>
        <w:tc>
          <w:tcPr>
            <w:tcW w:w="1142" w:type="dxa"/>
            <w:shd w:val="clear" w:color="auto" w:fill="auto"/>
            <w:noWrap/>
            <w:vAlign w:val="center"/>
            <w:hideMark/>
          </w:tcPr>
          <w:p w14:paraId="2992261F"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0.3%</w:t>
            </w:r>
          </w:p>
        </w:tc>
        <w:tc>
          <w:tcPr>
            <w:tcW w:w="1328" w:type="dxa"/>
            <w:shd w:val="clear" w:color="auto" w:fill="auto"/>
            <w:noWrap/>
            <w:vAlign w:val="center"/>
            <w:hideMark/>
          </w:tcPr>
          <w:p w14:paraId="66CD2FA7"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0.2%</w:t>
            </w:r>
          </w:p>
        </w:tc>
      </w:tr>
      <w:tr w:rsidR="003307EB" w:rsidRPr="001845F3" w14:paraId="623C0BA2" w14:textId="77777777" w:rsidTr="001845F3">
        <w:trPr>
          <w:trHeight w:hRule="exact" w:val="288"/>
        </w:trPr>
        <w:tc>
          <w:tcPr>
            <w:tcW w:w="3435" w:type="dxa"/>
            <w:shd w:val="clear" w:color="auto" w:fill="auto"/>
            <w:noWrap/>
            <w:vAlign w:val="center"/>
            <w:hideMark/>
          </w:tcPr>
          <w:p w14:paraId="5D3FB941"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Losses to crime (% of sales)</w:t>
            </w:r>
          </w:p>
        </w:tc>
        <w:tc>
          <w:tcPr>
            <w:tcW w:w="1080" w:type="dxa"/>
            <w:shd w:val="clear" w:color="auto" w:fill="auto"/>
            <w:noWrap/>
            <w:vAlign w:val="center"/>
            <w:hideMark/>
          </w:tcPr>
          <w:p w14:paraId="70B2ED6B"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6.3</w:t>
            </w:r>
          </w:p>
        </w:tc>
        <w:tc>
          <w:tcPr>
            <w:tcW w:w="1440" w:type="dxa"/>
            <w:shd w:val="clear" w:color="auto" w:fill="auto"/>
            <w:noWrap/>
            <w:vAlign w:val="center"/>
            <w:hideMark/>
          </w:tcPr>
          <w:p w14:paraId="1B4B16E9"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0.13</w:t>
            </w:r>
          </w:p>
        </w:tc>
        <w:tc>
          <w:tcPr>
            <w:tcW w:w="895" w:type="dxa"/>
            <w:shd w:val="clear" w:color="auto" w:fill="auto"/>
            <w:noWrap/>
            <w:vAlign w:val="center"/>
            <w:hideMark/>
          </w:tcPr>
          <w:p w14:paraId="2ABAB7FF"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0.35</w:t>
            </w:r>
          </w:p>
        </w:tc>
        <w:tc>
          <w:tcPr>
            <w:tcW w:w="1142" w:type="dxa"/>
            <w:shd w:val="clear" w:color="auto" w:fill="auto"/>
            <w:noWrap/>
            <w:vAlign w:val="center"/>
            <w:hideMark/>
          </w:tcPr>
          <w:p w14:paraId="583172D3"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22.6%</w:t>
            </w:r>
          </w:p>
        </w:tc>
        <w:tc>
          <w:tcPr>
            <w:tcW w:w="1328" w:type="dxa"/>
            <w:shd w:val="clear" w:color="auto" w:fill="auto"/>
            <w:noWrap/>
            <w:vAlign w:val="center"/>
            <w:hideMark/>
          </w:tcPr>
          <w:p w14:paraId="7C0EE389"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21.7%</w:t>
            </w:r>
          </w:p>
        </w:tc>
      </w:tr>
      <w:tr w:rsidR="003307EB" w:rsidRPr="001845F3" w14:paraId="576416D6" w14:textId="77777777" w:rsidTr="00C1531C">
        <w:trPr>
          <w:trHeight w:hRule="exact" w:val="531"/>
        </w:trPr>
        <w:tc>
          <w:tcPr>
            <w:tcW w:w="3435" w:type="dxa"/>
            <w:shd w:val="clear" w:color="auto" w:fill="auto"/>
            <w:noWrap/>
            <w:vAlign w:val="center"/>
            <w:hideMark/>
          </w:tcPr>
          <w:p w14:paraId="34973246" w14:textId="15C4A2BE" w:rsidR="003307EB" w:rsidRPr="001845F3" w:rsidRDefault="003307EB" w:rsidP="00D727BF">
            <w:pPr>
              <w:tabs>
                <w:tab w:val="left" w:pos="720"/>
              </w:tabs>
              <w:spacing w:after="0"/>
              <w:rPr>
                <w:rFonts w:cs="Times New Roman"/>
                <w:sz w:val="20"/>
                <w:szCs w:val="20"/>
              </w:rPr>
            </w:pPr>
            <w:r w:rsidRPr="001845F3">
              <w:rPr>
                <w:rFonts w:cs="Times New Roman"/>
                <w:sz w:val="20"/>
                <w:szCs w:val="20"/>
              </w:rPr>
              <w:t>Losses due to power outages (% of sales)</w:t>
            </w:r>
            <w:r w:rsidR="00C1531C">
              <w:rPr>
                <w:rStyle w:val="FootnoteReference"/>
                <w:rFonts w:cs="Times New Roman"/>
                <w:sz w:val="20"/>
                <w:szCs w:val="20"/>
              </w:rPr>
              <w:footnoteReference w:id="49"/>
            </w:r>
          </w:p>
        </w:tc>
        <w:tc>
          <w:tcPr>
            <w:tcW w:w="1080" w:type="dxa"/>
            <w:shd w:val="clear" w:color="auto" w:fill="auto"/>
            <w:noWrap/>
            <w:vAlign w:val="center"/>
            <w:hideMark/>
          </w:tcPr>
          <w:p w14:paraId="27707AE7"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1.7</w:t>
            </w:r>
          </w:p>
        </w:tc>
        <w:tc>
          <w:tcPr>
            <w:tcW w:w="1440" w:type="dxa"/>
            <w:shd w:val="clear" w:color="auto" w:fill="auto"/>
            <w:noWrap/>
            <w:vAlign w:val="center"/>
            <w:hideMark/>
          </w:tcPr>
          <w:p w14:paraId="2127B0BC"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0.01</w:t>
            </w:r>
          </w:p>
        </w:tc>
        <w:tc>
          <w:tcPr>
            <w:tcW w:w="895" w:type="dxa"/>
            <w:shd w:val="clear" w:color="auto" w:fill="auto"/>
            <w:noWrap/>
            <w:vAlign w:val="center"/>
            <w:hideMark/>
          </w:tcPr>
          <w:p w14:paraId="0AB3D459"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0.11</w:t>
            </w:r>
          </w:p>
        </w:tc>
        <w:tc>
          <w:tcPr>
            <w:tcW w:w="1142" w:type="dxa"/>
            <w:shd w:val="clear" w:color="auto" w:fill="auto"/>
            <w:noWrap/>
            <w:vAlign w:val="center"/>
            <w:hideMark/>
          </w:tcPr>
          <w:p w14:paraId="2FE608B7"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3.9%</w:t>
            </w:r>
          </w:p>
        </w:tc>
        <w:tc>
          <w:tcPr>
            <w:tcW w:w="1328" w:type="dxa"/>
            <w:shd w:val="clear" w:color="auto" w:fill="auto"/>
            <w:noWrap/>
            <w:vAlign w:val="center"/>
            <w:hideMark/>
          </w:tcPr>
          <w:p w14:paraId="26E918AB"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3.7%</w:t>
            </w:r>
          </w:p>
        </w:tc>
      </w:tr>
      <w:tr w:rsidR="003307EB" w:rsidRPr="001845F3" w14:paraId="2D68AA6C" w14:textId="77777777" w:rsidTr="001845F3">
        <w:trPr>
          <w:trHeight w:hRule="exact" w:val="288"/>
        </w:trPr>
        <w:tc>
          <w:tcPr>
            <w:tcW w:w="3435" w:type="dxa"/>
            <w:shd w:val="clear" w:color="auto" w:fill="auto"/>
            <w:noWrap/>
            <w:vAlign w:val="center"/>
            <w:hideMark/>
          </w:tcPr>
          <w:p w14:paraId="35CCEADB"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 of firms with bank credit</w:t>
            </w:r>
          </w:p>
        </w:tc>
        <w:tc>
          <w:tcPr>
            <w:tcW w:w="1080" w:type="dxa"/>
            <w:shd w:val="clear" w:color="auto" w:fill="auto"/>
            <w:noWrap/>
            <w:vAlign w:val="center"/>
            <w:hideMark/>
          </w:tcPr>
          <w:p w14:paraId="115AA89B"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16%</w:t>
            </w:r>
          </w:p>
        </w:tc>
        <w:tc>
          <w:tcPr>
            <w:tcW w:w="1440" w:type="dxa"/>
            <w:shd w:val="clear" w:color="auto" w:fill="auto"/>
            <w:noWrap/>
            <w:vAlign w:val="center"/>
            <w:hideMark/>
          </w:tcPr>
          <w:p w14:paraId="5E02FC00"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78%</w:t>
            </w:r>
          </w:p>
        </w:tc>
        <w:tc>
          <w:tcPr>
            <w:tcW w:w="895" w:type="dxa"/>
            <w:shd w:val="clear" w:color="auto" w:fill="auto"/>
            <w:noWrap/>
            <w:vAlign w:val="center"/>
            <w:hideMark/>
          </w:tcPr>
          <w:p w14:paraId="338A86F5"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60%</w:t>
            </w:r>
          </w:p>
        </w:tc>
        <w:tc>
          <w:tcPr>
            <w:tcW w:w="1142" w:type="dxa"/>
            <w:shd w:val="clear" w:color="auto" w:fill="auto"/>
            <w:noWrap/>
            <w:vAlign w:val="center"/>
            <w:hideMark/>
          </w:tcPr>
          <w:p w14:paraId="6468419D"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7.3%</w:t>
            </w:r>
          </w:p>
        </w:tc>
        <w:tc>
          <w:tcPr>
            <w:tcW w:w="1328" w:type="dxa"/>
            <w:shd w:val="clear" w:color="auto" w:fill="auto"/>
            <w:noWrap/>
            <w:vAlign w:val="center"/>
            <w:hideMark/>
          </w:tcPr>
          <w:p w14:paraId="0EAA115C"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5.2%</w:t>
            </w:r>
          </w:p>
        </w:tc>
      </w:tr>
      <w:tr w:rsidR="003307EB" w:rsidRPr="001845F3" w14:paraId="3661D1BC" w14:textId="77777777" w:rsidTr="001845F3">
        <w:trPr>
          <w:trHeight w:hRule="exact" w:val="288"/>
        </w:trPr>
        <w:tc>
          <w:tcPr>
            <w:tcW w:w="3435" w:type="dxa"/>
            <w:shd w:val="clear" w:color="auto" w:fill="auto"/>
            <w:noWrap/>
            <w:vAlign w:val="center"/>
            <w:hideMark/>
          </w:tcPr>
          <w:p w14:paraId="235ECD53"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 of firms with own website</w:t>
            </w:r>
          </w:p>
        </w:tc>
        <w:tc>
          <w:tcPr>
            <w:tcW w:w="1080" w:type="dxa"/>
            <w:shd w:val="clear" w:color="auto" w:fill="auto"/>
            <w:noWrap/>
            <w:vAlign w:val="center"/>
            <w:hideMark/>
          </w:tcPr>
          <w:p w14:paraId="06F7A5B3"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17%</w:t>
            </w:r>
          </w:p>
        </w:tc>
        <w:tc>
          <w:tcPr>
            <w:tcW w:w="1440" w:type="dxa"/>
            <w:shd w:val="clear" w:color="auto" w:fill="auto"/>
            <w:noWrap/>
            <w:vAlign w:val="center"/>
            <w:hideMark/>
          </w:tcPr>
          <w:p w14:paraId="659C6E82"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62%</w:t>
            </w:r>
          </w:p>
        </w:tc>
        <w:tc>
          <w:tcPr>
            <w:tcW w:w="895" w:type="dxa"/>
            <w:shd w:val="clear" w:color="auto" w:fill="auto"/>
            <w:noWrap/>
            <w:vAlign w:val="center"/>
            <w:hideMark/>
          </w:tcPr>
          <w:p w14:paraId="3D48710E"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34%</w:t>
            </w:r>
          </w:p>
        </w:tc>
        <w:tc>
          <w:tcPr>
            <w:tcW w:w="1142" w:type="dxa"/>
            <w:shd w:val="clear" w:color="auto" w:fill="auto"/>
            <w:noWrap/>
            <w:vAlign w:val="center"/>
            <w:hideMark/>
          </w:tcPr>
          <w:p w14:paraId="1F25FB48"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15.0%</w:t>
            </w:r>
          </w:p>
        </w:tc>
        <w:tc>
          <w:tcPr>
            <w:tcW w:w="1328" w:type="dxa"/>
            <w:shd w:val="clear" w:color="auto" w:fill="auto"/>
            <w:noWrap/>
            <w:vAlign w:val="center"/>
            <w:hideMark/>
          </w:tcPr>
          <w:p w14:paraId="0F25C0CA"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5.5%</w:t>
            </w:r>
          </w:p>
        </w:tc>
      </w:tr>
      <w:tr w:rsidR="003307EB" w:rsidRPr="001845F3" w14:paraId="7A547DEB" w14:textId="77777777" w:rsidTr="00401FB2">
        <w:trPr>
          <w:trHeight w:hRule="exact" w:val="495"/>
        </w:trPr>
        <w:tc>
          <w:tcPr>
            <w:tcW w:w="3435" w:type="dxa"/>
            <w:shd w:val="clear" w:color="auto" w:fill="auto"/>
            <w:noWrap/>
            <w:vAlign w:val="center"/>
            <w:hideMark/>
          </w:tcPr>
          <w:p w14:paraId="61B7F6A8"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lastRenderedPageBreak/>
              <w:t>% of firms that license foreign technologies</w:t>
            </w:r>
          </w:p>
        </w:tc>
        <w:tc>
          <w:tcPr>
            <w:tcW w:w="1080" w:type="dxa"/>
            <w:shd w:val="clear" w:color="auto" w:fill="auto"/>
            <w:noWrap/>
            <w:vAlign w:val="center"/>
            <w:hideMark/>
          </w:tcPr>
          <w:p w14:paraId="697E714E"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7%</w:t>
            </w:r>
          </w:p>
        </w:tc>
        <w:tc>
          <w:tcPr>
            <w:tcW w:w="1440" w:type="dxa"/>
            <w:shd w:val="clear" w:color="auto" w:fill="auto"/>
            <w:noWrap/>
            <w:vAlign w:val="center"/>
            <w:hideMark/>
          </w:tcPr>
          <w:p w14:paraId="32CDBB37"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21%</w:t>
            </w:r>
          </w:p>
        </w:tc>
        <w:tc>
          <w:tcPr>
            <w:tcW w:w="895" w:type="dxa"/>
            <w:shd w:val="clear" w:color="auto" w:fill="auto"/>
            <w:noWrap/>
            <w:vAlign w:val="center"/>
            <w:hideMark/>
          </w:tcPr>
          <w:p w14:paraId="19940CD1"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14%</w:t>
            </w:r>
          </w:p>
        </w:tc>
        <w:tc>
          <w:tcPr>
            <w:tcW w:w="1142" w:type="dxa"/>
            <w:shd w:val="clear" w:color="auto" w:fill="auto"/>
            <w:noWrap/>
            <w:vAlign w:val="center"/>
            <w:hideMark/>
          </w:tcPr>
          <w:p w14:paraId="5FBC6D9D"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2.1%</w:t>
            </w:r>
          </w:p>
        </w:tc>
        <w:tc>
          <w:tcPr>
            <w:tcW w:w="1328" w:type="dxa"/>
            <w:shd w:val="clear" w:color="auto" w:fill="auto"/>
            <w:noWrap/>
            <w:vAlign w:val="center"/>
            <w:hideMark/>
          </w:tcPr>
          <w:p w14:paraId="5AC60902"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1.0%</w:t>
            </w:r>
          </w:p>
        </w:tc>
      </w:tr>
      <w:tr w:rsidR="003307EB" w:rsidRPr="001845F3" w14:paraId="0FF5805F" w14:textId="77777777" w:rsidTr="001845F3">
        <w:trPr>
          <w:trHeight w:hRule="exact" w:val="288"/>
        </w:trPr>
        <w:tc>
          <w:tcPr>
            <w:tcW w:w="3435" w:type="dxa"/>
            <w:shd w:val="clear" w:color="auto" w:fill="auto"/>
            <w:noWrap/>
            <w:vAlign w:val="center"/>
            <w:hideMark/>
          </w:tcPr>
          <w:p w14:paraId="166FABAA"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 of firms with training programs</w:t>
            </w:r>
          </w:p>
        </w:tc>
        <w:tc>
          <w:tcPr>
            <w:tcW w:w="1080" w:type="dxa"/>
            <w:shd w:val="clear" w:color="auto" w:fill="auto"/>
            <w:noWrap/>
            <w:vAlign w:val="center"/>
            <w:hideMark/>
          </w:tcPr>
          <w:p w14:paraId="55196602"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29%</w:t>
            </w:r>
          </w:p>
        </w:tc>
        <w:tc>
          <w:tcPr>
            <w:tcW w:w="1440" w:type="dxa"/>
            <w:shd w:val="clear" w:color="auto" w:fill="auto"/>
            <w:noWrap/>
            <w:vAlign w:val="center"/>
            <w:hideMark/>
          </w:tcPr>
          <w:p w14:paraId="4A6B3EFB"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49%</w:t>
            </w:r>
          </w:p>
        </w:tc>
        <w:tc>
          <w:tcPr>
            <w:tcW w:w="895" w:type="dxa"/>
            <w:shd w:val="clear" w:color="auto" w:fill="auto"/>
            <w:noWrap/>
            <w:vAlign w:val="center"/>
            <w:hideMark/>
          </w:tcPr>
          <w:p w14:paraId="0F5BFE60"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32%</w:t>
            </w:r>
          </w:p>
        </w:tc>
        <w:tc>
          <w:tcPr>
            <w:tcW w:w="1142" w:type="dxa"/>
            <w:shd w:val="clear" w:color="auto" w:fill="auto"/>
            <w:noWrap/>
            <w:vAlign w:val="center"/>
            <w:hideMark/>
          </w:tcPr>
          <w:p w14:paraId="573A5E86"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2.6%</w:t>
            </w:r>
          </w:p>
        </w:tc>
        <w:tc>
          <w:tcPr>
            <w:tcW w:w="1328" w:type="dxa"/>
            <w:shd w:val="clear" w:color="auto" w:fill="auto"/>
            <w:noWrap/>
            <w:vAlign w:val="center"/>
            <w:hideMark/>
          </w:tcPr>
          <w:p w14:paraId="7549169D"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0.4%</w:t>
            </w:r>
          </w:p>
        </w:tc>
      </w:tr>
      <w:tr w:rsidR="003307EB" w:rsidRPr="001845F3" w14:paraId="37E086B8" w14:textId="77777777" w:rsidTr="001845F3">
        <w:trPr>
          <w:trHeight w:hRule="exact" w:val="288"/>
        </w:trPr>
        <w:tc>
          <w:tcPr>
            <w:tcW w:w="3435" w:type="dxa"/>
            <w:shd w:val="clear" w:color="auto" w:fill="auto"/>
            <w:noWrap/>
            <w:vAlign w:val="center"/>
            <w:hideMark/>
          </w:tcPr>
          <w:p w14:paraId="584A6F63"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Firm is an exporter (dummy)</w:t>
            </w:r>
          </w:p>
        </w:tc>
        <w:tc>
          <w:tcPr>
            <w:tcW w:w="1080" w:type="dxa"/>
            <w:shd w:val="clear" w:color="auto" w:fill="auto"/>
            <w:noWrap/>
            <w:vAlign w:val="center"/>
            <w:hideMark/>
          </w:tcPr>
          <w:p w14:paraId="3AA00F9E"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24%</w:t>
            </w:r>
          </w:p>
        </w:tc>
        <w:tc>
          <w:tcPr>
            <w:tcW w:w="1440" w:type="dxa"/>
            <w:shd w:val="clear" w:color="auto" w:fill="auto"/>
            <w:noWrap/>
            <w:vAlign w:val="center"/>
            <w:hideMark/>
          </w:tcPr>
          <w:p w14:paraId="2983F465"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45%</w:t>
            </w:r>
          </w:p>
        </w:tc>
        <w:tc>
          <w:tcPr>
            <w:tcW w:w="895" w:type="dxa"/>
            <w:shd w:val="clear" w:color="auto" w:fill="auto"/>
            <w:noWrap/>
            <w:vAlign w:val="center"/>
            <w:hideMark/>
          </w:tcPr>
          <w:p w14:paraId="464391EB"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24%</w:t>
            </w:r>
          </w:p>
        </w:tc>
        <w:tc>
          <w:tcPr>
            <w:tcW w:w="1142" w:type="dxa"/>
            <w:shd w:val="clear" w:color="auto" w:fill="auto"/>
            <w:noWrap/>
            <w:vAlign w:val="center"/>
            <w:hideMark/>
          </w:tcPr>
          <w:p w14:paraId="2941CC4C"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4.1%</w:t>
            </w:r>
          </w:p>
        </w:tc>
        <w:tc>
          <w:tcPr>
            <w:tcW w:w="1328" w:type="dxa"/>
            <w:shd w:val="clear" w:color="auto" w:fill="auto"/>
            <w:noWrap/>
            <w:vAlign w:val="center"/>
            <w:hideMark/>
          </w:tcPr>
          <w:p w14:paraId="5C4756F9"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0.0%</w:t>
            </w:r>
          </w:p>
        </w:tc>
      </w:tr>
      <w:tr w:rsidR="003307EB" w:rsidRPr="001845F3" w14:paraId="0E1C3AA3" w14:textId="77777777" w:rsidTr="001845F3">
        <w:trPr>
          <w:trHeight w:hRule="exact" w:val="288"/>
        </w:trPr>
        <w:tc>
          <w:tcPr>
            <w:tcW w:w="3435" w:type="dxa"/>
            <w:shd w:val="clear" w:color="auto" w:fill="auto"/>
            <w:noWrap/>
            <w:vAlign w:val="center"/>
            <w:hideMark/>
          </w:tcPr>
          <w:p w14:paraId="3B9D08C7" w14:textId="0AA75A0F" w:rsidR="003307EB" w:rsidRPr="001845F3" w:rsidRDefault="003307EB" w:rsidP="00D727BF">
            <w:pPr>
              <w:tabs>
                <w:tab w:val="left" w:pos="720"/>
              </w:tabs>
              <w:spacing w:after="0"/>
              <w:rPr>
                <w:rFonts w:cs="Times New Roman"/>
                <w:sz w:val="20"/>
                <w:szCs w:val="20"/>
              </w:rPr>
            </w:pPr>
            <w:r w:rsidRPr="001845F3">
              <w:rPr>
                <w:rFonts w:cs="Times New Roman"/>
                <w:sz w:val="20"/>
                <w:szCs w:val="20"/>
              </w:rPr>
              <w:t>Firm is foreign</w:t>
            </w:r>
            <w:r w:rsidR="005C2C98">
              <w:rPr>
                <w:rFonts w:cs="Times New Roman"/>
                <w:sz w:val="20"/>
                <w:szCs w:val="20"/>
              </w:rPr>
              <w:t xml:space="preserve"> </w:t>
            </w:r>
            <w:r w:rsidRPr="001845F3">
              <w:rPr>
                <w:rFonts w:cs="Times New Roman"/>
                <w:sz w:val="20"/>
                <w:szCs w:val="20"/>
              </w:rPr>
              <w:t>owned (dummy)</w:t>
            </w:r>
          </w:p>
        </w:tc>
        <w:tc>
          <w:tcPr>
            <w:tcW w:w="1080" w:type="dxa"/>
            <w:shd w:val="clear" w:color="auto" w:fill="auto"/>
            <w:noWrap/>
            <w:vAlign w:val="center"/>
            <w:hideMark/>
          </w:tcPr>
          <w:p w14:paraId="12667C28"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3%</w:t>
            </w:r>
          </w:p>
        </w:tc>
        <w:tc>
          <w:tcPr>
            <w:tcW w:w="1440" w:type="dxa"/>
            <w:shd w:val="clear" w:color="auto" w:fill="auto"/>
            <w:noWrap/>
            <w:vAlign w:val="center"/>
            <w:hideMark/>
          </w:tcPr>
          <w:p w14:paraId="00B5D769"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17%</w:t>
            </w:r>
          </w:p>
        </w:tc>
        <w:tc>
          <w:tcPr>
            <w:tcW w:w="895" w:type="dxa"/>
            <w:shd w:val="clear" w:color="auto" w:fill="auto"/>
            <w:noWrap/>
            <w:vAlign w:val="center"/>
            <w:hideMark/>
          </w:tcPr>
          <w:p w14:paraId="5B15988E"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8%</w:t>
            </w:r>
          </w:p>
        </w:tc>
        <w:tc>
          <w:tcPr>
            <w:tcW w:w="1142" w:type="dxa"/>
            <w:shd w:val="clear" w:color="auto" w:fill="auto"/>
            <w:noWrap/>
            <w:vAlign w:val="center"/>
            <w:hideMark/>
          </w:tcPr>
          <w:p w14:paraId="668A6F61"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3.8%</w:t>
            </w:r>
          </w:p>
        </w:tc>
        <w:tc>
          <w:tcPr>
            <w:tcW w:w="1328" w:type="dxa"/>
            <w:shd w:val="clear" w:color="auto" w:fill="auto"/>
            <w:noWrap/>
            <w:vAlign w:val="center"/>
            <w:hideMark/>
          </w:tcPr>
          <w:p w14:paraId="67DFC1D7"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1.4%</w:t>
            </w:r>
          </w:p>
        </w:tc>
      </w:tr>
      <w:tr w:rsidR="003307EB" w:rsidRPr="001845F3" w14:paraId="33EAECA2" w14:textId="77777777" w:rsidTr="001845F3">
        <w:trPr>
          <w:trHeight w:hRule="exact" w:val="288"/>
        </w:trPr>
        <w:tc>
          <w:tcPr>
            <w:tcW w:w="3435" w:type="dxa"/>
            <w:tcBorders>
              <w:bottom w:val="single" w:sz="4" w:space="0" w:color="auto"/>
            </w:tcBorders>
            <w:shd w:val="clear" w:color="auto" w:fill="auto"/>
            <w:noWrap/>
            <w:vAlign w:val="center"/>
            <w:hideMark/>
          </w:tcPr>
          <w:p w14:paraId="6C023769"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Total Improvement</w:t>
            </w:r>
          </w:p>
        </w:tc>
        <w:tc>
          <w:tcPr>
            <w:tcW w:w="1080" w:type="dxa"/>
            <w:tcBorders>
              <w:bottom w:val="single" w:sz="4" w:space="0" w:color="auto"/>
            </w:tcBorders>
            <w:shd w:val="clear" w:color="auto" w:fill="auto"/>
            <w:noWrap/>
            <w:vAlign w:val="center"/>
            <w:hideMark/>
          </w:tcPr>
          <w:p w14:paraId="2C1499D4" w14:textId="77777777" w:rsidR="003307EB" w:rsidRPr="001845F3" w:rsidRDefault="003307EB" w:rsidP="00D727BF">
            <w:pPr>
              <w:tabs>
                <w:tab w:val="left" w:pos="720"/>
              </w:tabs>
              <w:spacing w:after="0"/>
              <w:rPr>
                <w:rFonts w:cs="Times New Roman"/>
                <w:sz w:val="20"/>
                <w:szCs w:val="20"/>
              </w:rPr>
            </w:pPr>
          </w:p>
        </w:tc>
        <w:tc>
          <w:tcPr>
            <w:tcW w:w="1440" w:type="dxa"/>
            <w:tcBorders>
              <w:bottom w:val="single" w:sz="4" w:space="0" w:color="auto"/>
            </w:tcBorders>
            <w:shd w:val="clear" w:color="auto" w:fill="auto"/>
            <w:noWrap/>
            <w:vAlign w:val="center"/>
          </w:tcPr>
          <w:p w14:paraId="2D5E1609" w14:textId="77777777" w:rsidR="003307EB" w:rsidRPr="001845F3" w:rsidRDefault="003307EB" w:rsidP="00D727BF">
            <w:pPr>
              <w:tabs>
                <w:tab w:val="left" w:pos="720"/>
              </w:tabs>
              <w:spacing w:after="0"/>
              <w:rPr>
                <w:rFonts w:cs="Times New Roman"/>
                <w:sz w:val="20"/>
                <w:szCs w:val="20"/>
              </w:rPr>
            </w:pPr>
          </w:p>
        </w:tc>
        <w:tc>
          <w:tcPr>
            <w:tcW w:w="895" w:type="dxa"/>
            <w:tcBorders>
              <w:bottom w:val="single" w:sz="4" w:space="0" w:color="auto"/>
            </w:tcBorders>
            <w:shd w:val="clear" w:color="auto" w:fill="auto"/>
            <w:noWrap/>
            <w:vAlign w:val="center"/>
          </w:tcPr>
          <w:p w14:paraId="0D801DB5" w14:textId="77777777" w:rsidR="003307EB" w:rsidRPr="001845F3" w:rsidRDefault="003307EB" w:rsidP="00D727BF">
            <w:pPr>
              <w:tabs>
                <w:tab w:val="left" w:pos="720"/>
              </w:tabs>
              <w:spacing w:after="0"/>
              <w:rPr>
                <w:rFonts w:cs="Times New Roman"/>
                <w:sz w:val="20"/>
                <w:szCs w:val="20"/>
              </w:rPr>
            </w:pPr>
          </w:p>
        </w:tc>
        <w:tc>
          <w:tcPr>
            <w:tcW w:w="1142" w:type="dxa"/>
            <w:tcBorders>
              <w:bottom w:val="single" w:sz="4" w:space="0" w:color="auto"/>
            </w:tcBorders>
            <w:shd w:val="clear" w:color="auto" w:fill="auto"/>
            <w:noWrap/>
            <w:vAlign w:val="center"/>
            <w:hideMark/>
          </w:tcPr>
          <w:p w14:paraId="07005258"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62.6%</w:t>
            </w:r>
          </w:p>
        </w:tc>
        <w:tc>
          <w:tcPr>
            <w:tcW w:w="1328" w:type="dxa"/>
            <w:tcBorders>
              <w:bottom w:val="single" w:sz="4" w:space="0" w:color="auto"/>
            </w:tcBorders>
            <w:shd w:val="clear" w:color="auto" w:fill="auto"/>
            <w:noWrap/>
            <w:vAlign w:val="center"/>
            <w:hideMark/>
          </w:tcPr>
          <w:p w14:paraId="3263A62D" w14:textId="77777777" w:rsidR="003307EB" w:rsidRPr="001845F3" w:rsidRDefault="003307EB" w:rsidP="00D727BF">
            <w:pPr>
              <w:tabs>
                <w:tab w:val="left" w:pos="720"/>
              </w:tabs>
              <w:spacing w:after="0"/>
              <w:rPr>
                <w:rFonts w:cs="Times New Roman"/>
                <w:sz w:val="20"/>
                <w:szCs w:val="20"/>
              </w:rPr>
            </w:pPr>
            <w:r w:rsidRPr="001845F3">
              <w:rPr>
                <w:rFonts w:cs="Times New Roman"/>
                <w:sz w:val="20"/>
                <w:szCs w:val="20"/>
              </w:rPr>
              <w:t>39.1%</w:t>
            </w:r>
          </w:p>
        </w:tc>
      </w:tr>
    </w:tbl>
    <w:p w14:paraId="51389D7D" w14:textId="16B07674" w:rsidR="00054F14" w:rsidRDefault="003307EB" w:rsidP="00D727BF">
      <w:pPr>
        <w:tabs>
          <w:tab w:val="left" w:pos="720"/>
        </w:tabs>
        <w:spacing w:before="120" w:after="0"/>
      </w:pPr>
      <w:r w:rsidRPr="001845F3">
        <w:rPr>
          <w:sz w:val="18"/>
          <w:szCs w:val="18"/>
        </w:rPr>
        <w:lastRenderedPageBreak/>
        <w:t>Source:</w:t>
      </w:r>
      <w:r w:rsidR="00F428F9" w:rsidRPr="001845F3">
        <w:rPr>
          <w:sz w:val="18"/>
          <w:szCs w:val="18"/>
        </w:rPr>
        <w:t xml:space="preserve"> </w:t>
      </w:r>
      <w:r w:rsidRPr="001845F3">
        <w:rPr>
          <w:sz w:val="18"/>
          <w:szCs w:val="18"/>
        </w:rPr>
        <w:t>Authors</w:t>
      </w:r>
      <w:r w:rsidR="00863D16">
        <w:rPr>
          <w:sz w:val="18"/>
          <w:szCs w:val="18"/>
        </w:rPr>
        <w:t>’</w:t>
      </w:r>
      <w:r w:rsidRPr="001845F3">
        <w:rPr>
          <w:sz w:val="18"/>
          <w:szCs w:val="18"/>
        </w:rPr>
        <w:t xml:space="preserve"> calculations based on data from</w:t>
      </w:r>
      <w:r w:rsidR="00836630" w:rsidRPr="001845F3">
        <w:rPr>
          <w:sz w:val="18"/>
          <w:szCs w:val="18"/>
        </w:rPr>
        <w:t xml:space="preserve"> Enterprise Surveys for Nigeria and comparators.</w:t>
      </w:r>
      <w:r w:rsidR="00054F14">
        <w:rPr>
          <w:noProof/>
        </w:rPr>
        <mc:AlternateContent>
          <mc:Choice Requires="wps">
            <w:drawing>
              <wp:anchor distT="45720" distB="45720" distL="114300" distR="114300" simplePos="0" relativeHeight="251669504" behindDoc="0" locked="0" layoutInCell="1" allowOverlap="1" wp14:anchorId="691D25BB" wp14:editId="7ACE60E1">
                <wp:simplePos x="0" y="0"/>
                <wp:positionH relativeFrom="column">
                  <wp:posOffset>-68580</wp:posOffset>
                </wp:positionH>
                <wp:positionV relativeFrom="paragraph">
                  <wp:posOffset>0</wp:posOffset>
                </wp:positionV>
                <wp:extent cx="6050280" cy="1404620"/>
                <wp:effectExtent l="0" t="0" r="26670" b="25400"/>
                <wp:wrapSquare wrapText="bothSides"/>
                <wp:docPr id="6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08897AC0" w14:textId="669DD746" w:rsidR="00A02DAA" w:rsidRPr="00E756A6" w:rsidRDefault="00A02DAA" w:rsidP="00054F14">
                            <w:pPr>
                              <w:pStyle w:val="Heading8"/>
                              <w:tabs>
                                <w:tab w:val="left" w:pos="360"/>
                              </w:tabs>
                              <w:ind w:left="0"/>
                              <w:rPr>
                                <w:b/>
                                <w:i w:val="0"/>
                              </w:rPr>
                            </w:pPr>
                            <w:r>
                              <w:rPr>
                                <w:b/>
                                <w:i w:val="0"/>
                              </w:rPr>
                              <w:t>Case Study Three: Migcha Foods in Niger State</w:t>
                            </w:r>
                          </w:p>
                          <w:p w14:paraId="207D4DF0" w14:textId="77777777" w:rsidR="00A02DAA" w:rsidRDefault="00A02DAA" w:rsidP="00D727BF">
                            <w:pPr>
                              <w:pStyle w:val="Heading8"/>
                              <w:tabs>
                                <w:tab w:val="clear" w:pos="5400"/>
                                <w:tab w:val="left" w:pos="360"/>
                              </w:tabs>
                              <w:ind w:left="0"/>
                            </w:pPr>
                          </w:p>
                          <w:p w14:paraId="755EE9CA" w14:textId="22CFB27E" w:rsidR="00A02DAA" w:rsidRPr="00753A65" w:rsidRDefault="00A02DAA" w:rsidP="00D727BF">
                            <w:pPr>
                              <w:pStyle w:val="Heading8"/>
                              <w:tabs>
                                <w:tab w:val="clear" w:pos="5400"/>
                                <w:tab w:val="left" w:pos="360"/>
                              </w:tabs>
                              <w:ind w:left="0"/>
                            </w:pPr>
                            <w:r>
                              <w:t xml:space="preserve">(a) </w:t>
                            </w:r>
                            <w:r w:rsidRPr="00753A65">
                              <w:t>History and Ownership</w:t>
                            </w:r>
                          </w:p>
                          <w:p w14:paraId="72DD79B1" w14:textId="20CD19B9" w:rsidR="00A02DAA" w:rsidRPr="00B267EC" w:rsidRDefault="00A02DAA" w:rsidP="00054F14">
                            <w:r w:rsidRPr="00B267EC">
                              <w:t>Migcha Foods was incorporated in 2011. It produces yam flour and operates a shea butter subsidiary. Mrs. Garba, the founder</w:t>
                            </w:r>
                            <w:r>
                              <w:t>,</w:t>
                            </w:r>
                            <w:r w:rsidRPr="00B267EC">
                              <w:t xml:space="preserve"> was a professional agriculturalist in the Niger State Ministry of Agriculture and rose to </w:t>
                            </w:r>
                            <w:r>
                              <w:t>s</w:t>
                            </w:r>
                            <w:r w:rsidRPr="00B267EC">
                              <w:t xml:space="preserve">tate </w:t>
                            </w:r>
                            <w:r>
                              <w:t>d</w:t>
                            </w:r>
                            <w:r w:rsidRPr="00B267EC">
                              <w:t xml:space="preserve">irector. Mrs. Garba said it felt natural to go into the agricultural sector. She picked yam flour production because Niger State has an abundance of yam in comparison to other states in Nigeria. </w:t>
                            </w:r>
                          </w:p>
                          <w:p w14:paraId="35925F42" w14:textId="12900DA0" w:rsidR="00A02DAA" w:rsidRPr="00B267EC" w:rsidRDefault="00A02DAA" w:rsidP="00054F14">
                            <w:r w:rsidRPr="00B267EC">
                              <w:t>Before starting her business, she took a course at the Federal Institute of Industrial Research Oshodi to get trained on technology used to produce pounded yam flour. The course cost around ₦250,000</w:t>
                            </w:r>
                            <w:r>
                              <w:t>,</w:t>
                            </w:r>
                            <w:r w:rsidRPr="00B267EC">
                              <w:t xml:space="preserve"> and she learn</w:t>
                            </w:r>
                            <w:r>
                              <w:t>ed</w:t>
                            </w:r>
                            <w:r w:rsidRPr="00B267EC">
                              <w:t xml:space="preserve"> the processes involved in yam flour production, got to see the machines used</w:t>
                            </w:r>
                            <w:r>
                              <w:t>,</w:t>
                            </w:r>
                            <w:r w:rsidRPr="00B267EC">
                              <w:t xml:space="preserve"> and test</w:t>
                            </w:r>
                            <w:r>
                              <w:t>ed</w:t>
                            </w:r>
                            <w:r w:rsidRPr="00B267EC">
                              <w:t xml:space="preserve"> the difference between fabricated, high quality</w:t>
                            </w:r>
                            <w:r>
                              <w:t>,</w:t>
                            </w:r>
                            <w:r w:rsidRPr="00B267EC">
                              <w:t xml:space="preserve"> and imported products. </w:t>
                            </w:r>
                          </w:p>
                          <w:p w14:paraId="4B5D2671" w14:textId="77777777" w:rsidR="00A02DAA" w:rsidRPr="00B267EC" w:rsidRDefault="00A02DAA" w:rsidP="00054F14">
                            <w:r w:rsidRPr="00B267EC">
                              <w:t xml:space="preserve">The business was funded partly with her retirement savings. She also got ₦200,000 from FADAMA III. She used these funds to start with very small scale production and has been gradually growing the business. </w:t>
                            </w:r>
                          </w:p>
                          <w:p w14:paraId="4F98911F" w14:textId="7DA8402B" w:rsidR="00A02DAA" w:rsidRPr="00753A65" w:rsidRDefault="00A02DAA" w:rsidP="00D727BF">
                            <w:pPr>
                              <w:pStyle w:val="Heading8"/>
                              <w:tabs>
                                <w:tab w:val="clear" w:pos="5400"/>
                                <w:tab w:val="left" w:pos="360"/>
                              </w:tabs>
                              <w:ind w:left="0"/>
                            </w:pPr>
                            <w:r>
                              <w:t xml:space="preserve">(b) </w:t>
                            </w:r>
                            <w:r w:rsidRPr="00753A65">
                              <w:t>Products</w:t>
                            </w:r>
                          </w:p>
                          <w:p w14:paraId="2B042476" w14:textId="0770A3C9" w:rsidR="00A02DAA" w:rsidRPr="00B267EC" w:rsidRDefault="00A02DAA" w:rsidP="00054F14">
                            <w:r w:rsidRPr="00B267EC">
                              <w:t>Migcha Foods</w:t>
                            </w:r>
                            <w:r>
                              <w:t>’</w:t>
                            </w:r>
                            <w:r w:rsidRPr="00B267EC">
                              <w:t xml:space="preserve"> main product is yam flour. Given uninterrupted electricity supply, the business can produce 30</w:t>
                            </w:r>
                            <w:r>
                              <w:t xml:space="preserve"> </w:t>
                            </w:r>
                            <w:r w:rsidRPr="00B267EC">
                              <w:t>kg a day. However, this is rarely reached because of the unreliability of the power supply in Minna. Additionally, as they are small scale, it is difficult to afford a generator (a secondhand 35</w:t>
                            </w:r>
                            <w:r>
                              <w:t xml:space="preserve"> </w:t>
                            </w:r>
                            <w:r w:rsidRPr="00B267EC">
                              <w:t>k</w:t>
                            </w:r>
                            <w:r>
                              <w:t>V</w:t>
                            </w:r>
                            <w:r w:rsidRPr="00B267EC">
                              <w:t xml:space="preserve"> generator was quoted to her for ₦2 million). As such</w:t>
                            </w:r>
                            <w:r>
                              <w:t>,</w:t>
                            </w:r>
                            <w:r w:rsidRPr="00B267EC">
                              <w:t xml:space="preserve"> production is sparse</w:t>
                            </w:r>
                            <w:r>
                              <w:t>,</w:t>
                            </w:r>
                            <w:r w:rsidRPr="00B267EC">
                              <w:t xml:space="preserve"> and it is completely dependent on the electricity supplied.</w:t>
                            </w:r>
                          </w:p>
                          <w:p w14:paraId="58F7804F" w14:textId="07481975" w:rsidR="00A02DAA" w:rsidRPr="00B267EC" w:rsidRDefault="00A02DAA" w:rsidP="00054F14">
                            <w:r w:rsidRPr="00B267EC">
                              <w:t>To support the yam flour production</w:t>
                            </w:r>
                            <w:r>
                              <w:t>,</w:t>
                            </w:r>
                            <w:r w:rsidRPr="00B267EC">
                              <w:t xml:space="preserve"> Migcha also runs a small shea butter production business. She is part of what is called a </w:t>
                            </w:r>
                            <w:r>
                              <w:t>‘</w:t>
                            </w:r>
                            <w:r w:rsidRPr="00B267EC">
                              <w:t>cooperative society</w:t>
                            </w:r>
                            <w:r>
                              <w:t>’</w:t>
                            </w:r>
                            <w:r w:rsidRPr="00B267EC">
                              <w:t xml:space="preserve"> that pulls resources together. They society enters into agreements with clusters in villages that farm the shea butter. These clusters produce the shea and sell it in bulk to the cooperative society. The cooperative</w:t>
                            </w:r>
                            <w:r>
                              <w:t>,</w:t>
                            </w:r>
                            <w:r w:rsidRPr="00B267EC">
                              <w:t xml:space="preserve"> in turn</w:t>
                            </w:r>
                            <w:r>
                              <w:t>,</w:t>
                            </w:r>
                            <w:r w:rsidRPr="00B267EC">
                              <w:t xml:space="preserve"> provide</w:t>
                            </w:r>
                            <w:r>
                              <w:t>s</w:t>
                            </w:r>
                            <w:r w:rsidRPr="00B267EC">
                              <w:t xml:space="preserve"> all the machinery and training. They also sign an exclusivity agreement with the cluster</w:t>
                            </w:r>
                            <w:r>
                              <w:t>,</w:t>
                            </w:r>
                            <w:r w:rsidRPr="00B267EC">
                              <w:t xml:space="preserve"> so they can</w:t>
                            </w:r>
                            <w:r>
                              <w:t>’</w:t>
                            </w:r>
                            <w:r w:rsidRPr="00B267EC">
                              <w:t>t sell to anyone else</w:t>
                            </w:r>
                            <w:r>
                              <w:t>,</w:t>
                            </w:r>
                            <w:r w:rsidRPr="00B267EC">
                              <w:t xml:space="preserve"> but the cooperative agrees to buy up all their production. </w:t>
                            </w:r>
                          </w:p>
                          <w:p w14:paraId="2A022E71" w14:textId="74056342" w:rsidR="00A02DAA" w:rsidRPr="00B267EC" w:rsidRDefault="00A02DAA" w:rsidP="00054F14">
                            <w:r w:rsidRPr="00B267EC">
                              <w:t>For Migcha, it is hard to determine its market share</w:t>
                            </w:r>
                            <w:r>
                              <w:t>,</w:t>
                            </w:r>
                            <w:r w:rsidRPr="00B267EC">
                              <w:t xml:space="preserve"> as it is a small scale business</w:t>
                            </w:r>
                            <w:r>
                              <w:t>;</w:t>
                            </w:r>
                            <w:r w:rsidRPr="00B267EC">
                              <w:t xml:space="preserve"> as far as Mrs. Garba is aware</w:t>
                            </w:r>
                            <w:r>
                              <w:t>,</w:t>
                            </w:r>
                            <w:r w:rsidRPr="00B267EC">
                              <w:t xml:space="preserve"> she is the only yam flour producer in Niger State. On the </w:t>
                            </w:r>
                            <w:r>
                              <w:t>other</w:t>
                            </w:r>
                            <w:r w:rsidRPr="00B267EC">
                              <w:t xml:space="preserve"> hand, the</w:t>
                            </w:r>
                            <w:r>
                              <w:t>re</w:t>
                            </w:r>
                            <w:r w:rsidRPr="00B267EC">
                              <w:t xml:space="preserve"> are multiple shea producers.</w:t>
                            </w:r>
                          </w:p>
                          <w:p w14:paraId="30BC736D" w14:textId="482C5E45" w:rsidR="00A02DAA" w:rsidRPr="00B267EC" w:rsidRDefault="00A02DAA" w:rsidP="00054F14">
                            <w:r w:rsidRPr="00B267EC">
                              <w:t>In terms of pricing, a tub of shea goes for ₦700, but the cooperative usually receives about ₦3 million worth of shea once its clusters have finished production</w:t>
                            </w:r>
                            <w:r>
                              <w:rPr>
                                <w:rFonts w:cs="Times New Roman"/>
                              </w:rPr>
                              <w:t>—</w:t>
                            </w:r>
                            <w:r w:rsidRPr="00B267EC">
                              <w:t>that is every two or three months. For the flour, a carton of a dozen bags goes for ₦4,800</w:t>
                            </w:r>
                            <w:r>
                              <w:t>,</w:t>
                            </w:r>
                            <w:r w:rsidRPr="00B267EC">
                              <w:t xml:space="preserve"> and an individual bag is sold for ₦450. Migcha plans to cut their pricing when they can produce more.</w:t>
                            </w:r>
                          </w:p>
                          <w:p w14:paraId="48A4F649" w14:textId="5BFF58C9" w:rsidR="00A02DAA" w:rsidRPr="00B267EC" w:rsidRDefault="00A02DAA" w:rsidP="00054F14">
                            <w:r w:rsidRPr="00B267EC">
                              <w:t xml:space="preserve">The products have not been changed since </w:t>
                            </w:r>
                            <w:r>
                              <w:t>t</w:t>
                            </w:r>
                            <w:r w:rsidRPr="00B267EC">
                              <w:t xml:space="preserve">he business started but have been refined, and Migcha </w:t>
                            </w:r>
                            <w:r>
                              <w:t>aspires</w:t>
                            </w:r>
                            <w:r w:rsidRPr="00B267EC">
                              <w:t xml:space="preserve"> to reach the quality of Ayola Foods. They are currently trying to upgrade their packaging</w:t>
                            </w:r>
                            <w:r>
                              <w:t>,</w:t>
                            </w:r>
                            <w:r w:rsidRPr="00B267EC">
                              <w:t xml:space="preserve"> as consumers are very sensitive because of the fear of adulterated products.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D25BB" id="_x0000_s1029" type="#_x0000_t202" style="position:absolute;left:0;text-align:left;margin-left:-5.4pt;margin-top:0;width:476.4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">
                <v:textbox style="mso-fit-shape-to-text:t">
                  <w:txbxContent>
                    <w:p w14:paraId="08897AC0" w14:textId="669DD746" w:rsidR="00A02DAA" w:rsidRPr="00E756A6" w:rsidRDefault="00A02DAA" w:rsidP="00054F14">
                      <w:pPr>
                        <w:pStyle w:val="Heading8"/>
                        <w:tabs>
                          <w:tab w:val="left" w:pos="360"/>
                        </w:tabs>
                        <w:ind w:left="0"/>
                        <w:rPr>
                          <w:b/>
                          <w:i w:val="0"/>
                        </w:rPr>
                      </w:pPr>
                      <w:r>
                        <w:rPr>
                          <w:b/>
                          <w:i w:val="0"/>
                        </w:rPr>
                        <w:t>Case Study Three: Migcha Foods in Niger State</w:t>
                      </w:r>
                    </w:p>
                    <w:p w14:paraId="207D4DF0" w14:textId="77777777" w:rsidR="00A02DAA" w:rsidRDefault="00A02DAA" w:rsidP="00D727BF">
                      <w:pPr>
                        <w:pStyle w:val="Heading8"/>
                        <w:tabs>
                          <w:tab w:val="clear" w:pos="5400"/>
                          <w:tab w:val="left" w:pos="360"/>
                        </w:tabs>
                        <w:ind w:left="0"/>
                      </w:pPr>
                    </w:p>
                    <w:p w14:paraId="755EE9CA" w14:textId="22CFB27E" w:rsidR="00A02DAA" w:rsidRPr="00753A65" w:rsidRDefault="00A02DAA" w:rsidP="00D727BF">
                      <w:pPr>
                        <w:pStyle w:val="Heading8"/>
                        <w:tabs>
                          <w:tab w:val="clear" w:pos="5400"/>
                          <w:tab w:val="left" w:pos="360"/>
                        </w:tabs>
                        <w:ind w:left="0"/>
                      </w:pPr>
                      <w:r>
                        <w:t xml:space="preserve">(a) </w:t>
                      </w:r>
                      <w:r w:rsidRPr="00753A65">
                        <w:t>History and Ownership</w:t>
                      </w:r>
                    </w:p>
                    <w:p w14:paraId="72DD79B1" w14:textId="20CD19B9" w:rsidR="00A02DAA" w:rsidRPr="00B267EC" w:rsidRDefault="00A02DAA" w:rsidP="00054F14">
                      <w:r w:rsidRPr="00B267EC">
                        <w:t>Migcha Foods was incorporated in 2011. It produces yam flour and operates a shea butter subsidiary. Mrs. Garba, the founder</w:t>
                      </w:r>
                      <w:r>
                        <w:t>,</w:t>
                      </w:r>
                      <w:r w:rsidRPr="00B267EC">
                        <w:t xml:space="preserve"> was a professional agriculturalist in the Niger State Ministry of Agriculture and rose to </w:t>
                      </w:r>
                      <w:r>
                        <w:t>s</w:t>
                      </w:r>
                      <w:r w:rsidRPr="00B267EC">
                        <w:t xml:space="preserve">tate </w:t>
                      </w:r>
                      <w:r>
                        <w:t>d</w:t>
                      </w:r>
                      <w:r w:rsidRPr="00B267EC">
                        <w:t xml:space="preserve">irector. Mrs. Garba said it felt natural to go into the agricultural sector. She picked yam flour production because Niger State has an abundance of yam in comparison to other states in Nigeria. </w:t>
                      </w:r>
                    </w:p>
                    <w:p w14:paraId="35925F42" w14:textId="12900DA0" w:rsidR="00A02DAA" w:rsidRPr="00B267EC" w:rsidRDefault="00A02DAA" w:rsidP="00054F14">
                      <w:r w:rsidRPr="00B267EC">
                        <w:t>Before starting her business, she took a course at the Federal Institute of Industrial Research Oshodi to get trained on technology used to produce pounded yam flour. The course cost around ₦250,000</w:t>
                      </w:r>
                      <w:r>
                        <w:t>,</w:t>
                      </w:r>
                      <w:r w:rsidRPr="00B267EC">
                        <w:t xml:space="preserve"> and she learn</w:t>
                      </w:r>
                      <w:r>
                        <w:t>ed</w:t>
                      </w:r>
                      <w:r w:rsidRPr="00B267EC">
                        <w:t xml:space="preserve"> the processes involved in yam flour production, got to see the machines used</w:t>
                      </w:r>
                      <w:r>
                        <w:t>,</w:t>
                      </w:r>
                      <w:r w:rsidRPr="00B267EC">
                        <w:t xml:space="preserve"> and test</w:t>
                      </w:r>
                      <w:r>
                        <w:t>ed</w:t>
                      </w:r>
                      <w:r w:rsidRPr="00B267EC">
                        <w:t xml:space="preserve"> the difference between fabricated, high quality</w:t>
                      </w:r>
                      <w:r>
                        <w:t>,</w:t>
                      </w:r>
                      <w:r w:rsidRPr="00B267EC">
                        <w:t xml:space="preserve"> and imported products. </w:t>
                      </w:r>
                    </w:p>
                    <w:p w14:paraId="4B5D2671" w14:textId="77777777" w:rsidR="00A02DAA" w:rsidRPr="00B267EC" w:rsidRDefault="00A02DAA" w:rsidP="00054F14">
                      <w:r w:rsidRPr="00B267EC">
                        <w:t xml:space="preserve">The business was funded partly with her retirement savings. She also got ₦200,000 from FADAMA III. She used these funds to start with very small scale production and has been gradually growing the business. </w:t>
                      </w:r>
                    </w:p>
                    <w:p w14:paraId="4F98911F" w14:textId="7DA8402B" w:rsidR="00A02DAA" w:rsidRPr="00753A65" w:rsidRDefault="00A02DAA" w:rsidP="00D727BF">
                      <w:pPr>
                        <w:pStyle w:val="Heading8"/>
                        <w:tabs>
                          <w:tab w:val="clear" w:pos="5400"/>
                          <w:tab w:val="left" w:pos="360"/>
                        </w:tabs>
                        <w:ind w:left="0"/>
                      </w:pPr>
                      <w:r>
                        <w:t xml:space="preserve">(b) </w:t>
                      </w:r>
                      <w:r w:rsidRPr="00753A65">
                        <w:t>Products</w:t>
                      </w:r>
                    </w:p>
                    <w:p w14:paraId="2B042476" w14:textId="0770A3C9" w:rsidR="00A02DAA" w:rsidRPr="00B267EC" w:rsidRDefault="00A02DAA" w:rsidP="00054F14">
                      <w:r w:rsidRPr="00B267EC">
                        <w:t>Migcha Foods</w:t>
                      </w:r>
                      <w:r>
                        <w:t>’</w:t>
                      </w:r>
                      <w:r w:rsidRPr="00B267EC">
                        <w:t xml:space="preserve"> main product is yam flour. Given uninterrupted electricity supply, the business can produce 30</w:t>
                      </w:r>
                      <w:r>
                        <w:t xml:space="preserve"> </w:t>
                      </w:r>
                      <w:r w:rsidRPr="00B267EC">
                        <w:t>kg a day. However, this is rarely reached because of the unreliability of the power supply in Minna. Additionally, as they are small scale, it is difficult to afford a generator (a secondhand 35</w:t>
                      </w:r>
                      <w:r>
                        <w:t xml:space="preserve"> </w:t>
                      </w:r>
                      <w:r w:rsidRPr="00B267EC">
                        <w:t>k</w:t>
                      </w:r>
                      <w:r>
                        <w:t>V</w:t>
                      </w:r>
                      <w:r w:rsidRPr="00B267EC">
                        <w:t xml:space="preserve"> generator was quoted to her for ₦2 million). As such</w:t>
                      </w:r>
                      <w:r>
                        <w:t>,</w:t>
                      </w:r>
                      <w:r w:rsidRPr="00B267EC">
                        <w:t xml:space="preserve"> production is sparse</w:t>
                      </w:r>
                      <w:r>
                        <w:t>,</w:t>
                      </w:r>
                      <w:r w:rsidRPr="00B267EC">
                        <w:t xml:space="preserve"> and it is completely dependent on the electricity supplied.</w:t>
                      </w:r>
                    </w:p>
                    <w:p w14:paraId="58F7804F" w14:textId="07481975" w:rsidR="00A02DAA" w:rsidRPr="00B267EC" w:rsidRDefault="00A02DAA" w:rsidP="00054F14">
                      <w:r w:rsidRPr="00B267EC">
                        <w:t>To support the yam flour production</w:t>
                      </w:r>
                      <w:r>
                        <w:t>,</w:t>
                      </w:r>
                      <w:r w:rsidRPr="00B267EC">
                        <w:t xml:space="preserve"> Migcha also runs a small shea butter production business. She is part of what is called a </w:t>
                      </w:r>
                      <w:r>
                        <w:t>‘</w:t>
                      </w:r>
                      <w:r w:rsidRPr="00B267EC">
                        <w:t>cooperative society</w:t>
                      </w:r>
                      <w:r>
                        <w:t>’</w:t>
                      </w:r>
                      <w:r w:rsidRPr="00B267EC">
                        <w:t xml:space="preserve"> that pulls resources together. They society enters into agreements with clusters in villages that farm the shea butter. These clusters produce the shea and sell it in bulk to the cooperative society. The cooperative</w:t>
                      </w:r>
                      <w:r>
                        <w:t>,</w:t>
                      </w:r>
                      <w:r w:rsidRPr="00B267EC">
                        <w:t xml:space="preserve"> in turn</w:t>
                      </w:r>
                      <w:r>
                        <w:t>,</w:t>
                      </w:r>
                      <w:r w:rsidRPr="00B267EC">
                        <w:t xml:space="preserve"> provide</w:t>
                      </w:r>
                      <w:r>
                        <w:t>s</w:t>
                      </w:r>
                      <w:r w:rsidRPr="00B267EC">
                        <w:t xml:space="preserve"> all the machinery and training. They also sign an exclusivity agreement with the cluster</w:t>
                      </w:r>
                      <w:r>
                        <w:t>,</w:t>
                      </w:r>
                      <w:r w:rsidRPr="00B267EC">
                        <w:t xml:space="preserve"> so they can</w:t>
                      </w:r>
                      <w:r>
                        <w:t>’</w:t>
                      </w:r>
                      <w:r w:rsidRPr="00B267EC">
                        <w:t>t sell to anyone else</w:t>
                      </w:r>
                      <w:r>
                        <w:t>,</w:t>
                      </w:r>
                      <w:r w:rsidRPr="00B267EC">
                        <w:t xml:space="preserve"> but the cooperative agrees to buy up all their production. </w:t>
                      </w:r>
                    </w:p>
                    <w:p w14:paraId="2A022E71" w14:textId="74056342" w:rsidR="00A02DAA" w:rsidRPr="00B267EC" w:rsidRDefault="00A02DAA" w:rsidP="00054F14">
                      <w:r w:rsidRPr="00B267EC">
                        <w:t>For Migcha, it is hard to determine its market share</w:t>
                      </w:r>
                      <w:r>
                        <w:t>,</w:t>
                      </w:r>
                      <w:r w:rsidRPr="00B267EC">
                        <w:t xml:space="preserve"> as it is a small scale business</w:t>
                      </w:r>
                      <w:r>
                        <w:t>;</w:t>
                      </w:r>
                      <w:r w:rsidRPr="00B267EC">
                        <w:t xml:space="preserve"> as far as Mrs. Garba is aware</w:t>
                      </w:r>
                      <w:r>
                        <w:t>,</w:t>
                      </w:r>
                      <w:r w:rsidRPr="00B267EC">
                        <w:t xml:space="preserve"> she is the only yam flour producer in Niger State. On the </w:t>
                      </w:r>
                      <w:r>
                        <w:t>other</w:t>
                      </w:r>
                      <w:r w:rsidRPr="00B267EC">
                        <w:t xml:space="preserve"> hand, the</w:t>
                      </w:r>
                      <w:r>
                        <w:t>re</w:t>
                      </w:r>
                      <w:r w:rsidRPr="00B267EC">
                        <w:t xml:space="preserve"> are multiple shea producers.</w:t>
                      </w:r>
                    </w:p>
                    <w:p w14:paraId="30BC736D" w14:textId="482C5E45" w:rsidR="00A02DAA" w:rsidRPr="00B267EC" w:rsidRDefault="00A02DAA" w:rsidP="00054F14">
                      <w:r w:rsidRPr="00B267EC">
                        <w:t>In terms of pricing, a tub of shea goes for ₦700, but the cooperative usually receives about ₦3 million worth of shea once its clusters have finished production</w:t>
                      </w:r>
                      <w:r>
                        <w:rPr>
                          <w:rFonts w:cs="Times New Roman"/>
                        </w:rPr>
                        <w:t>—</w:t>
                      </w:r>
                      <w:r w:rsidRPr="00B267EC">
                        <w:t>that is every two or three months. For the flour, a carton of a dozen bags goes for ₦4,800</w:t>
                      </w:r>
                      <w:r>
                        <w:t>,</w:t>
                      </w:r>
                      <w:r w:rsidRPr="00B267EC">
                        <w:t xml:space="preserve"> and an individual bag is sold for ₦450. Migcha plans to cut their pricing when they can produce more.</w:t>
                      </w:r>
                    </w:p>
                    <w:p w14:paraId="48A4F649" w14:textId="5BFF58C9" w:rsidR="00A02DAA" w:rsidRPr="00B267EC" w:rsidRDefault="00A02DAA" w:rsidP="00054F14">
                      <w:r w:rsidRPr="00B267EC">
                        <w:t xml:space="preserve">The products have not been changed since </w:t>
                      </w:r>
                      <w:r>
                        <w:t>t</w:t>
                      </w:r>
                      <w:r w:rsidRPr="00B267EC">
                        <w:t xml:space="preserve">he business started but have been refined, and Migcha </w:t>
                      </w:r>
                      <w:r>
                        <w:t>aspires</w:t>
                      </w:r>
                      <w:r w:rsidRPr="00B267EC">
                        <w:t xml:space="preserve"> to reach the quality of Ayola Foods. They are currently trying to upgrade their packaging</w:t>
                      </w:r>
                      <w:r>
                        <w:t>,</w:t>
                      </w:r>
                      <w:r w:rsidRPr="00B267EC">
                        <w:t xml:space="preserve"> as consumers are very sensitive because of the fear of adulterated products. </w:t>
                      </w:r>
                    </w:p>
                  </w:txbxContent>
                </v:textbox>
                <w10:wrap type="square"/>
              </v:shape>
            </w:pict>
          </mc:Fallback>
        </mc:AlternateContent>
      </w:r>
    </w:p>
    <w:p w14:paraId="01D2F6BD" w14:textId="77777777" w:rsidR="005914D0" w:rsidRDefault="005914D0" w:rsidP="00D727BF">
      <w:pPr>
        <w:tabs>
          <w:tab w:val="left" w:pos="720"/>
        </w:tabs>
        <w:spacing w:before="120" w:after="0"/>
      </w:pPr>
    </w:p>
    <w:p w14:paraId="47BDEA7F" w14:textId="33EC0D9C" w:rsidR="00054F14" w:rsidRDefault="00054F14" w:rsidP="00D727BF">
      <w:pPr>
        <w:tabs>
          <w:tab w:val="left" w:pos="720"/>
        </w:tabs>
        <w:spacing w:before="120" w:after="0"/>
      </w:pPr>
      <w:r>
        <w:rPr>
          <w:noProof/>
        </w:rPr>
        <mc:AlternateContent>
          <mc:Choice Requires="wps">
            <w:drawing>
              <wp:anchor distT="45720" distB="45720" distL="114300" distR="114300" simplePos="0" relativeHeight="251671552" behindDoc="0" locked="0" layoutInCell="1" allowOverlap="1" wp14:anchorId="4600E7B6" wp14:editId="4BE7D2CF">
                <wp:simplePos x="0" y="0"/>
                <wp:positionH relativeFrom="column">
                  <wp:posOffset>-76200</wp:posOffset>
                </wp:positionH>
                <wp:positionV relativeFrom="paragraph">
                  <wp:posOffset>0</wp:posOffset>
                </wp:positionV>
                <wp:extent cx="6019800" cy="1404620"/>
                <wp:effectExtent l="0" t="0" r="19050" b="25400"/>
                <wp:wrapSquare wrapText="bothSides"/>
                <wp:docPr id="6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14:paraId="5E2ECE4C" w14:textId="0CE0EBF8" w:rsidR="00A02DAA" w:rsidRPr="00753A65" w:rsidRDefault="00A02DAA" w:rsidP="00054F14">
                            <w:pPr>
                              <w:pStyle w:val="Heading8"/>
                              <w:tabs>
                                <w:tab w:val="left" w:pos="360"/>
                              </w:tabs>
                              <w:ind w:left="0"/>
                            </w:pPr>
                            <w:r>
                              <w:t>(c)</w:t>
                            </w:r>
                            <w:r w:rsidRPr="00753A65">
                              <w:t>Distribution</w:t>
                            </w:r>
                          </w:p>
                          <w:p w14:paraId="44AD1EEA" w14:textId="5D4F85E8" w:rsidR="00A02DAA" w:rsidRPr="00B267EC" w:rsidRDefault="00A02DAA" w:rsidP="00054F14">
                            <w:r w:rsidRPr="00B267EC">
                              <w:t>Migcha supplies to supermarkets, exhibition</w:t>
                            </w:r>
                            <w:r>
                              <w:t>s</w:t>
                            </w:r>
                            <w:r w:rsidRPr="00B267EC">
                              <w:t>, trade fairs, and</w:t>
                            </w:r>
                            <w:r>
                              <w:t>,</w:t>
                            </w:r>
                            <w:r w:rsidRPr="00B267EC">
                              <w:t xml:space="preserve"> in some cases</w:t>
                            </w:r>
                            <w:r>
                              <w:t>,</w:t>
                            </w:r>
                            <w:r w:rsidRPr="00B267EC">
                              <w:t xml:space="preserve"> buyers come to order from their office directly. </w:t>
                            </w:r>
                          </w:p>
                          <w:p w14:paraId="4087C0AA" w14:textId="3DCE184F" w:rsidR="00A02DAA" w:rsidRPr="00B267EC" w:rsidRDefault="00A02DAA" w:rsidP="00054F14">
                            <w:r w:rsidRPr="00B267EC">
                              <w:t>Most products are sold in Minna</w:t>
                            </w:r>
                            <w:r>
                              <w:t>,</w:t>
                            </w:r>
                            <w:r w:rsidRPr="00B267EC">
                              <w:t xml:space="preserve"> as the company can</w:t>
                            </w:r>
                            <w:r>
                              <w:t>’</w:t>
                            </w:r>
                            <w:r w:rsidRPr="00B267EC">
                              <w:t>t sell outside Niger State until they receive a NAFDAC number. This is a very complicated process that has left Mrs. Garba frustrated. NAFDAC had visited their production site for inspection and recommended some minor corrections. She was then asked to bring her product to process in the lab in Kaduna, Lagos</w:t>
                            </w:r>
                            <w:r>
                              <w:t>,</w:t>
                            </w:r>
                            <w:r w:rsidRPr="00B267EC">
                              <w:t xml:space="preserve"> and Abuja. If the results were up to standard, then Migcha </w:t>
                            </w:r>
                            <w:r>
                              <w:t>would</w:t>
                            </w:r>
                            <w:r w:rsidRPr="00B267EC">
                              <w:t xml:space="preserve"> be issued a certificate</w:t>
                            </w:r>
                            <w:r>
                              <w:rPr>
                                <w:rFonts w:cs="Times New Roman"/>
                              </w:rPr>
                              <w:t>—</w:t>
                            </w:r>
                            <w:r w:rsidRPr="00B267EC">
                              <w:t>this was in 2013. However, after several delays on the institution</w:t>
                            </w:r>
                            <w:r>
                              <w:t>’</w:t>
                            </w:r>
                            <w:r w:rsidRPr="00B267EC">
                              <w:t>s side</w:t>
                            </w:r>
                            <w:r>
                              <w:t>,</w:t>
                            </w:r>
                            <w:r w:rsidRPr="00B267EC">
                              <w:t xml:space="preserve"> the product was sent back after </w:t>
                            </w:r>
                            <w:r>
                              <w:t>nine</w:t>
                            </w:r>
                            <w:r w:rsidRPr="00B267EC">
                              <w:t xml:space="preserve"> months</w:t>
                            </w:r>
                            <w:r>
                              <w:t>,</w:t>
                            </w:r>
                            <w:r w:rsidRPr="00B267EC">
                              <w:t xml:space="preserve"> and Migcha was said to have failed their tests. NAFDAC has since asked the business to resubmit its product and promises a more efficient procedure. </w:t>
                            </w:r>
                          </w:p>
                          <w:p w14:paraId="32F70270" w14:textId="6E9263EA" w:rsidR="00A02DAA" w:rsidRPr="00753A65" w:rsidRDefault="00A02DAA" w:rsidP="00054F14">
                            <w:pPr>
                              <w:pStyle w:val="Heading8"/>
                              <w:tabs>
                                <w:tab w:val="left" w:pos="360"/>
                              </w:tabs>
                              <w:ind w:left="0"/>
                            </w:pPr>
                            <w:r>
                              <w:t xml:space="preserve">(d) </w:t>
                            </w:r>
                            <w:r w:rsidRPr="00753A65">
                              <w:t xml:space="preserve">Raw Materials and Suppliers </w:t>
                            </w:r>
                          </w:p>
                          <w:p w14:paraId="3C276728" w14:textId="70242965" w:rsidR="00A02DAA" w:rsidRPr="00B267EC" w:rsidRDefault="00A02DAA" w:rsidP="00054F14">
                            <w:r w:rsidRPr="00B267EC">
                              <w:t xml:space="preserve">The yam used in production is </w:t>
                            </w:r>
                            <w:r>
                              <w:t>sourced</w:t>
                            </w:r>
                            <w:r w:rsidRPr="00B267EC">
                              <w:t xml:space="preserve"> from surrounding markets such as Beji. Migcha has</w:t>
                            </w:r>
                            <w:r>
                              <w:t>,</w:t>
                            </w:r>
                            <w:r w:rsidRPr="00B267EC">
                              <w:t xml:space="preserve"> however</w:t>
                            </w:r>
                            <w:r>
                              <w:t>,</w:t>
                            </w:r>
                            <w:r w:rsidRPr="00B267EC">
                              <w:t xml:space="preserve"> negotiated with farmers to source directly from them</w:t>
                            </w:r>
                            <w:r>
                              <w:t xml:space="preserve">, </w:t>
                            </w:r>
                            <w:r w:rsidRPr="00B267EC">
                              <w:t xml:space="preserve">eliminating middlemen. New yams </w:t>
                            </w:r>
                            <w:r>
                              <w:t>are available</w:t>
                            </w:r>
                            <w:r w:rsidRPr="00B267EC">
                              <w:t xml:space="preserve"> from August </w:t>
                            </w:r>
                            <w:r>
                              <w:t>until</w:t>
                            </w:r>
                            <w:r w:rsidRPr="00B267EC">
                              <w:t xml:space="preserve"> December, so there is little storage in this period. The storage period during this time ranges f</w:t>
                            </w:r>
                            <w:r>
                              <w:t>r</w:t>
                            </w:r>
                            <w:r w:rsidRPr="00B267EC">
                              <w:t>om a day to a week. When it gets to January</w:t>
                            </w:r>
                            <w:r>
                              <w:t>,</w:t>
                            </w:r>
                            <w:r w:rsidRPr="00B267EC">
                              <w:t xml:space="preserve"> they start storing long</w:t>
                            </w:r>
                            <w:r>
                              <w:t xml:space="preserve"> </w:t>
                            </w:r>
                            <w:r w:rsidRPr="00B267EC">
                              <w:t xml:space="preserve">term for production from May. </w:t>
                            </w:r>
                            <w:r>
                              <w:t>Migcha</w:t>
                            </w:r>
                            <w:r w:rsidRPr="00B267EC">
                              <w:t xml:space="preserve"> stores about 300</w:t>
                            </w:r>
                            <w:r>
                              <w:rPr>
                                <w:rFonts w:ascii="Calibri" w:hAnsi="Calibri"/>
                              </w:rPr>
                              <w:t>‒</w:t>
                            </w:r>
                            <w:r w:rsidRPr="00B267EC">
                              <w:t xml:space="preserve">500 yams from January, and replaces them as it produces until farmers stop harvesting yams. </w:t>
                            </w:r>
                            <w:r>
                              <w:t>Mi</w:t>
                            </w:r>
                            <w:r w:rsidRPr="00B267EC">
                              <w:t xml:space="preserve">gcha says most of its sales are made from May to August when yam is scarce. </w:t>
                            </w:r>
                          </w:p>
                          <w:p w14:paraId="4EAD361B" w14:textId="55375C60" w:rsidR="00A02DAA" w:rsidRPr="00753A65" w:rsidRDefault="00A02DAA" w:rsidP="00054F14">
                            <w:pPr>
                              <w:pStyle w:val="Heading8"/>
                              <w:tabs>
                                <w:tab w:val="left" w:pos="360"/>
                              </w:tabs>
                              <w:ind w:left="0"/>
                            </w:pPr>
                            <w:r>
                              <w:t xml:space="preserve">(e) </w:t>
                            </w:r>
                            <w:r w:rsidRPr="00753A65">
                              <w:t>Firm Capacity</w:t>
                            </w:r>
                          </w:p>
                          <w:p w14:paraId="66019C12" w14:textId="2A017E0A" w:rsidR="00A02DAA" w:rsidRPr="00B267EC" w:rsidRDefault="00A02DAA" w:rsidP="00054F14">
                            <w:r w:rsidRPr="00B267EC">
                              <w:t xml:space="preserve">The business currently employs </w:t>
                            </w:r>
                            <w:r>
                              <w:t>five</w:t>
                            </w:r>
                            <w:r w:rsidRPr="00B267EC">
                              <w:t xml:space="preserve"> permanent staff. As for machinery, it has had trouble getting </w:t>
                            </w:r>
                            <w:r>
                              <w:t>quality</w:t>
                            </w:r>
                            <w:r w:rsidRPr="00B267EC">
                              <w:t xml:space="preserve"> machines. At the moment</w:t>
                            </w:r>
                            <w:r>
                              <w:t>,</w:t>
                            </w:r>
                            <w:r w:rsidRPr="00B267EC">
                              <w:t xml:space="preserve"> their current machines operate at about 60</w:t>
                            </w:r>
                            <w:r>
                              <w:rPr>
                                <w:rFonts w:ascii="Calibri" w:hAnsi="Calibri"/>
                              </w:rPr>
                              <w:t>‒</w:t>
                            </w:r>
                            <w:r w:rsidRPr="00B267EC">
                              <w:t>70</w:t>
                            </w:r>
                            <w:r>
                              <w:t xml:space="preserve"> percent</w:t>
                            </w:r>
                            <w:r w:rsidRPr="00B267EC">
                              <w:t xml:space="preserve"> efficiency.</w:t>
                            </w:r>
                          </w:p>
                          <w:p w14:paraId="66CD5ED0" w14:textId="77777777" w:rsidR="00A02DAA" w:rsidRPr="00B267EC" w:rsidRDefault="00A02DAA" w:rsidP="00054F14">
                            <w:r w:rsidRPr="00B267EC">
                              <w:t xml:space="preserve">The machines used are </w:t>
                            </w:r>
                            <w:r>
                              <w:t>made</w:t>
                            </w:r>
                            <w:r w:rsidRPr="00B267EC">
                              <w:t xml:space="preserve"> in Nigeria. The current ones used were fabricated by Akindele and Sons. Migcha plans to change to machines supplied by a freelance engineer from FUT. This will be done if the Bank of Industry approves their loan application. It plans on using the machines for about </w:t>
                            </w:r>
                            <w:r>
                              <w:t>ten</w:t>
                            </w:r>
                            <w:r w:rsidRPr="00B267EC">
                              <w:t xml:space="preserve"> years. </w:t>
                            </w:r>
                          </w:p>
                          <w:p w14:paraId="6FBB5090" w14:textId="164D0B18" w:rsidR="00A02DAA" w:rsidRDefault="00A02DAA" w:rsidP="00054F14">
                            <w:r w:rsidRPr="00B267EC">
                              <w:t>Mrs. Garba believes the firm</w:t>
                            </w:r>
                            <w:r>
                              <w:t>’</w:t>
                            </w:r>
                            <w:r w:rsidRPr="00B267EC">
                              <w:t xml:space="preserve">s capacity is still limited by the funds it has available and the lack of electricity supply. As a result, the company has a pending contract for supplying </w:t>
                            </w:r>
                            <w:r>
                              <w:t>one</w:t>
                            </w:r>
                            <w:r w:rsidRPr="00B267EC">
                              <w:t xml:space="preserve"> tonne of yam flour a week</w:t>
                            </w:r>
                            <w:r>
                              <w:t>,</w:t>
                            </w:r>
                            <w:r w:rsidRPr="00B267EC">
                              <w:t xml:space="preserve"> which it is unable to execute. She is hoping a loan from the Bank of Industry will help improve efficiency and production capacity.</w:t>
                            </w:r>
                          </w:p>
                          <w:p w14:paraId="5A7CC9BF" w14:textId="2327573B" w:rsidR="00A02DAA" w:rsidRDefault="00A02D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0E7B6" id="_x0000_s1030" type="#_x0000_t202" style="position:absolute;left:0;text-align:left;margin-left:-6pt;margin-top:0;width:474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">
                <v:textbox style="mso-fit-shape-to-text:t">
                  <w:txbxContent>
                    <w:p w14:paraId="5E2ECE4C" w14:textId="0CE0EBF8" w:rsidR="00A02DAA" w:rsidRPr="00753A65" w:rsidRDefault="00A02DAA" w:rsidP="00054F14">
                      <w:pPr>
                        <w:pStyle w:val="Heading8"/>
                        <w:tabs>
                          <w:tab w:val="left" w:pos="360"/>
                        </w:tabs>
                        <w:ind w:left="0"/>
                      </w:pPr>
                      <w:r>
                        <w:t>(c)</w:t>
                      </w:r>
                      <w:r w:rsidRPr="00753A65">
                        <w:t>Distribution</w:t>
                      </w:r>
                    </w:p>
                    <w:p w14:paraId="44AD1EEA" w14:textId="5D4F85E8" w:rsidR="00A02DAA" w:rsidRPr="00B267EC" w:rsidRDefault="00A02DAA" w:rsidP="00054F14">
                      <w:r w:rsidRPr="00B267EC">
                        <w:t>Migcha supplies to supermarkets, exhibition</w:t>
                      </w:r>
                      <w:r>
                        <w:t>s</w:t>
                      </w:r>
                      <w:r w:rsidRPr="00B267EC">
                        <w:t>, trade fairs, and</w:t>
                      </w:r>
                      <w:r>
                        <w:t>,</w:t>
                      </w:r>
                      <w:r w:rsidRPr="00B267EC">
                        <w:t xml:space="preserve"> in some cases</w:t>
                      </w:r>
                      <w:r>
                        <w:t>,</w:t>
                      </w:r>
                      <w:r w:rsidRPr="00B267EC">
                        <w:t xml:space="preserve"> buyers come to order from their office directly. </w:t>
                      </w:r>
                    </w:p>
                    <w:p w14:paraId="4087C0AA" w14:textId="3DCE184F" w:rsidR="00A02DAA" w:rsidRPr="00B267EC" w:rsidRDefault="00A02DAA" w:rsidP="00054F14">
                      <w:r w:rsidRPr="00B267EC">
                        <w:t>Most products are sold in Minna</w:t>
                      </w:r>
                      <w:r>
                        <w:t>,</w:t>
                      </w:r>
                      <w:r w:rsidRPr="00B267EC">
                        <w:t xml:space="preserve"> as the company can</w:t>
                      </w:r>
                      <w:r>
                        <w:t>’</w:t>
                      </w:r>
                      <w:r w:rsidRPr="00B267EC">
                        <w:t>t sell outside Niger State until they receive a NAFDAC number. This is a very complicated process that has left Mrs. Garba frustrated. NAFDAC had visited their production site for inspection and recommended some minor corrections. She was then asked to bring her product to process in the lab in Kaduna, Lagos</w:t>
                      </w:r>
                      <w:r>
                        <w:t>,</w:t>
                      </w:r>
                      <w:r w:rsidRPr="00B267EC">
                        <w:t xml:space="preserve"> and Abuja. If the results were up to standard, then Migcha </w:t>
                      </w:r>
                      <w:r>
                        <w:t>would</w:t>
                      </w:r>
                      <w:r w:rsidRPr="00B267EC">
                        <w:t xml:space="preserve"> be issued a certificate</w:t>
                      </w:r>
                      <w:r>
                        <w:rPr>
                          <w:rFonts w:cs="Times New Roman"/>
                        </w:rPr>
                        <w:t>—</w:t>
                      </w:r>
                      <w:r w:rsidRPr="00B267EC">
                        <w:t>this was in 2013. However, after several delays on the institution</w:t>
                      </w:r>
                      <w:r>
                        <w:t>’</w:t>
                      </w:r>
                      <w:r w:rsidRPr="00B267EC">
                        <w:t>s side</w:t>
                      </w:r>
                      <w:r>
                        <w:t>,</w:t>
                      </w:r>
                      <w:r w:rsidRPr="00B267EC">
                        <w:t xml:space="preserve"> the product was sent back after </w:t>
                      </w:r>
                      <w:r>
                        <w:t>nine</w:t>
                      </w:r>
                      <w:r w:rsidRPr="00B267EC">
                        <w:t xml:space="preserve"> months</w:t>
                      </w:r>
                      <w:r>
                        <w:t>,</w:t>
                      </w:r>
                      <w:r w:rsidRPr="00B267EC">
                        <w:t xml:space="preserve"> and Migcha was said to have failed their tests. NAFDAC has since asked the business to resubmit its product and promises a more efficient procedure. </w:t>
                      </w:r>
                    </w:p>
                    <w:p w14:paraId="32F70270" w14:textId="6E9263EA" w:rsidR="00A02DAA" w:rsidRPr="00753A65" w:rsidRDefault="00A02DAA" w:rsidP="00054F14">
                      <w:pPr>
                        <w:pStyle w:val="Heading8"/>
                        <w:tabs>
                          <w:tab w:val="left" w:pos="360"/>
                        </w:tabs>
                        <w:ind w:left="0"/>
                      </w:pPr>
                      <w:r>
                        <w:t xml:space="preserve">(d) </w:t>
                      </w:r>
                      <w:r w:rsidRPr="00753A65">
                        <w:t xml:space="preserve">Raw Materials and Suppliers </w:t>
                      </w:r>
                    </w:p>
                    <w:p w14:paraId="3C276728" w14:textId="70242965" w:rsidR="00A02DAA" w:rsidRPr="00B267EC" w:rsidRDefault="00A02DAA" w:rsidP="00054F14">
                      <w:r w:rsidRPr="00B267EC">
                        <w:t xml:space="preserve">The yam used in production is </w:t>
                      </w:r>
                      <w:r>
                        <w:t>sourced</w:t>
                      </w:r>
                      <w:r w:rsidRPr="00B267EC">
                        <w:t xml:space="preserve"> from surrounding markets such as Beji. Migcha has</w:t>
                      </w:r>
                      <w:r>
                        <w:t>,</w:t>
                      </w:r>
                      <w:r w:rsidRPr="00B267EC">
                        <w:t xml:space="preserve"> however</w:t>
                      </w:r>
                      <w:r>
                        <w:t>,</w:t>
                      </w:r>
                      <w:r w:rsidRPr="00B267EC">
                        <w:t xml:space="preserve"> negotiated with farmers to source directly from them</w:t>
                      </w:r>
                      <w:r>
                        <w:t xml:space="preserve">, </w:t>
                      </w:r>
                      <w:r w:rsidRPr="00B267EC">
                        <w:t xml:space="preserve">eliminating middlemen. New yams </w:t>
                      </w:r>
                      <w:r>
                        <w:t>are available</w:t>
                      </w:r>
                      <w:r w:rsidRPr="00B267EC">
                        <w:t xml:space="preserve"> from August </w:t>
                      </w:r>
                      <w:r>
                        <w:t>until</w:t>
                      </w:r>
                      <w:r w:rsidRPr="00B267EC">
                        <w:t xml:space="preserve"> December, so there is little storage in this period. The storage period during this time ranges f</w:t>
                      </w:r>
                      <w:r>
                        <w:t>r</w:t>
                      </w:r>
                      <w:r w:rsidRPr="00B267EC">
                        <w:t>om a day to a week. When it gets to January</w:t>
                      </w:r>
                      <w:r>
                        <w:t>,</w:t>
                      </w:r>
                      <w:r w:rsidRPr="00B267EC">
                        <w:t xml:space="preserve"> they start storing long</w:t>
                      </w:r>
                      <w:r>
                        <w:t xml:space="preserve"> </w:t>
                      </w:r>
                      <w:r w:rsidRPr="00B267EC">
                        <w:t xml:space="preserve">term for production from May. </w:t>
                      </w:r>
                      <w:r>
                        <w:t>Migcha</w:t>
                      </w:r>
                      <w:r w:rsidRPr="00B267EC">
                        <w:t xml:space="preserve"> stores about 300</w:t>
                      </w:r>
                      <w:r>
                        <w:rPr>
                          <w:rFonts w:ascii="Calibri" w:hAnsi="Calibri"/>
                        </w:rPr>
                        <w:t>‒</w:t>
                      </w:r>
                      <w:r w:rsidRPr="00B267EC">
                        <w:t xml:space="preserve">500 yams from January, and replaces them as it produces until farmers stop harvesting yams. </w:t>
                      </w:r>
                      <w:r>
                        <w:t>Mi</w:t>
                      </w:r>
                      <w:r w:rsidRPr="00B267EC">
                        <w:t xml:space="preserve">gcha says most of its sales are made from May to August when yam is scarce. </w:t>
                      </w:r>
                    </w:p>
                    <w:p w14:paraId="4EAD361B" w14:textId="55375C60" w:rsidR="00A02DAA" w:rsidRPr="00753A65" w:rsidRDefault="00A02DAA" w:rsidP="00054F14">
                      <w:pPr>
                        <w:pStyle w:val="Heading8"/>
                        <w:tabs>
                          <w:tab w:val="left" w:pos="360"/>
                        </w:tabs>
                        <w:ind w:left="0"/>
                      </w:pPr>
                      <w:r>
                        <w:t xml:space="preserve">(e) </w:t>
                      </w:r>
                      <w:r w:rsidRPr="00753A65">
                        <w:t>Firm Capacity</w:t>
                      </w:r>
                    </w:p>
                    <w:p w14:paraId="66019C12" w14:textId="2A017E0A" w:rsidR="00A02DAA" w:rsidRPr="00B267EC" w:rsidRDefault="00A02DAA" w:rsidP="00054F14">
                      <w:r w:rsidRPr="00B267EC">
                        <w:t xml:space="preserve">The business currently employs </w:t>
                      </w:r>
                      <w:r>
                        <w:t>five</w:t>
                      </w:r>
                      <w:r w:rsidRPr="00B267EC">
                        <w:t xml:space="preserve"> permanent staff. As for machinery, it has had trouble getting </w:t>
                      </w:r>
                      <w:r>
                        <w:t>quality</w:t>
                      </w:r>
                      <w:r w:rsidRPr="00B267EC">
                        <w:t xml:space="preserve"> machines. At the moment</w:t>
                      </w:r>
                      <w:r>
                        <w:t>,</w:t>
                      </w:r>
                      <w:r w:rsidRPr="00B267EC">
                        <w:t xml:space="preserve"> their current machines operate at about 60</w:t>
                      </w:r>
                      <w:r>
                        <w:rPr>
                          <w:rFonts w:ascii="Calibri" w:hAnsi="Calibri"/>
                        </w:rPr>
                        <w:t>‒</w:t>
                      </w:r>
                      <w:r w:rsidRPr="00B267EC">
                        <w:t>70</w:t>
                      </w:r>
                      <w:r>
                        <w:t xml:space="preserve"> percent</w:t>
                      </w:r>
                      <w:r w:rsidRPr="00B267EC">
                        <w:t xml:space="preserve"> efficiency.</w:t>
                      </w:r>
                    </w:p>
                    <w:p w14:paraId="66CD5ED0" w14:textId="77777777" w:rsidR="00A02DAA" w:rsidRPr="00B267EC" w:rsidRDefault="00A02DAA" w:rsidP="00054F14">
                      <w:r w:rsidRPr="00B267EC">
                        <w:t xml:space="preserve">The machines used are </w:t>
                      </w:r>
                      <w:r>
                        <w:t>made</w:t>
                      </w:r>
                      <w:r w:rsidRPr="00B267EC">
                        <w:t xml:space="preserve"> in Nigeria. The current ones used were fabricated by Akindele and Sons. Migcha plans to change to machines supplied by a freelance engineer from FUT. This will be done if the Bank of Industry approves their loan application. It plans on using the machines for about </w:t>
                      </w:r>
                      <w:r>
                        <w:t>ten</w:t>
                      </w:r>
                      <w:r w:rsidRPr="00B267EC">
                        <w:t xml:space="preserve"> years. </w:t>
                      </w:r>
                    </w:p>
                    <w:p w14:paraId="6FBB5090" w14:textId="164D0B18" w:rsidR="00A02DAA" w:rsidRDefault="00A02DAA" w:rsidP="00054F14">
                      <w:r w:rsidRPr="00B267EC">
                        <w:t>Mrs. Garba believes the firm</w:t>
                      </w:r>
                      <w:r>
                        <w:t>’</w:t>
                      </w:r>
                      <w:r w:rsidRPr="00B267EC">
                        <w:t xml:space="preserve">s capacity is still limited by the funds it has available and the lack of electricity supply. As a result, the company has a pending contract for supplying </w:t>
                      </w:r>
                      <w:r>
                        <w:t>one</w:t>
                      </w:r>
                      <w:r w:rsidRPr="00B267EC">
                        <w:t xml:space="preserve"> tonne of yam flour a week</w:t>
                      </w:r>
                      <w:r>
                        <w:t>,</w:t>
                      </w:r>
                      <w:r w:rsidRPr="00B267EC">
                        <w:t xml:space="preserve"> which it is unable to execute. She is hoping a loan from the Bank of Industry will help improve efficiency and production capacity.</w:t>
                      </w:r>
                    </w:p>
                    <w:p w14:paraId="5A7CC9BF" w14:textId="2327573B" w:rsidR="00A02DAA" w:rsidRDefault="00A02DAA"/>
                  </w:txbxContent>
                </v:textbox>
                <w10:wrap type="square"/>
              </v:shape>
            </w:pict>
          </mc:Fallback>
        </mc:AlternateContent>
      </w:r>
      <w:bookmarkStart w:id="279" w:name="_Toc444877518"/>
      <w:bookmarkStart w:id="280" w:name="_Toc445450289"/>
    </w:p>
    <w:p w14:paraId="06C860A0" w14:textId="5BD9E9AB" w:rsidR="001407BB" w:rsidRPr="00DD3FC5" w:rsidRDefault="00D20B92" w:rsidP="00D727BF">
      <w:pPr>
        <w:pStyle w:val="Heading2"/>
        <w:tabs>
          <w:tab w:val="left" w:pos="720"/>
        </w:tabs>
        <w:spacing w:before="240"/>
      </w:pPr>
      <w:r w:rsidRPr="00DD3FC5">
        <w:lastRenderedPageBreak/>
        <w:t xml:space="preserve">Main </w:t>
      </w:r>
      <w:r w:rsidR="0075394F" w:rsidRPr="00DD3FC5">
        <w:t>Findings</w:t>
      </w:r>
      <w:bookmarkEnd w:id="279"/>
      <w:bookmarkEnd w:id="280"/>
    </w:p>
    <w:p w14:paraId="55F951CA" w14:textId="36178427" w:rsidR="00940481" w:rsidRPr="00940481" w:rsidRDefault="005914D0" w:rsidP="00D727BF">
      <w:pPr>
        <w:pStyle w:val="ParagraphNumbering"/>
        <w:numPr>
          <w:ilvl w:val="0"/>
          <w:numId w:val="0"/>
        </w:numPr>
        <w:tabs>
          <w:tab w:val="left" w:pos="720"/>
        </w:tabs>
        <w:spacing w:after="240"/>
      </w:pPr>
      <w:r>
        <w:tab/>
      </w:r>
      <w:r w:rsidR="00940481">
        <w:t>Overall</w:t>
      </w:r>
      <w:r>
        <w:t>,</w:t>
      </w:r>
      <w:r w:rsidR="00940481">
        <w:t xml:space="preserve"> the private sector has been experiencing a decline in sales between 2011 and 2013. The southern part of Nigeria </w:t>
      </w:r>
      <w:r w:rsidR="00FD1E66">
        <w:t xml:space="preserve">was less affected </w:t>
      </w:r>
      <w:r w:rsidR="0035258E">
        <w:t>by the economic turmoil than the North.</w:t>
      </w:r>
      <w:r w:rsidR="00940481">
        <w:t xml:space="preserve"> </w:t>
      </w:r>
      <w:r w:rsidR="0035258E">
        <w:t xml:space="preserve">Services were stagnant during the same period while the manufacturing sector was in recession. On the other hand, </w:t>
      </w:r>
      <w:r w:rsidR="00B023B3">
        <w:t xml:space="preserve">the </w:t>
      </w:r>
      <w:r w:rsidR="0035258E">
        <w:t xml:space="preserve">data suggest that </w:t>
      </w:r>
      <w:r w:rsidR="00940481" w:rsidRPr="00940481">
        <w:t xml:space="preserve">average employment growth has been positive in all regions. </w:t>
      </w:r>
      <w:r w:rsidR="00B023B3">
        <w:t xml:space="preserve">A possible explanation is </w:t>
      </w:r>
      <w:r w:rsidR="00940481" w:rsidRPr="00940481">
        <w:t xml:space="preserve">that entrepreneurs considered the drop in sales </w:t>
      </w:r>
      <w:r>
        <w:t>there</w:t>
      </w:r>
      <w:r w:rsidRPr="00940481">
        <w:t xml:space="preserve"> </w:t>
      </w:r>
      <w:r w:rsidR="00B023B3">
        <w:t xml:space="preserve">temporary </w:t>
      </w:r>
      <w:r w:rsidR="00940481" w:rsidRPr="00940481">
        <w:t xml:space="preserve">and </w:t>
      </w:r>
      <w:r w:rsidR="00B023B3">
        <w:t xml:space="preserve">did </w:t>
      </w:r>
      <w:r w:rsidR="00940481" w:rsidRPr="00940481">
        <w:t xml:space="preserve">not adjust their labor force </w:t>
      </w:r>
      <w:r w:rsidR="00B023B3">
        <w:t>accordingly</w:t>
      </w:r>
      <w:r w:rsidR="00940481" w:rsidRPr="00940481">
        <w:t xml:space="preserve">. </w:t>
      </w:r>
    </w:p>
    <w:p w14:paraId="51957D30" w14:textId="6E40AFE9" w:rsidR="0035258E" w:rsidRDefault="005914D0" w:rsidP="00D727BF">
      <w:pPr>
        <w:pStyle w:val="ParagraphNumbering"/>
        <w:numPr>
          <w:ilvl w:val="0"/>
          <w:numId w:val="0"/>
        </w:numPr>
        <w:tabs>
          <w:tab w:val="left" w:pos="720"/>
        </w:tabs>
        <w:spacing w:after="240"/>
      </w:pPr>
      <w:r>
        <w:tab/>
      </w:r>
      <w:r w:rsidR="0035258E" w:rsidRPr="0035258E">
        <w:t xml:space="preserve">The private sector in Nigeria faces a wide range of constraints </w:t>
      </w:r>
      <w:r>
        <w:t>that</w:t>
      </w:r>
      <w:r w:rsidRPr="0035258E">
        <w:t xml:space="preserve"> </w:t>
      </w:r>
      <w:r w:rsidR="0035258E" w:rsidRPr="0035258E">
        <w:t xml:space="preserve">seem more severe than </w:t>
      </w:r>
      <w:r>
        <w:t xml:space="preserve">in </w:t>
      </w:r>
      <w:r w:rsidR="0035258E" w:rsidRPr="0035258E">
        <w:t>any other comparator country.</w:t>
      </w:r>
      <w:r w:rsidR="0035258E" w:rsidRPr="00940481">
        <w:t xml:space="preserve"> Firm managers are most concerned by electricity, corruption</w:t>
      </w:r>
      <w:r>
        <w:t>,</w:t>
      </w:r>
      <w:r w:rsidR="0035258E" w:rsidRPr="00940481">
        <w:t xml:space="preserve"> and access to finance. </w:t>
      </w:r>
      <w:r w:rsidR="0035258E" w:rsidRPr="0035258E">
        <w:rPr>
          <w:noProof/>
        </w:rPr>
        <w:t>Power</w:t>
      </w:r>
      <w:r w:rsidR="0035258E" w:rsidRPr="0035258E">
        <w:t xml:space="preserve"> outages appear to be a more serious problem in Nigeria than in other countries</w:t>
      </w:r>
      <w:r>
        <w:t>,</w:t>
      </w:r>
      <w:r w:rsidR="0035258E">
        <w:t xml:space="preserve"> resulting in higher losses, a larger proportion of firms with generators</w:t>
      </w:r>
      <w:r w:rsidR="00B023B3">
        <w:t>,</w:t>
      </w:r>
      <w:r w:rsidR="0035258E">
        <w:t xml:space="preserve"> and ultimately higher costs for electricity and fuel</w:t>
      </w:r>
      <w:r w:rsidR="0035258E" w:rsidRPr="0035258E">
        <w:t xml:space="preserve">. </w:t>
      </w:r>
      <w:r w:rsidR="00CE72B5">
        <w:t xml:space="preserve">Corruption is a major issue in Nigeria, in particular for firms located in </w:t>
      </w:r>
      <w:r w:rsidR="002A2158">
        <w:t xml:space="preserve">the north </w:t>
      </w:r>
      <w:r w:rsidR="00CE72B5">
        <w:t>(especially in Kano and Kaduna)</w:t>
      </w:r>
      <w:r>
        <w:t>,</w:t>
      </w:r>
      <w:r w:rsidR="00CE72B5">
        <w:t xml:space="preserve"> and for large firms. </w:t>
      </w:r>
      <w:r w:rsidR="0035258E" w:rsidRPr="00940481">
        <w:t>Regarding access to finance</w:t>
      </w:r>
      <w:r w:rsidR="00B023B3">
        <w:t>,</w:t>
      </w:r>
      <w:r w:rsidR="0035258E" w:rsidRPr="00940481">
        <w:rPr>
          <w:noProof/>
        </w:rPr>
        <w:t xml:space="preserve"> although small firms commonly</w:t>
      </w:r>
      <w:r w:rsidR="0035258E" w:rsidRPr="00940481">
        <w:t xml:space="preserve"> have worse access than large firms, small firms in Nigeria appear to be particularly disadvantaged in this respect when compared to the comparator countries (except Ethiopia). Comparisons with the other benchmark countries also reveal that tax administration </w:t>
      </w:r>
      <w:r w:rsidR="00B023B3">
        <w:t>is more of a problem than in comparator countries</w:t>
      </w:r>
      <w:r w:rsidR="0035258E" w:rsidRPr="00940481">
        <w:t>. Overall</w:t>
      </w:r>
      <w:r w:rsidR="00B023B3">
        <w:t>,</w:t>
      </w:r>
      <w:r w:rsidR="0035258E" w:rsidRPr="00940481">
        <w:t xml:space="preserve"> the business environment in Nigeria appear</w:t>
      </w:r>
      <w:r w:rsidR="00CE72B5">
        <w:t>s</w:t>
      </w:r>
      <w:r w:rsidR="0035258E" w:rsidRPr="00940481">
        <w:t xml:space="preserve"> </w:t>
      </w:r>
      <w:r w:rsidR="00F878E5">
        <w:t>unattractive</w:t>
      </w:r>
      <w:r w:rsidR="0035258E" w:rsidRPr="00940481">
        <w:t xml:space="preserve">. </w:t>
      </w:r>
    </w:p>
    <w:p w14:paraId="084F5254" w14:textId="76C193E1" w:rsidR="00CE72B5" w:rsidRPr="00CE72B5" w:rsidRDefault="00CE4844" w:rsidP="00D727BF">
      <w:pPr>
        <w:pStyle w:val="ParagraphNumbering"/>
        <w:numPr>
          <w:ilvl w:val="0"/>
          <w:numId w:val="0"/>
        </w:numPr>
        <w:tabs>
          <w:tab w:val="left" w:pos="720"/>
        </w:tabs>
        <w:spacing w:after="240"/>
      </w:pPr>
      <w:r>
        <w:tab/>
      </w:r>
      <w:r w:rsidR="00CE72B5" w:rsidRPr="00CE72B5">
        <w:t>Between 2007 and 2014, Nigeria</w:t>
      </w:r>
      <w:r w:rsidR="00863D16">
        <w:t>’</w:t>
      </w:r>
      <w:r w:rsidR="00CE72B5" w:rsidRPr="00CE72B5">
        <w:t xml:space="preserve">s business environment does not seem to have </w:t>
      </w:r>
      <w:r w:rsidR="00F878E5">
        <w:t>made significant progress</w:t>
      </w:r>
      <w:r w:rsidR="00CE72B5" w:rsidRPr="00CE72B5">
        <w:t xml:space="preserve">. </w:t>
      </w:r>
      <w:r w:rsidR="00CE72B5">
        <w:t xml:space="preserve">Most business environment items are similar between the two survey rounds. The main </w:t>
      </w:r>
      <w:r w:rsidR="00F878E5">
        <w:t xml:space="preserve">area of </w:t>
      </w:r>
      <w:r w:rsidR="00CE72B5">
        <w:t>progress relates to access to finance. F</w:t>
      </w:r>
      <w:r w:rsidR="00CE72B5" w:rsidRPr="008E097D">
        <w:t>irms appear to have better access to credit in 2014</w:t>
      </w:r>
      <w:r w:rsidR="00CE72B5">
        <w:t xml:space="preserve"> than they did in 2007, about </w:t>
      </w:r>
      <w:r w:rsidR="00700726">
        <w:t xml:space="preserve">10 </w:t>
      </w:r>
      <w:r w:rsidR="00CE72B5">
        <w:t xml:space="preserve">percent compared to </w:t>
      </w:r>
      <w:r w:rsidR="00F878E5">
        <w:t xml:space="preserve">31 </w:t>
      </w:r>
      <w:r w:rsidR="00CE72B5">
        <w:t xml:space="preserve">percent. On the other hand, </w:t>
      </w:r>
      <w:r w:rsidR="00CE72B5" w:rsidRPr="00CE72B5">
        <w:t xml:space="preserve">firms reported greater costs due to crime and insecurity in 2014 compared to 2007. </w:t>
      </w:r>
    </w:p>
    <w:p w14:paraId="52783E3C" w14:textId="4181A37D" w:rsidR="008D3007" w:rsidRPr="00940481" w:rsidRDefault="00CE4844" w:rsidP="00D727BF">
      <w:pPr>
        <w:pStyle w:val="ParagraphNumbering"/>
        <w:numPr>
          <w:ilvl w:val="0"/>
          <w:numId w:val="0"/>
        </w:numPr>
        <w:tabs>
          <w:tab w:val="left" w:pos="720"/>
        </w:tabs>
        <w:spacing w:after="240"/>
      </w:pPr>
      <w:r>
        <w:tab/>
      </w:r>
      <w:r w:rsidR="005E6F61">
        <w:t>R</w:t>
      </w:r>
      <w:r w:rsidR="00F878E5">
        <w:t>egarding</w:t>
      </w:r>
      <w:r w:rsidR="00CE72B5">
        <w:t xml:space="preserve"> the manufacturing sector, results suggest that </w:t>
      </w:r>
      <w:r w:rsidR="0038596E" w:rsidRPr="00940481">
        <w:t>Nigeria</w:t>
      </w:r>
      <w:r w:rsidR="00863D16">
        <w:t>’</w:t>
      </w:r>
      <w:r w:rsidR="0038596E" w:rsidRPr="00940481">
        <w:t xml:space="preserve">s </w:t>
      </w:r>
      <w:r w:rsidR="00F878E5">
        <w:t>TFP</w:t>
      </w:r>
      <w:r w:rsidR="0038596E" w:rsidRPr="00940481">
        <w:t xml:space="preserve"> is low </w:t>
      </w:r>
      <w:r w:rsidR="000B2EF9" w:rsidRPr="00940481">
        <w:t xml:space="preserve">relative </w:t>
      </w:r>
      <w:r w:rsidR="0038596E" w:rsidRPr="00940481">
        <w:t>to the other comparator countries</w:t>
      </w:r>
      <w:r w:rsidR="00CE72B5">
        <w:t xml:space="preserve">. </w:t>
      </w:r>
      <w:r w:rsidR="00700726">
        <w:t xml:space="preserve">However, </w:t>
      </w:r>
      <w:r w:rsidR="00CE72B5">
        <w:t>there are</w:t>
      </w:r>
      <w:r w:rsidR="0075394F" w:rsidRPr="00940481">
        <w:rPr>
          <w:b/>
        </w:rPr>
        <w:t xml:space="preserve"> </w:t>
      </w:r>
      <w:r w:rsidR="0075394F" w:rsidRPr="00940481">
        <w:t xml:space="preserve">wide </w:t>
      </w:r>
      <w:r w:rsidR="0038596E" w:rsidRPr="00940481">
        <w:t>disparities</w:t>
      </w:r>
      <w:r w:rsidR="000B2EF9" w:rsidRPr="00940481">
        <w:t xml:space="preserve"> </w:t>
      </w:r>
      <w:r w:rsidR="00CE72B5">
        <w:t>across Nigeria</w:t>
      </w:r>
      <w:r w:rsidR="0038596E" w:rsidRPr="00940481">
        <w:t xml:space="preserve">. Firms in </w:t>
      </w:r>
      <w:r w:rsidR="004332AA" w:rsidRPr="00940481">
        <w:t>Lagos</w:t>
      </w:r>
      <w:r w:rsidR="00073DD8" w:rsidRPr="00940481">
        <w:t xml:space="preserve"> </w:t>
      </w:r>
      <w:r w:rsidR="004332AA" w:rsidRPr="00940481">
        <w:t>compare favorably with other African comparator countries</w:t>
      </w:r>
      <w:r w:rsidR="00700726">
        <w:t>,</w:t>
      </w:r>
      <w:r w:rsidR="000B2EF9" w:rsidRPr="00940481">
        <w:t xml:space="preserve"> while firms</w:t>
      </w:r>
      <w:r w:rsidR="008D57A9" w:rsidRPr="00940481">
        <w:t xml:space="preserve"> </w:t>
      </w:r>
      <w:r w:rsidR="00CE72B5">
        <w:t>in other states</w:t>
      </w:r>
      <w:r w:rsidR="00073DD8" w:rsidRPr="00940481">
        <w:t xml:space="preserve"> are lagging behind</w:t>
      </w:r>
      <w:r w:rsidR="002C6F93" w:rsidRPr="00940481">
        <w:t xml:space="preserve"> compared to the </w:t>
      </w:r>
      <w:r w:rsidR="008D57A9" w:rsidRPr="00940481">
        <w:t>other countries</w:t>
      </w:r>
      <w:r w:rsidR="00073DD8" w:rsidRPr="00940481">
        <w:t>.</w:t>
      </w:r>
      <w:r w:rsidR="004332AA" w:rsidRPr="00940481">
        <w:t xml:space="preserve"> </w:t>
      </w:r>
      <w:r w:rsidR="00A32D8E" w:rsidRPr="00940481">
        <w:t>In addition, labor costs are relatively high compared to other African countries, which affects the competitiveness of the manufacturing secto</w:t>
      </w:r>
      <w:r w:rsidR="009B300B">
        <w:t>r overall. Labor costs in Lagos are too high compared to TFP</w:t>
      </w:r>
      <w:r w:rsidR="00F878E5">
        <w:t>,</w:t>
      </w:r>
      <w:r w:rsidR="009B300B">
        <w:t xml:space="preserve"> and even firms in Lagos are not competitive when compared to the other peer countries. Lastly, </w:t>
      </w:r>
      <w:r w:rsidR="009B300B" w:rsidRPr="009B300B">
        <w:t xml:space="preserve">Nigerian manufacturing firms </w:t>
      </w:r>
      <w:r w:rsidR="00F878E5">
        <w:t>are not big investors</w:t>
      </w:r>
      <w:r w:rsidR="009B300B">
        <w:t xml:space="preserve"> due to political risk, corruption</w:t>
      </w:r>
      <w:r w:rsidR="00700726">
        <w:t>,</w:t>
      </w:r>
      <w:r w:rsidR="009B300B">
        <w:t xml:space="preserve"> or a limited access to finance</w:t>
      </w:r>
      <w:r w:rsidR="009B300B" w:rsidRPr="009B300B">
        <w:t>.</w:t>
      </w:r>
      <w:r w:rsidR="009B300B">
        <w:t xml:space="preserve"> This problem appears to be more severe in the </w:t>
      </w:r>
      <w:r w:rsidR="00170F94">
        <w:t>n</w:t>
      </w:r>
      <w:r w:rsidR="009B300B">
        <w:t>orth</w:t>
      </w:r>
      <w:r w:rsidR="00342802">
        <w:t>,</w:t>
      </w:r>
      <w:r w:rsidR="009B300B">
        <w:t xml:space="preserve"> where corruption is high and firms</w:t>
      </w:r>
      <w:r w:rsidR="00863D16">
        <w:t>’</w:t>
      </w:r>
      <w:r w:rsidR="009B300B">
        <w:t xml:space="preserve"> access to finance </w:t>
      </w:r>
      <w:r w:rsidR="00F878E5">
        <w:t>is more limited</w:t>
      </w:r>
      <w:r w:rsidR="009B300B">
        <w:t xml:space="preserve">. </w:t>
      </w:r>
    </w:p>
    <w:p w14:paraId="6082E1DD" w14:textId="2569D9AA" w:rsidR="00A32D8E" w:rsidRPr="00940481" w:rsidRDefault="00CE4844" w:rsidP="00D727BF">
      <w:pPr>
        <w:pStyle w:val="ParagraphNumbering"/>
        <w:numPr>
          <w:ilvl w:val="0"/>
          <w:numId w:val="0"/>
        </w:numPr>
        <w:tabs>
          <w:tab w:val="left" w:pos="720"/>
        </w:tabs>
        <w:spacing w:after="240"/>
      </w:pPr>
      <w:r>
        <w:tab/>
      </w:r>
      <w:r w:rsidR="009B300B" w:rsidRPr="009B300B">
        <w:t xml:space="preserve">The investment climate in Nigeria is more challenging along every dimension than in the median developing country where </w:t>
      </w:r>
      <w:r w:rsidR="00C32950">
        <w:t>enterprise surveys</w:t>
      </w:r>
      <w:r w:rsidR="009B300B" w:rsidRPr="009B300B">
        <w:t xml:space="preserve"> have been completed. </w:t>
      </w:r>
      <w:r w:rsidR="00A32D8E" w:rsidRPr="00940481">
        <w:t>Manufacturing firms in Nigeria spend more time dealing with regulations and more time paying bribes and lose more to crime, insecurity</w:t>
      </w:r>
      <w:r w:rsidR="00700726">
        <w:t>,</w:t>
      </w:r>
      <w:r w:rsidR="00A32D8E" w:rsidRPr="00940481">
        <w:t xml:space="preserve"> and power outages than in the median developing country.</w:t>
      </w:r>
      <w:r w:rsidR="00F428F9" w:rsidRPr="00940481">
        <w:t xml:space="preserve"> </w:t>
      </w:r>
      <w:r w:rsidR="00A32D8E" w:rsidRPr="00940481">
        <w:t>Manufacturing firms in Nigeria are also less likely to have bank credit, less likely to have their own website</w:t>
      </w:r>
      <w:r w:rsidR="00C52FBB">
        <w:t>s</w:t>
      </w:r>
      <w:r w:rsidR="00A32D8E" w:rsidRPr="00940481">
        <w:t>, less likely to license foreign technologies, and less likely to have training programs.</w:t>
      </w:r>
      <w:r w:rsidR="00F428F9" w:rsidRPr="00940481">
        <w:t xml:space="preserve"> </w:t>
      </w:r>
      <w:r w:rsidR="00A32D8E" w:rsidRPr="00940481">
        <w:t>They are also less likely to export and less likely to be foreign owned.</w:t>
      </w:r>
      <w:r w:rsidR="00F428F9" w:rsidRPr="00940481">
        <w:t xml:space="preserve"> </w:t>
      </w:r>
      <w:r w:rsidR="00A32D8E" w:rsidRPr="00940481">
        <w:t>All of these factors lower TFP.</w:t>
      </w:r>
    </w:p>
    <w:p w14:paraId="2E9E401B" w14:textId="386480B9" w:rsidR="000D3ED6" w:rsidRPr="00940481" w:rsidRDefault="00CE4844" w:rsidP="00D727BF">
      <w:pPr>
        <w:pStyle w:val="ParagraphNumbering"/>
        <w:numPr>
          <w:ilvl w:val="0"/>
          <w:numId w:val="0"/>
        </w:numPr>
        <w:tabs>
          <w:tab w:val="left" w:pos="720"/>
        </w:tabs>
        <w:spacing w:after="240"/>
      </w:pPr>
      <w:r>
        <w:lastRenderedPageBreak/>
        <w:tab/>
      </w:r>
      <w:r w:rsidR="000D3ED6" w:rsidRPr="00940481">
        <w:t>If Ni</w:t>
      </w:r>
      <w:r w:rsidR="000D3ED6" w:rsidRPr="00940481">
        <w:rPr>
          <w:bCs w:val="0"/>
        </w:rPr>
        <w:t>g</w:t>
      </w:r>
      <w:r w:rsidR="000D3ED6" w:rsidRPr="00940481">
        <w:t>eria</w:t>
      </w:r>
      <w:r w:rsidR="00863D16">
        <w:t>’</w:t>
      </w:r>
      <w:r w:rsidR="000D3ED6" w:rsidRPr="00940481">
        <w:t>s investment climate were as favorable as in the median developing country on each measure, TFP would be about 40 percent higher.</w:t>
      </w:r>
      <w:r w:rsidR="00F428F9" w:rsidRPr="00940481">
        <w:t xml:space="preserve"> </w:t>
      </w:r>
      <w:r w:rsidR="000D3ED6" w:rsidRPr="00940481">
        <w:t>The biggest gains would come from reducing crime, improving access to credit, reducing losses due to power outages, and increasing use of the Internet. Two areas—electricity and access to finance—were among Nigerian firms</w:t>
      </w:r>
      <w:r w:rsidR="00863D16">
        <w:t>’</w:t>
      </w:r>
      <w:r w:rsidR="000D3ED6" w:rsidRPr="00940481">
        <w:t xml:space="preserve"> greatest concerns</w:t>
      </w:r>
      <w:r w:rsidR="008D3007" w:rsidRPr="00940481">
        <w:t>.</w:t>
      </w:r>
    </w:p>
    <w:p w14:paraId="0A38561F" w14:textId="5C30F417" w:rsidR="0018367F" w:rsidRDefault="00512714" w:rsidP="00D727BF">
      <w:pPr>
        <w:pStyle w:val="ParagraphNumbering"/>
        <w:numPr>
          <w:ilvl w:val="0"/>
          <w:numId w:val="0"/>
        </w:numPr>
        <w:tabs>
          <w:tab w:val="left" w:pos="720"/>
        </w:tabs>
        <w:ind w:left="720"/>
      </w:pPr>
      <w:r>
        <w:rPr>
          <w:noProof/>
        </w:rPr>
        <w:lastRenderedPageBreak/>
        <mc:AlternateContent>
          <mc:Choice Requires="wps">
            <w:drawing>
              <wp:anchor distT="45720" distB="45720" distL="114300" distR="114300" simplePos="0" relativeHeight="251673600" behindDoc="0" locked="0" layoutInCell="1" allowOverlap="1" wp14:anchorId="5857C229" wp14:editId="2E284688">
                <wp:simplePos x="0" y="0"/>
                <wp:positionH relativeFrom="column">
                  <wp:posOffset>-68580</wp:posOffset>
                </wp:positionH>
                <wp:positionV relativeFrom="paragraph">
                  <wp:posOffset>0</wp:posOffset>
                </wp:positionV>
                <wp:extent cx="6035040" cy="1404620"/>
                <wp:effectExtent l="0" t="0" r="22860" b="25400"/>
                <wp:wrapSquare wrapText="bothSides"/>
                <wp:docPr id="6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000000"/>
                          </a:solidFill>
                          <a:miter lim="800000"/>
                          <a:headEnd/>
                          <a:tailEnd/>
                        </a:ln>
                      </wps:spPr>
                      <wps:txbx>
                        <w:txbxContent>
                          <w:p w14:paraId="2CE1DB3C" w14:textId="0CABFFC2" w:rsidR="00A02DAA" w:rsidRPr="00E756A6" w:rsidRDefault="00A02DAA" w:rsidP="00512714">
                            <w:pPr>
                              <w:rPr>
                                <w:rFonts w:cs="Times New Roman"/>
                                <w:b/>
                                <w:szCs w:val="24"/>
                              </w:rPr>
                            </w:pPr>
                            <w:r w:rsidRPr="00E756A6">
                              <w:rPr>
                                <w:rFonts w:cs="Times New Roman"/>
                                <w:b/>
                                <w:szCs w:val="24"/>
                              </w:rPr>
                              <w:t>Case Study Four: Savannah Pelleted Foods in Kano State</w:t>
                            </w:r>
                          </w:p>
                          <w:p w14:paraId="746F15C5" w14:textId="5675DD79" w:rsidR="00A02DAA" w:rsidRPr="00FB2322" w:rsidRDefault="00A02DAA" w:rsidP="00512714">
                            <w:pPr>
                              <w:rPr>
                                <w:rFonts w:cs="Times New Roman"/>
                                <w:szCs w:val="24"/>
                              </w:rPr>
                            </w:pPr>
                            <w:r w:rsidRPr="00FB2322">
                              <w:rPr>
                                <w:rFonts w:cs="Times New Roman"/>
                                <w:szCs w:val="24"/>
                              </w:rPr>
                              <w:t>Mr. Alhaji Hussan Sani is the CEO of Savannah Pelleted Foods</w:t>
                            </w:r>
                            <w:r>
                              <w:rPr>
                                <w:rFonts w:cs="Times New Roman"/>
                                <w:szCs w:val="24"/>
                              </w:rPr>
                              <w:t>.</w:t>
                            </w:r>
                            <w:r w:rsidRPr="00FB2322">
                              <w:rPr>
                                <w:rFonts w:cs="Times New Roman"/>
                                <w:szCs w:val="24"/>
                              </w:rPr>
                              <w:t xml:space="preserve"> </w:t>
                            </w:r>
                            <w:r>
                              <w:rPr>
                                <w:rFonts w:cs="Times New Roman"/>
                                <w:szCs w:val="24"/>
                              </w:rPr>
                              <w:t>H</w:t>
                            </w:r>
                            <w:r w:rsidRPr="00FB2322">
                              <w:rPr>
                                <w:rFonts w:cs="Times New Roman"/>
                                <w:szCs w:val="24"/>
                              </w:rPr>
                              <w:t xml:space="preserve">e has been </w:t>
                            </w:r>
                            <w:r>
                              <w:rPr>
                                <w:rFonts w:cs="Times New Roman"/>
                                <w:szCs w:val="24"/>
                              </w:rPr>
                              <w:t>in</w:t>
                            </w:r>
                            <w:r w:rsidRPr="00FB2322">
                              <w:rPr>
                                <w:rFonts w:cs="Times New Roman"/>
                                <w:szCs w:val="24"/>
                              </w:rPr>
                              <w:t xml:space="preserve"> the feed milling business for over ten years. Growing </w:t>
                            </w:r>
                            <w:r>
                              <w:rPr>
                                <w:rFonts w:cs="Times New Roman"/>
                                <w:szCs w:val="24"/>
                              </w:rPr>
                              <w:t xml:space="preserve">up </w:t>
                            </w:r>
                            <w:r w:rsidRPr="00FB2322">
                              <w:rPr>
                                <w:rFonts w:cs="Times New Roman"/>
                                <w:szCs w:val="24"/>
                              </w:rPr>
                              <w:t xml:space="preserve">in Kano </w:t>
                            </w:r>
                            <w:r>
                              <w:rPr>
                                <w:rFonts w:cs="Times New Roman"/>
                                <w:szCs w:val="24"/>
                              </w:rPr>
                              <w:t>as part of</w:t>
                            </w:r>
                            <w:r w:rsidRPr="00FB2322">
                              <w:rPr>
                                <w:rFonts w:cs="Times New Roman"/>
                                <w:szCs w:val="24"/>
                              </w:rPr>
                              <w:t xml:space="preserve"> a family of traders</w:t>
                            </w:r>
                            <w:r>
                              <w:rPr>
                                <w:rFonts w:cs="Times New Roman"/>
                                <w:szCs w:val="24"/>
                              </w:rPr>
                              <w:t>,</w:t>
                            </w:r>
                            <w:r w:rsidRPr="00FB2322">
                              <w:rPr>
                                <w:rFonts w:cs="Times New Roman"/>
                                <w:szCs w:val="24"/>
                              </w:rPr>
                              <w:t xml:space="preserve"> he quickly realized the potential of agriculture</w:t>
                            </w:r>
                            <w:r>
                              <w:rPr>
                                <w:rFonts w:cs="Times New Roman"/>
                                <w:szCs w:val="24"/>
                              </w:rPr>
                              <w:t>-</w:t>
                            </w:r>
                            <w:r w:rsidRPr="00FB2322">
                              <w:rPr>
                                <w:rFonts w:cs="Times New Roman"/>
                                <w:szCs w:val="24"/>
                              </w:rPr>
                              <w:t xml:space="preserve">allied industries, </w:t>
                            </w:r>
                            <w:r>
                              <w:rPr>
                                <w:rFonts w:cs="Times New Roman"/>
                                <w:szCs w:val="24"/>
                              </w:rPr>
                              <w:t>leading</w:t>
                            </w:r>
                            <w:r w:rsidRPr="00FB2322">
                              <w:rPr>
                                <w:rFonts w:cs="Times New Roman"/>
                                <w:szCs w:val="24"/>
                              </w:rPr>
                              <w:t xml:space="preserve"> him to study agricultur</w:t>
                            </w:r>
                            <w:r>
                              <w:rPr>
                                <w:rFonts w:cs="Times New Roman"/>
                                <w:szCs w:val="24"/>
                              </w:rPr>
                              <w:t>al</w:t>
                            </w:r>
                            <w:r w:rsidRPr="00FB2322">
                              <w:rPr>
                                <w:rFonts w:cs="Times New Roman"/>
                                <w:szCs w:val="24"/>
                              </w:rPr>
                              <w:t xml:space="preserve"> economics</w:t>
                            </w:r>
                            <w:r>
                              <w:rPr>
                                <w:rFonts w:cs="Times New Roman"/>
                                <w:szCs w:val="24"/>
                              </w:rPr>
                              <w:t>,</w:t>
                            </w:r>
                            <w:r w:rsidRPr="00FB2322">
                              <w:rPr>
                                <w:rFonts w:cs="Times New Roman"/>
                                <w:szCs w:val="24"/>
                              </w:rPr>
                              <w:t xml:space="preserve"> </w:t>
                            </w:r>
                            <w:r>
                              <w:rPr>
                                <w:rFonts w:cs="Times New Roman"/>
                                <w:szCs w:val="24"/>
                              </w:rPr>
                              <w:t>a</w:t>
                            </w:r>
                            <w:r w:rsidRPr="00FB2322">
                              <w:rPr>
                                <w:rFonts w:cs="Times New Roman"/>
                                <w:szCs w:val="24"/>
                              </w:rPr>
                              <w:t>griculture</w:t>
                            </w:r>
                            <w:r>
                              <w:rPr>
                                <w:rFonts w:cs="Times New Roman"/>
                                <w:szCs w:val="24"/>
                              </w:rPr>
                              <w:t>, and f</w:t>
                            </w:r>
                            <w:r w:rsidRPr="00FB2322">
                              <w:rPr>
                                <w:rFonts w:cs="Times New Roman"/>
                                <w:szCs w:val="24"/>
                              </w:rPr>
                              <w:t>inance for his undergraduate and masters</w:t>
                            </w:r>
                            <w:r>
                              <w:rPr>
                                <w:rFonts w:cs="Times New Roman"/>
                                <w:szCs w:val="24"/>
                              </w:rPr>
                              <w:t>’</w:t>
                            </w:r>
                            <w:r w:rsidRPr="00FB2322">
                              <w:rPr>
                                <w:rFonts w:cs="Times New Roman"/>
                                <w:szCs w:val="24"/>
                              </w:rPr>
                              <w:t xml:space="preserve"> studies</w:t>
                            </w:r>
                            <w:r>
                              <w:rPr>
                                <w:rFonts w:cs="Times New Roman"/>
                                <w:szCs w:val="24"/>
                              </w:rPr>
                              <w:t>,</w:t>
                            </w:r>
                            <w:r w:rsidRPr="00FB2322">
                              <w:rPr>
                                <w:rFonts w:cs="Times New Roman"/>
                                <w:szCs w:val="24"/>
                              </w:rPr>
                              <w:t xml:space="preserve"> respectively. </w:t>
                            </w:r>
                          </w:p>
                          <w:p w14:paraId="64A31F0D" w14:textId="57D25E3F" w:rsidR="00A02DAA" w:rsidRPr="00FB2322" w:rsidRDefault="00A02DAA" w:rsidP="00512714">
                            <w:pPr>
                              <w:rPr>
                                <w:rFonts w:cs="Times New Roman"/>
                                <w:szCs w:val="24"/>
                              </w:rPr>
                            </w:pPr>
                            <w:r>
                              <w:rPr>
                                <w:rFonts w:cs="Times New Roman"/>
                                <w:szCs w:val="24"/>
                              </w:rPr>
                              <w:t>T</w:t>
                            </w:r>
                            <w:r w:rsidRPr="00FB2322">
                              <w:rPr>
                                <w:rFonts w:cs="Times New Roman"/>
                                <w:szCs w:val="24"/>
                              </w:rPr>
                              <w:t>he company was set up with the support of his family. Although he borrowed part of the initial capital from his siblings, he is the sole owner the company</w:t>
                            </w:r>
                            <w:r>
                              <w:rPr>
                                <w:rFonts w:cs="Times New Roman"/>
                                <w:szCs w:val="24"/>
                              </w:rPr>
                              <w:t>,</w:t>
                            </w:r>
                            <w:r w:rsidRPr="00FB2322">
                              <w:rPr>
                                <w:rFonts w:cs="Times New Roman"/>
                                <w:szCs w:val="24"/>
                              </w:rPr>
                              <w:t xml:space="preserve"> which is today part of </w:t>
                            </w:r>
                            <w:r>
                              <w:rPr>
                                <w:rFonts w:cs="Times New Roman"/>
                                <w:szCs w:val="24"/>
                              </w:rPr>
                              <w:t>a</w:t>
                            </w:r>
                            <w:r w:rsidRPr="00FB2322">
                              <w:rPr>
                                <w:rFonts w:cs="Times New Roman"/>
                                <w:szCs w:val="24"/>
                              </w:rPr>
                              <w:t xml:space="preserve"> conglomerate of eight different companies in very diverse sectors</w:t>
                            </w:r>
                            <w:r>
                              <w:rPr>
                                <w:rFonts w:cs="Times New Roman"/>
                                <w:szCs w:val="24"/>
                              </w:rPr>
                              <w:t xml:space="preserve">, ranging from construction to radio. </w:t>
                            </w:r>
                            <w:r w:rsidRPr="00FB2322">
                              <w:rPr>
                                <w:rFonts w:cs="Times New Roman"/>
                                <w:szCs w:val="24"/>
                              </w:rPr>
                              <w:t xml:space="preserve">He </w:t>
                            </w:r>
                            <w:r>
                              <w:rPr>
                                <w:rFonts w:cs="Times New Roman"/>
                                <w:szCs w:val="24"/>
                              </w:rPr>
                              <w:t>m</w:t>
                            </w:r>
                            <w:r w:rsidRPr="00FB2322">
                              <w:rPr>
                                <w:rFonts w:cs="Times New Roman"/>
                                <w:szCs w:val="24"/>
                              </w:rPr>
                              <w:t>akes all the strategic decision</w:t>
                            </w:r>
                            <w:r>
                              <w:rPr>
                                <w:rFonts w:cs="Times New Roman"/>
                                <w:szCs w:val="24"/>
                              </w:rPr>
                              <w:t>s</w:t>
                            </w:r>
                            <w:r w:rsidRPr="00FB2322">
                              <w:rPr>
                                <w:rFonts w:cs="Times New Roman"/>
                                <w:szCs w:val="24"/>
                              </w:rPr>
                              <w:t xml:space="preserve"> related to the business and seek</w:t>
                            </w:r>
                            <w:r>
                              <w:rPr>
                                <w:rFonts w:cs="Times New Roman"/>
                                <w:szCs w:val="24"/>
                              </w:rPr>
                              <w:t>s</w:t>
                            </w:r>
                            <w:r w:rsidRPr="00FB2322">
                              <w:rPr>
                                <w:rFonts w:cs="Times New Roman"/>
                                <w:szCs w:val="24"/>
                              </w:rPr>
                              <w:t xml:space="preserve"> support </w:t>
                            </w:r>
                            <w:r>
                              <w:rPr>
                                <w:rFonts w:cs="Times New Roman"/>
                                <w:szCs w:val="24"/>
                              </w:rPr>
                              <w:t xml:space="preserve">from </w:t>
                            </w:r>
                            <w:r w:rsidRPr="00FB2322">
                              <w:rPr>
                                <w:rFonts w:cs="Times New Roman"/>
                                <w:szCs w:val="24"/>
                              </w:rPr>
                              <w:t>his family network when he needs capital</w:t>
                            </w:r>
                            <w:r>
                              <w:rPr>
                                <w:rFonts w:cs="Times New Roman"/>
                                <w:szCs w:val="24"/>
                              </w:rPr>
                              <w:t>,</w:t>
                            </w:r>
                            <w:r w:rsidRPr="00FB2322">
                              <w:rPr>
                                <w:rFonts w:cs="Times New Roman"/>
                                <w:szCs w:val="24"/>
                              </w:rPr>
                              <w:t xml:space="preserve"> as he can borrow from them for no or very little interest. </w:t>
                            </w:r>
                          </w:p>
                          <w:p w14:paraId="60EB128F" w14:textId="199C3DB0" w:rsidR="00A02DAA" w:rsidRPr="00FB2322" w:rsidRDefault="00A02DAA" w:rsidP="00512714">
                            <w:pPr>
                              <w:rPr>
                                <w:rFonts w:cs="Times New Roman"/>
                                <w:szCs w:val="24"/>
                              </w:rPr>
                            </w:pPr>
                            <w:r w:rsidRPr="00FB2322">
                              <w:rPr>
                                <w:rFonts w:cs="Times New Roman"/>
                                <w:szCs w:val="24"/>
                              </w:rPr>
                              <w:t>Today, it is one of the largest producer</w:t>
                            </w:r>
                            <w:r>
                              <w:rPr>
                                <w:rFonts w:cs="Times New Roman"/>
                                <w:szCs w:val="24"/>
                              </w:rPr>
                              <w:t>s</w:t>
                            </w:r>
                            <w:r w:rsidRPr="00FB2322">
                              <w:rPr>
                                <w:rFonts w:cs="Times New Roman"/>
                                <w:szCs w:val="24"/>
                              </w:rPr>
                              <w:t xml:space="preserve"> of feed in the North, producing all type</w:t>
                            </w:r>
                            <w:r>
                              <w:rPr>
                                <w:rFonts w:cs="Times New Roman"/>
                                <w:szCs w:val="24"/>
                              </w:rPr>
                              <w:t>s</w:t>
                            </w:r>
                            <w:r w:rsidRPr="00FB2322">
                              <w:rPr>
                                <w:rFonts w:cs="Times New Roman"/>
                                <w:szCs w:val="24"/>
                              </w:rPr>
                              <w:t xml:space="preserve"> of feed for animals (i.e.</w:t>
                            </w:r>
                            <w:r>
                              <w:rPr>
                                <w:rFonts w:cs="Times New Roman"/>
                                <w:szCs w:val="24"/>
                              </w:rPr>
                              <w:t>,</w:t>
                            </w:r>
                            <w:r w:rsidRPr="00FB2322">
                              <w:rPr>
                                <w:rFonts w:cs="Times New Roman"/>
                                <w:szCs w:val="24"/>
                              </w:rPr>
                              <w:t xml:space="preserve"> livestock, beef fattening, sheep, goat</w:t>
                            </w:r>
                            <w:r>
                              <w:rPr>
                                <w:rFonts w:cs="Times New Roman"/>
                                <w:szCs w:val="24"/>
                              </w:rPr>
                              <w:t>,</w:t>
                            </w:r>
                            <w:r w:rsidRPr="00FB2322">
                              <w:rPr>
                                <w:rFonts w:cs="Times New Roman"/>
                                <w:szCs w:val="24"/>
                              </w:rPr>
                              <w:t xml:space="preserve"> rabbit, etc.) with production lines worth close to N1 billion. </w:t>
                            </w:r>
                          </w:p>
                          <w:p w14:paraId="3533D3D0" w14:textId="3C767E84" w:rsidR="00A02DAA" w:rsidRPr="00FB2322" w:rsidRDefault="00A02DAA" w:rsidP="00512714">
                            <w:pPr>
                              <w:rPr>
                                <w:rFonts w:cs="Times New Roman"/>
                                <w:szCs w:val="24"/>
                              </w:rPr>
                            </w:pPr>
                            <w:r>
                              <w:rPr>
                                <w:rFonts w:cs="Times New Roman"/>
                                <w:szCs w:val="24"/>
                              </w:rPr>
                              <w:t>T</w:t>
                            </w:r>
                            <w:r w:rsidRPr="00FB2322">
                              <w:rPr>
                                <w:rFonts w:cs="Times New Roman"/>
                                <w:szCs w:val="24"/>
                              </w:rPr>
                              <w:t>he company relies on a network of mega-distributors across the country</w:t>
                            </w:r>
                            <w:r>
                              <w:rPr>
                                <w:rFonts w:cs="Times New Roman"/>
                                <w:szCs w:val="24"/>
                              </w:rPr>
                              <w:t>,</w:t>
                            </w:r>
                            <w:r w:rsidRPr="00FB2322">
                              <w:rPr>
                                <w:rFonts w:cs="Times New Roman"/>
                                <w:szCs w:val="24"/>
                              </w:rPr>
                              <w:t xml:space="preserve"> which ensures a national presence of the company</w:t>
                            </w:r>
                            <w:r>
                              <w:rPr>
                                <w:rFonts w:cs="Times New Roman"/>
                                <w:szCs w:val="24"/>
                              </w:rPr>
                              <w:t>’</w:t>
                            </w:r>
                            <w:r w:rsidRPr="00FB2322">
                              <w:rPr>
                                <w:rFonts w:cs="Times New Roman"/>
                                <w:szCs w:val="24"/>
                              </w:rPr>
                              <w:t xml:space="preserve">s products. Although the company does not export directly, </w:t>
                            </w:r>
                            <w:r>
                              <w:rPr>
                                <w:rFonts w:cs="Times New Roman"/>
                                <w:szCs w:val="24"/>
                              </w:rPr>
                              <w:t>thanks to</w:t>
                            </w:r>
                            <w:r w:rsidRPr="00FB2322">
                              <w:rPr>
                                <w:rFonts w:cs="Times New Roman"/>
                                <w:szCs w:val="24"/>
                              </w:rPr>
                              <w:t xml:space="preserve"> these distributors</w:t>
                            </w:r>
                            <w:r>
                              <w:rPr>
                                <w:rFonts w:cs="Times New Roman"/>
                                <w:szCs w:val="24"/>
                              </w:rPr>
                              <w:t xml:space="preserve"> their</w:t>
                            </w:r>
                            <w:r w:rsidRPr="00FB2322">
                              <w:rPr>
                                <w:rFonts w:cs="Times New Roman"/>
                                <w:szCs w:val="24"/>
                              </w:rPr>
                              <w:t xml:space="preserve"> products can be found in neighboring countries</w:t>
                            </w:r>
                            <w:r>
                              <w:rPr>
                                <w:rFonts w:cs="Times New Roman"/>
                                <w:szCs w:val="24"/>
                              </w:rPr>
                              <w:t>,</w:t>
                            </w:r>
                            <w:r w:rsidRPr="00FB2322">
                              <w:rPr>
                                <w:rFonts w:cs="Times New Roman"/>
                                <w:szCs w:val="24"/>
                              </w:rPr>
                              <w:t xml:space="preserve"> such as Cameroon, Niger, </w:t>
                            </w:r>
                            <w:r>
                              <w:rPr>
                                <w:rFonts w:cs="Times New Roman"/>
                                <w:szCs w:val="24"/>
                              </w:rPr>
                              <w:t xml:space="preserve">and </w:t>
                            </w:r>
                            <w:r w:rsidRPr="00FB2322">
                              <w:rPr>
                                <w:rFonts w:cs="Times New Roman"/>
                                <w:szCs w:val="24"/>
                              </w:rPr>
                              <w:t>Chad. This network has been established through the work of the marketing team</w:t>
                            </w:r>
                            <w:r>
                              <w:rPr>
                                <w:rFonts w:cs="Times New Roman"/>
                                <w:szCs w:val="24"/>
                              </w:rPr>
                              <w:t>,</w:t>
                            </w:r>
                            <w:r w:rsidRPr="00FB2322">
                              <w:rPr>
                                <w:rFonts w:cs="Times New Roman"/>
                                <w:szCs w:val="24"/>
                              </w:rPr>
                              <w:t xml:space="preserve"> which goes around the country looking for prospective distributors. </w:t>
                            </w:r>
                          </w:p>
                          <w:p w14:paraId="2051A091" w14:textId="4B2760FA" w:rsidR="00A02DAA" w:rsidRPr="00FB2322" w:rsidRDefault="00A02DAA" w:rsidP="00512714">
                            <w:pPr>
                              <w:rPr>
                                <w:rFonts w:cs="Times New Roman"/>
                                <w:szCs w:val="24"/>
                              </w:rPr>
                            </w:pPr>
                            <w:r>
                              <w:rPr>
                                <w:rFonts w:cs="Times New Roman"/>
                                <w:szCs w:val="24"/>
                              </w:rPr>
                              <w:t>T</w:t>
                            </w:r>
                            <w:r w:rsidRPr="00FB2322">
                              <w:rPr>
                                <w:rFonts w:cs="Times New Roman"/>
                                <w:szCs w:val="24"/>
                              </w:rPr>
                              <w:t>he company sources most of its raw material locally, by bulk sourcing grain</w:t>
                            </w:r>
                            <w:r>
                              <w:rPr>
                                <w:rFonts w:cs="Times New Roman"/>
                                <w:szCs w:val="24"/>
                              </w:rPr>
                              <w:t>,</w:t>
                            </w:r>
                            <w:r w:rsidRPr="00FB2322">
                              <w:rPr>
                                <w:rFonts w:cs="Times New Roman"/>
                                <w:szCs w:val="24"/>
                              </w:rPr>
                              <w:t xml:space="preserve"> such as beans, </w:t>
                            </w:r>
                            <w:r>
                              <w:rPr>
                                <w:rFonts w:cs="Times New Roman"/>
                                <w:szCs w:val="24"/>
                              </w:rPr>
                              <w:t>guinea corn, rice, and</w:t>
                            </w:r>
                            <w:r w:rsidRPr="00FB2322">
                              <w:rPr>
                                <w:rFonts w:cs="Times New Roman"/>
                                <w:szCs w:val="24"/>
                              </w:rPr>
                              <w:t xml:space="preserve"> bran</w:t>
                            </w:r>
                            <w:r>
                              <w:rPr>
                                <w:rFonts w:cs="Times New Roman"/>
                                <w:szCs w:val="24"/>
                              </w:rPr>
                              <w:t>. G</w:t>
                            </w:r>
                            <w:r w:rsidRPr="00FB2322">
                              <w:rPr>
                                <w:rFonts w:cs="Times New Roman"/>
                                <w:szCs w:val="24"/>
                              </w:rPr>
                              <w:t>iven the volume needed</w:t>
                            </w:r>
                            <w:r>
                              <w:rPr>
                                <w:rFonts w:cs="Times New Roman"/>
                                <w:szCs w:val="24"/>
                              </w:rPr>
                              <w:t>,</w:t>
                            </w:r>
                            <w:r w:rsidRPr="00FB2322">
                              <w:rPr>
                                <w:rFonts w:cs="Times New Roman"/>
                                <w:szCs w:val="24"/>
                              </w:rPr>
                              <w:t xml:space="preserve"> the company is </w:t>
                            </w:r>
                            <w:r>
                              <w:rPr>
                                <w:rFonts w:cs="Times New Roman"/>
                                <w:szCs w:val="24"/>
                              </w:rPr>
                              <w:t xml:space="preserve">a </w:t>
                            </w:r>
                            <w:r w:rsidRPr="00F37EBF">
                              <w:rPr>
                                <w:rFonts w:cs="Times New Roman"/>
                                <w:szCs w:val="24"/>
                              </w:rPr>
                              <w:t>dominant actor in some of these markets. It also has long term relationship</w:t>
                            </w:r>
                            <w:r>
                              <w:rPr>
                                <w:rFonts w:cs="Times New Roman"/>
                                <w:szCs w:val="24"/>
                              </w:rPr>
                              <w:t>s</w:t>
                            </w:r>
                            <w:r w:rsidRPr="00F37EBF">
                              <w:rPr>
                                <w:rFonts w:cs="Times New Roman"/>
                                <w:szCs w:val="24"/>
                              </w:rPr>
                              <w:t xml:space="preserve"> with some aggregators, but like many agriculture</w:t>
                            </w:r>
                            <w:r>
                              <w:rPr>
                                <w:rFonts w:cs="Times New Roman"/>
                                <w:szCs w:val="24"/>
                              </w:rPr>
                              <w:t>-</w:t>
                            </w:r>
                            <w:r w:rsidRPr="00F37EBF">
                              <w:rPr>
                                <w:rFonts w:cs="Times New Roman"/>
                                <w:szCs w:val="24"/>
                              </w:rPr>
                              <w:t xml:space="preserve">allied businesses, there is always a certain volatility of supply. </w:t>
                            </w:r>
                            <w:r w:rsidRPr="00FB2322">
                              <w:rPr>
                                <w:rFonts w:cs="Times New Roman"/>
                                <w:szCs w:val="24"/>
                              </w:rPr>
                              <w:t>When the</w:t>
                            </w:r>
                            <w:r>
                              <w:rPr>
                                <w:rFonts w:cs="Times New Roman"/>
                                <w:szCs w:val="24"/>
                              </w:rPr>
                              <w:t xml:space="preserve">y cannot source what is needed locally, they sometimes source from neighboring countries. </w:t>
                            </w:r>
                            <w:r w:rsidRPr="00FB2322">
                              <w:rPr>
                                <w:rFonts w:cs="Times New Roman"/>
                                <w:szCs w:val="24"/>
                              </w:rPr>
                              <w:t xml:space="preserve">The only component of </w:t>
                            </w:r>
                            <w:r>
                              <w:rPr>
                                <w:rFonts w:cs="Times New Roman"/>
                                <w:szCs w:val="24"/>
                              </w:rPr>
                              <w:t xml:space="preserve">the product that </w:t>
                            </w:r>
                            <w:r w:rsidRPr="00FB2322">
                              <w:rPr>
                                <w:rFonts w:cs="Times New Roman"/>
                                <w:szCs w:val="24"/>
                              </w:rPr>
                              <w:t>has to be</w:t>
                            </w:r>
                            <w:r>
                              <w:rPr>
                                <w:rFonts w:cs="Times New Roman"/>
                                <w:szCs w:val="24"/>
                              </w:rPr>
                              <w:t xml:space="preserve"> regularly</w:t>
                            </w:r>
                            <w:r w:rsidRPr="00FB2322">
                              <w:rPr>
                                <w:rFonts w:cs="Times New Roman"/>
                                <w:szCs w:val="24"/>
                              </w:rPr>
                              <w:t xml:space="preserve"> imported is micronutrient</w:t>
                            </w:r>
                            <w:r>
                              <w:rPr>
                                <w:rFonts w:cs="Times New Roman"/>
                                <w:szCs w:val="24"/>
                              </w:rPr>
                              <w:t xml:space="preserve">s that come from Europe but which they purchase through local dealers. However, they are looking into importing these nutrients directly, given these are a costly input that affects their margins. </w:t>
                            </w:r>
                          </w:p>
                          <w:p w14:paraId="76899185" w14:textId="20E02399" w:rsidR="00A02DAA" w:rsidRPr="00FB2322" w:rsidRDefault="00A02DAA" w:rsidP="00512714">
                            <w:pPr>
                              <w:rPr>
                                <w:rFonts w:cs="Times New Roman"/>
                                <w:szCs w:val="24"/>
                              </w:rPr>
                            </w:pPr>
                            <w:r w:rsidRPr="00FB2322">
                              <w:rPr>
                                <w:rFonts w:cs="Times New Roman"/>
                                <w:szCs w:val="24"/>
                              </w:rPr>
                              <w:t xml:space="preserve">In terms of labor, the company has outsourced most of its recruitment process to an external firm, with which it has signed a contract. The CEO opted for this option as it reduces the time spent by managers to find and screen appropriate candidates; within two hours a staff can be replaced. Thus, most of the </w:t>
                            </w:r>
                            <w:r>
                              <w:rPr>
                                <w:rFonts w:cs="Times New Roman"/>
                                <w:szCs w:val="24"/>
                              </w:rPr>
                              <w:t>sixty</w:t>
                            </w:r>
                            <w:r w:rsidRPr="00FB2322">
                              <w:rPr>
                                <w:rFonts w:cs="Times New Roman"/>
                                <w:szCs w:val="24"/>
                              </w:rPr>
                              <w:t xml:space="preserve"> employees (</w:t>
                            </w:r>
                            <w:r>
                              <w:rPr>
                                <w:rFonts w:cs="Times New Roman"/>
                                <w:szCs w:val="24"/>
                              </w:rPr>
                              <w:t>eighty plus</w:t>
                            </w:r>
                            <w:r w:rsidRPr="00FB2322">
                              <w:rPr>
                                <w:rFonts w:cs="Times New Roman"/>
                                <w:szCs w:val="24"/>
                              </w:rPr>
                              <w:t xml:space="preserve"> in periods of high demand) have been recruited through a formal process, ensuring they meet the standard of the company. On</w:t>
                            </w:r>
                            <w:r>
                              <w:rPr>
                                <w:rFonts w:cs="Times New Roman"/>
                                <w:szCs w:val="24"/>
                              </w:rPr>
                              <w:t>c</w:t>
                            </w:r>
                            <w:r w:rsidRPr="00FB2322">
                              <w:rPr>
                                <w:rFonts w:cs="Times New Roman"/>
                                <w:szCs w:val="24"/>
                              </w:rPr>
                              <w:t>e hired, full</w:t>
                            </w:r>
                            <w:r>
                              <w:rPr>
                                <w:rFonts w:cs="Times New Roman"/>
                                <w:szCs w:val="24"/>
                              </w:rPr>
                              <w:t>-</w:t>
                            </w:r>
                            <w:r w:rsidRPr="00FB2322">
                              <w:rPr>
                                <w:rFonts w:cs="Times New Roman"/>
                                <w:szCs w:val="24"/>
                              </w:rPr>
                              <w:t>time employees are offered a wage rate slightly above market rate to ensure that time spent training employees is not wasted.</w:t>
                            </w:r>
                            <w:r>
                              <w:rPr>
                                <w:rFonts w:cs="Times New Roman"/>
                                <w:szCs w:val="24"/>
                              </w:rPr>
                              <w:t xml:space="preserve"> </w:t>
                            </w:r>
                            <w:r w:rsidRPr="00FB2322">
                              <w:rPr>
                                <w:rFonts w:cs="Times New Roman"/>
                                <w:szCs w:val="24"/>
                              </w:rPr>
                              <w:t xml:space="preserve">In parallel, the company is trying to automate its processes to reduce its cost in the long run. </w:t>
                            </w:r>
                          </w:p>
                          <w:p w14:paraId="16A09A06" w14:textId="51C25AE7" w:rsidR="00A02DAA" w:rsidRPr="00FB2322" w:rsidRDefault="00A02DAA" w:rsidP="00512714">
                            <w:pPr>
                              <w:rPr>
                                <w:rFonts w:cs="Times New Roman"/>
                                <w:szCs w:val="24"/>
                              </w:rPr>
                            </w:pPr>
                            <w:r w:rsidRPr="00FB2322">
                              <w:rPr>
                                <w:rFonts w:cs="Times New Roman"/>
                                <w:szCs w:val="24"/>
                              </w:rPr>
                              <w:t>The production line</w:t>
                            </w:r>
                            <w:r>
                              <w:rPr>
                                <w:rFonts w:cs="Times New Roman"/>
                                <w:szCs w:val="24"/>
                              </w:rPr>
                              <w:t xml:space="preserve"> machines</w:t>
                            </w:r>
                            <w:r w:rsidRPr="00FB2322">
                              <w:rPr>
                                <w:rFonts w:cs="Times New Roman"/>
                                <w:szCs w:val="24"/>
                              </w:rPr>
                              <w:t xml:space="preserve"> are between </w:t>
                            </w:r>
                            <w:r>
                              <w:rPr>
                                <w:rFonts w:cs="Times New Roman"/>
                                <w:szCs w:val="24"/>
                              </w:rPr>
                              <w:t>two and ten years</w:t>
                            </w:r>
                            <w:r w:rsidRPr="00FB2322">
                              <w:rPr>
                                <w:rFonts w:cs="Times New Roman"/>
                                <w:szCs w:val="24"/>
                              </w:rPr>
                              <w:t xml:space="preserve"> old</w:t>
                            </w:r>
                            <w:r>
                              <w:rPr>
                                <w:rFonts w:cs="Times New Roman"/>
                                <w:szCs w:val="24"/>
                              </w:rPr>
                              <w:t>;</w:t>
                            </w:r>
                            <w:r w:rsidRPr="00FB2322">
                              <w:rPr>
                                <w:rFonts w:cs="Times New Roman"/>
                                <w:szCs w:val="24"/>
                              </w:rPr>
                              <w:t xml:space="preserve"> they originate mainly from </w:t>
                            </w:r>
                            <w:r>
                              <w:rPr>
                                <w:rFonts w:cs="Times New Roman"/>
                                <w:szCs w:val="24"/>
                              </w:rPr>
                              <w:t>China.</w:t>
                            </w:r>
                            <w:r w:rsidRPr="00FB2322">
                              <w:rPr>
                                <w:rFonts w:cs="Times New Roman"/>
                                <w:szCs w:val="24"/>
                              </w:rPr>
                              <w:t xml:space="preserve"> The company</w:t>
                            </w:r>
                            <w:r>
                              <w:rPr>
                                <w:rFonts w:cs="Times New Roman"/>
                                <w:szCs w:val="24"/>
                              </w:rPr>
                              <w:t>’s</w:t>
                            </w:r>
                            <w:r w:rsidRPr="00FB2322">
                              <w:rPr>
                                <w:rFonts w:cs="Times New Roman"/>
                                <w:szCs w:val="24"/>
                              </w:rPr>
                              <w:t xml:space="preserve"> preference for China is based on their ability to deliver customized machines in a relatively short period of time.</w:t>
                            </w:r>
                            <w:r>
                              <w:rPr>
                                <w:rFonts w:cs="Times New Roman"/>
                                <w:szCs w:val="24"/>
                              </w:rPr>
                              <w:t xml:space="preserve"> </w:t>
                            </w:r>
                            <w:r w:rsidRPr="00FB2322">
                              <w:rPr>
                                <w:rFonts w:cs="Times New Roman"/>
                                <w:szCs w:val="24"/>
                              </w:rPr>
                              <w:t>The company has a team of engineers who can f</w:t>
                            </w:r>
                            <w:r>
                              <w:rPr>
                                <w:rFonts w:cs="Times New Roman"/>
                                <w:szCs w:val="24"/>
                              </w:rPr>
                              <w:t>ix most of the technical issues. If</w:t>
                            </w:r>
                            <w:r w:rsidRPr="00FB2322">
                              <w:rPr>
                                <w:rFonts w:cs="Times New Roman"/>
                                <w:szCs w:val="24"/>
                              </w:rPr>
                              <w:t xml:space="preserve"> a key part is </w:t>
                            </w:r>
                            <w:r>
                              <w:rPr>
                                <w:rFonts w:cs="Times New Roman"/>
                                <w:szCs w:val="24"/>
                              </w:rPr>
                              <w:t>required,</w:t>
                            </w:r>
                            <w:r w:rsidRPr="00FB2322">
                              <w:rPr>
                                <w:rFonts w:cs="Times New Roman"/>
                                <w:szCs w:val="24"/>
                              </w:rPr>
                              <w:t xml:space="preserve"> the company contacts their Chinese counterpart to replace the damaged part. </w:t>
                            </w:r>
                          </w:p>
                          <w:p w14:paraId="6101A6A2" w14:textId="518928E8" w:rsidR="00A02DAA" w:rsidRDefault="00A02D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7C229" id="_x0000_s1031" type="#_x0000_t202" style="position:absolute;left:0;text-align:left;margin-left:-5.4pt;margin-top:0;width:475.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">
                <v:textbox style="mso-fit-shape-to-text:t">
                  <w:txbxContent>
                    <w:p w14:paraId="2CE1DB3C" w14:textId="0CABFFC2" w:rsidR="00A02DAA" w:rsidRPr="00E756A6" w:rsidRDefault="00A02DAA" w:rsidP="00512714">
                      <w:pPr>
                        <w:rPr>
                          <w:rFonts w:cs="Times New Roman"/>
                          <w:b/>
                          <w:szCs w:val="24"/>
                        </w:rPr>
                      </w:pPr>
                      <w:r w:rsidRPr="00E756A6">
                        <w:rPr>
                          <w:rFonts w:cs="Times New Roman"/>
                          <w:b/>
                          <w:szCs w:val="24"/>
                        </w:rPr>
                        <w:t>Case Study Four: Savannah Pelleted Foods in Kano State</w:t>
                      </w:r>
                    </w:p>
                    <w:p w14:paraId="746F15C5" w14:textId="5675DD79" w:rsidR="00A02DAA" w:rsidRPr="00FB2322" w:rsidRDefault="00A02DAA" w:rsidP="00512714">
                      <w:pPr>
                        <w:rPr>
                          <w:rFonts w:cs="Times New Roman"/>
                          <w:szCs w:val="24"/>
                        </w:rPr>
                      </w:pPr>
                      <w:r w:rsidRPr="00FB2322">
                        <w:rPr>
                          <w:rFonts w:cs="Times New Roman"/>
                          <w:szCs w:val="24"/>
                        </w:rPr>
                        <w:t>Mr. Alhaji Hussan Sani is the CEO of Savannah Pelleted Foods</w:t>
                      </w:r>
                      <w:r>
                        <w:rPr>
                          <w:rFonts w:cs="Times New Roman"/>
                          <w:szCs w:val="24"/>
                        </w:rPr>
                        <w:t>.</w:t>
                      </w:r>
                      <w:r w:rsidRPr="00FB2322">
                        <w:rPr>
                          <w:rFonts w:cs="Times New Roman"/>
                          <w:szCs w:val="24"/>
                        </w:rPr>
                        <w:t xml:space="preserve"> </w:t>
                      </w:r>
                      <w:r>
                        <w:rPr>
                          <w:rFonts w:cs="Times New Roman"/>
                          <w:szCs w:val="24"/>
                        </w:rPr>
                        <w:t>H</w:t>
                      </w:r>
                      <w:r w:rsidRPr="00FB2322">
                        <w:rPr>
                          <w:rFonts w:cs="Times New Roman"/>
                          <w:szCs w:val="24"/>
                        </w:rPr>
                        <w:t xml:space="preserve">e has been </w:t>
                      </w:r>
                      <w:r>
                        <w:rPr>
                          <w:rFonts w:cs="Times New Roman"/>
                          <w:szCs w:val="24"/>
                        </w:rPr>
                        <w:t>in</w:t>
                      </w:r>
                      <w:r w:rsidRPr="00FB2322">
                        <w:rPr>
                          <w:rFonts w:cs="Times New Roman"/>
                          <w:szCs w:val="24"/>
                        </w:rPr>
                        <w:t xml:space="preserve"> the feed milling business for over ten years. Growing </w:t>
                      </w:r>
                      <w:r>
                        <w:rPr>
                          <w:rFonts w:cs="Times New Roman"/>
                          <w:szCs w:val="24"/>
                        </w:rPr>
                        <w:t xml:space="preserve">up </w:t>
                      </w:r>
                      <w:r w:rsidRPr="00FB2322">
                        <w:rPr>
                          <w:rFonts w:cs="Times New Roman"/>
                          <w:szCs w:val="24"/>
                        </w:rPr>
                        <w:t xml:space="preserve">in Kano </w:t>
                      </w:r>
                      <w:r>
                        <w:rPr>
                          <w:rFonts w:cs="Times New Roman"/>
                          <w:szCs w:val="24"/>
                        </w:rPr>
                        <w:t>as part of</w:t>
                      </w:r>
                      <w:r w:rsidRPr="00FB2322">
                        <w:rPr>
                          <w:rFonts w:cs="Times New Roman"/>
                          <w:szCs w:val="24"/>
                        </w:rPr>
                        <w:t xml:space="preserve"> a family of traders</w:t>
                      </w:r>
                      <w:r>
                        <w:rPr>
                          <w:rFonts w:cs="Times New Roman"/>
                          <w:szCs w:val="24"/>
                        </w:rPr>
                        <w:t>,</w:t>
                      </w:r>
                      <w:r w:rsidRPr="00FB2322">
                        <w:rPr>
                          <w:rFonts w:cs="Times New Roman"/>
                          <w:szCs w:val="24"/>
                        </w:rPr>
                        <w:t xml:space="preserve"> he quickly realized the potential of agriculture</w:t>
                      </w:r>
                      <w:r>
                        <w:rPr>
                          <w:rFonts w:cs="Times New Roman"/>
                          <w:szCs w:val="24"/>
                        </w:rPr>
                        <w:t>-</w:t>
                      </w:r>
                      <w:r w:rsidRPr="00FB2322">
                        <w:rPr>
                          <w:rFonts w:cs="Times New Roman"/>
                          <w:szCs w:val="24"/>
                        </w:rPr>
                        <w:t xml:space="preserve">allied industries, </w:t>
                      </w:r>
                      <w:r>
                        <w:rPr>
                          <w:rFonts w:cs="Times New Roman"/>
                          <w:szCs w:val="24"/>
                        </w:rPr>
                        <w:t>leading</w:t>
                      </w:r>
                      <w:r w:rsidRPr="00FB2322">
                        <w:rPr>
                          <w:rFonts w:cs="Times New Roman"/>
                          <w:szCs w:val="24"/>
                        </w:rPr>
                        <w:t xml:space="preserve"> him to study agricultur</w:t>
                      </w:r>
                      <w:r>
                        <w:rPr>
                          <w:rFonts w:cs="Times New Roman"/>
                          <w:szCs w:val="24"/>
                        </w:rPr>
                        <w:t>al</w:t>
                      </w:r>
                      <w:r w:rsidRPr="00FB2322">
                        <w:rPr>
                          <w:rFonts w:cs="Times New Roman"/>
                          <w:szCs w:val="24"/>
                        </w:rPr>
                        <w:t xml:space="preserve"> economics</w:t>
                      </w:r>
                      <w:r>
                        <w:rPr>
                          <w:rFonts w:cs="Times New Roman"/>
                          <w:szCs w:val="24"/>
                        </w:rPr>
                        <w:t>,</w:t>
                      </w:r>
                      <w:r w:rsidRPr="00FB2322">
                        <w:rPr>
                          <w:rFonts w:cs="Times New Roman"/>
                          <w:szCs w:val="24"/>
                        </w:rPr>
                        <w:t xml:space="preserve"> </w:t>
                      </w:r>
                      <w:r>
                        <w:rPr>
                          <w:rFonts w:cs="Times New Roman"/>
                          <w:szCs w:val="24"/>
                        </w:rPr>
                        <w:t>a</w:t>
                      </w:r>
                      <w:r w:rsidRPr="00FB2322">
                        <w:rPr>
                          <w:rFonts w:cs="Times New Roman"/>
                          <w:szCs w:val="24"/>
                        </w:rPr>
                        <w:t>griculture</w:t>
                      </w:r>
                      <w:r>
                        <w:rPr>
                          <w:rFonts w:cs="Times New Roman"/>
                          <w:szCs w:val="24"/>
                        </w:rPr>
                        <w:t>, and f</w:t>
                      </w:r>
                      <w:r w:rsidRPr="00FB2322">
                        <w:rPr>
                          <w:rFonts w:cs="Times New Roman"/>
                          <w:szCs w:val="24"/>
                        </w:rPr>
                        <w:t>inance for his undergraduate and masters</w:t>
                      </w:r>
                      <w:r>
                        <w:rPr>
                          <w:rFonts w:cs="Times New Roman"/>
                          <w:szCs w:val="24"/>
                        </w:rPr>
                        <w:t>’</w:t>
                      </w:r>
                      <w:r w:rsidRPr="00FB2322">
                        <w:rPr>
                          <w:rFonts w:cs="Times New Roman"/>
                          <w:szCs w:val="24"/>
                        </w:rPr>
                        <w:t xml:space="preserve"> studies</w:t>
                      </w:r>
                      <w:r>
                        <w:rPr>
                          <w:rFonts w:cs="Times New Roman"/>
                          <w:szCs w:val="24"/>
                        </w:rPr>
                        <w:t>,</w:t>
                      </w:r>
                      <w:r w:rsidRPr="00FB2322">
                        <w:rPr>
                          <w:rFonts w:cs="Times New Roman"/>
                          <w:szCs w:val="24"/>
                        </w:rPr>
                        <w:t xml:space="preserve"> respectively. </w:t>
                      </w:r>
                    </w:p>
                    <w:p w14:paraId="64A31F0D" w14:textId="57D25E3F" w:rsidR="00A02DAA" w:rsidRPr="00FB2322" w:rsidRDefault="00A02DAA" w:rsidP="00512714">
                      <w:pPr>
                        <w:rPr>
                          <w:rFonts w:cs="Times New Roman"/>
                          <w:szCs w:val="24"/>
                        </w:rPr>
                      </w:pPr>
                      <w:r>
                        <w:rPr>
                          <w:rFonts w:cs="Times New Roman"/>
                          <w:szCs w:val="24"/>
                        </w:rPr>
                        <w:t>T</w:t>
                      </w:r>
                      <w:r w:rsidRPr="00FB2322">
                        <w:rPr>
                          <w:rFonts w:cs="Times New Roman"/>
                          <w:szCs w:val="24"/>
                        </w:rPr>
                        <w:t>he company was set up with the support of his family. Although he borrowed part of the initial capital from his siblings, he is the sole owner the company</w:t>
                      </w:r>
                      <w:r>
                        <w:rPr>
                          <w:rFonts w:cs="Times New Roman"/>
                          <w:szCs w:val="24"/>
                        </w:rPr>
                        <w:t>,</w:t>
                      </w:r>
                      <w:r w:rsidRPr="00FB2322">
                        <w:rPr>
                          <w:rFonts w:cs="Times New Roman"/>
                          <w:szCs w:val="24"/>
                        </w:rPr>
                        <w:t xml:space="preserve"> which is today part of </w:t>
                      </w:r>
                      <w:r>
                        <w:rPr>
                          <w:rFonts w:cs="Times New Roman"/>
                          <w:szCs w:val="24"/>
                        </w:rPr>
                        <w:t>a</w:t>
                      </w:r>
                      <w:r w:rsidRPr="00FB2322">
                        <w:rPr>
                          <w:rFonts w:cs="Times New Roman"/>
                          <w:szCs w:val="24"/>
                        </w:rPr>
                        <w:t xml:space="preserve"> conglomerate of eight different companies in very diverse sectors</w:t>
                      </w:r>
                      <w:r>
                        <w:rPr>
                          <w:rFonts w:cs="Times New Roman"/>
                          <w:szCs w:val="24"/>
                        </w:rPr>
                        <w:t xml:space="preserve">, ranging from construction to radio. </w:t>
                      </w:r>
                      <w:r w:rsidRPr="00FB2322">
                        <w:rPr>
                          <w:rFonts w:cs="Times New Roman"/>
                          <w:szCs w:val="24"/>
                        </w:rPr>
                        <w:t xml:space="preserve">He </w:t>
                      </w:r>
                      <w:r>
                        <w:rPr>
                          <w:rFonts w:cs="Times New Roman"/>
                          <w:szCs w:val="24"/>
                        </w:rPr>
                        <w:t>m</w:t>
                      </w:r>
                      <w:r w:rsidRPr="00FB2322">
                        <w:rPr>
                          <w:rFonts w:cs="Times New Roman"/>
                          <w:szCs w:val="24"/>
                        </w:rPr>
                        <w:t>akes all the strategic decision</w:t>
                      </w:r>
                      <w:r>
                        <w:rPr>
                          <w:rFonts w:cs="Times New Roman"/>
                          <w:szCs w:val="24"/>
                        </w:rPr>
                        <w:t>s</w:t>
                      </w:r>
                      <w:r w:rsidRPr="00FB2322">
                        <w:rPr>
                          <w:rFonts w:cs="Times New Roman"/>
                          <w:szCs w:val="24"/>
                        </w:rPr>
                        <w:t xml:space="preserve"> related to the business and seek</w:t>
                      </w:r>
                      <w:r>
                        <w:rPr>
                          <w:rFonts w:cs="Times New Roman"/>
                          <w:szCs w:val="24"/>
                        </w:rPr>
                        <w:t>s</w:t>
                      </w:r>
                      <w:r w:rsidRPr="00FB2322">
                        <w:rPr>
                          <w:rFonts w:cs="Times New Roman"/>
                          <w:szCs w:val="24"/>
                        </w:rPr>
                        <w:t xml:space="preserve"> support </w:t>
                      </w:r>
                      <w:r>
                        <w:rPr>
                          <w:rFonts w:cs="Times New Roman"/>
                          <w:szCs w:val="24"/>
                        </w:rPr>
                        <w:t xml:space="preserve">from </w:t>
                      </w:r>
                      <w:r w:rsidRPr="00FB2322">
                        <w:rPr>
                          <w:rFonts w:cs="Times New Roman"/>
                          <w:szCs w:val="24"/>
                        </w:rPr>
                        <w:t>his family network when he needs capital</w:t>
                      </w:r>
                      <w:r>
                        <w:rPr>
                          <w:rFonts w:cs="Times New Roman"/>
                          <w:szCs w:val="24"/>
                        </w:rPr>
                        <w:t>,</w:t>
                      </w:r>
                      <w:r w:rsidRPr="00FB2322">
                        <w:rPr>
                          <w:rFonts w:cs="Times New Roman"/>
                          <w:szCs w:val="24"/>
                        </w:rPr>
                        <w:t xml:space="preserve"> as he can borrow from them for no or very little interest. </w:t>
                      </w:r>
                    </w:p>
                    <w:p w14:paraId="60EB128F" w14:textId="199C3DB0" w:rsidR="00A02DAA" w:rsidRPr="00FB2322" w:rsidRDefault="00A02DAA" w:rsidP="00512714">
                      <w:pPr>
                        <w:rPr>
                          <w:rFonts w:cs="Times New Roman"/>
                          <w:szCs w:val="24"/>
                        </w:rPr>
                      </w:pPr>
                      <w:r w:rsidRPr="00FB2322">
                        <w:rPr>
                          <w:rFonts w:cs="Times New Roman"/>
                          <w:szCs w:val="24"/>
                        </w:rPr>
                        <w:t>Today, it is one of the largest producer</w:t>
                      </w:r>
                      <w:r>
                        <w:rPr>
                          <w:rFonts w:cs="Times New Roman"/>
                          <w:szCs w:val="24"/>
                        </w:rPr>
                        <w:t>s</w:t>
                      </w:r>
                      <w:r w:rsidRPr="00FB2322">
                        <w:rPr>
                          <w:rFonts w:cs="Times New Roman"/>
                          <w:szCs w:val="24"/>
                        </w:rPr>
                        <w:t xml:space="preserve"> of feed in the North, producing all type</w:t>
                      </w:r>
                      <w:r>
                        <w:rPr>
                          <w:rFonts w:cs="Times New Roman"/>
                          <w:szCs w:val="24"/>
                        </w:rPr>
                        <w:t>s</w:t>
                      </w:r>
                      <w:r w:rsidRPr="00FB2322">
                        <w:rPr>
                          <w:rFonts w:cs="Times New Roman"/>
                          <w:szCs w:val="24"/>
                        </w:rPr>
                        <w:t xml:space="preserve"> of feed for animals (i.e.</w:t>
                      </w:r>
                      <w:r>
                        <w:rPr>
                          <w:rFonts w:cs="Times New Roman"/>
                          <w:szCs w:val="24"/>
                        </w:rPr>
                        <w:t>,</w:t>
                      </w:r>
                      <w:r w:rsidRPr="00FB2322">
                        <w:rPr>
                          <w:rFonts w:cs="Times New Roman"/>
                          <w:szCs w:val="24"/>
                        </w:rPr>
                        <w:t xml:space="preserve"> livestock, beef fattening, sheep, goat</w:t>
                      </w:r>
                      <w:r>
                        <w:rPr>
                          <w:rFonts w:cs="Times New Roman"/>
                          <w:szCs w:val="24"/>
                        </w:rPr>
                        <w:t>,</w:t>
                      </w:r>
                      <w:r w:rsidRPr="00FB2322">
                        <w:rPr>
                          <w:rFonts w:cs="Times New Roman"/>
                          <w:szCs w:val="24"/>
                        </w:rPr>
                        <w:t xml:space="preserve"> rabbit, etc.) with production lines worth close to N1 billion. </w:t>
                      </w:r>
                    </w:p>
                    <w:p w14:paraId="3533D3D0" w14:textId="3C767E84" w:rsidR="00A02DAA" w:rsidRPr="00FB2322" w:rsidRDefault="00A02DAA" w:rsidP="00512714">
                      <w:pPr>
                        <w:rPr>
                          <w:rFonts w:cs="Times New Roman"/>
                          <w:szCs w:val="24"/>
                        </w:rPr>
                      </w:pPr>
                      <w:r>
                        <w:rPr>
                          <w:rFonts w:cs="Times New Roman"/>
                          <w:szCs w:val="24"/>
                        </w:rPr>
                        <w:t>T</w:t>
                      </w:r>
                      <w:r w:rsidRPr="00FB2322">
                        <w:rPr>
                          <w:rFonts w:cs="Times New Roman"/>
                          <w:szCs w:val="24"/>
                        </w:rPr>
                        <w:t>he company relies on a network of mega-distributors across the country</w:t>
                      </w:r>
                      <w:r>
                        <w:rPr>
                          <w:rFonts w:cs="Times New Roman"/>
                          <w:szCs w:val="24"/>
                        </w:rPr>
                        <w:t>,</w:t>
                      </w:r>
                      <w:r w:rsidRPr="00FB2322">
                        <w:rPr>
                          <w:rFonts w:cs="Times New Roman"/>
                          <w:szCs w:val="24"/>
                        </w:rPr>
                        <w:t xml:space="preserve"> which ensures a national presence of the company</w:t>
                      </w:r>
                      <w:r>
                        <w:rPr>
                          <w:rFonts w:cs="Times New Roman"/>
                          <w:szCs w:val="24"/>
                        </w:rPr>
                        <w:t>’</w:t>
                      </w:r>
                      <w:r w:rsidRPr="00FB2322">
                        <w:rPr>
                          <w:rFonts w:cs="Times New Roman"/>
                          <w:szCs w:val="24"/>
                        </w:rPr>
                        <w:t xml:space="preserve">s products. Although the company does not export directly, </w:t>
                      </w:r>
                      <w:r>
                        <w:rPr>
                          <w:rFonts w:cs="Times New Roman"/>
                          <w:szCs w:val="24"/>
                        </w:rPr>
                        <w:t>thanks to</w:t>
                      </w:r>
                      <w:r w:rsidRPr="00FB2322">
                        <w:rPr>
                          <w:rFonts w:cs="Times New Roman"/>
                          <w:szCs w:val="24"/>
                        </w:rPr>
                        <w:t xml:space="preserve"> these distributors</w:t>
                      </w:r>
                      <w:r>
                        <w:rPr>
                          <w:rFonts w:cs="Times New Roman"/>
                          <w:szCs w:val="24"/>
                        </w:rPr>
                        <w:t xml:space="preserve"> their</w:t>
                      </w:r>
                      <w:r w:rsidRPr="00FB2322">
                        <w:rPr>
                          <w:rFonts w:cs="Times New Roman"/>
                          <w:szCs w:val="24"/>
                        </w:rPr>
                        <w:t xml:space="preserve"> products can be found in neighboring countries</w:t>
                      </w:r>
                      <w:r>
                        <w:rPr>
                          <w:rFonts w:cs="Times New Roman"/>
                          <w:szCs w:val="24"/>
                        </w:rPr>
                        <w:t>,</w:t>
                      </w:r>
                      <w:r w:rsidRPr="00FB2322">
                        <w:rPr>
                          <w:rFonts w:cs="Times New Roman"/>
                          <w:szCs w:val="24"/>
                        </w:rPr>
                        <w:t xml:space="preserve"> such as Cameroon, Niger, </w:t>
                      </w:r>
                      <w:r>
                        <w:rPr>
                          <w:rFonts w:cs="Times New Roman"/>
                          <w:szCs w:val="24"/>
                        </w:rPr>
                        <w:t xml:space="preserve">and </w:t>
                      </w:r>
                      <w:r w:rsidRPr="00FB2322">
                        <w:rPr>
                          <w:rFonts w:cs="Times New Roman"/>
                          <w:szCs w:val="24"/>
                        </w:rPr>
                        <w:t>Chad. This network has been established through the work of the marketing team</w:t>
                      </w:r>
                      <w:r>
                        <w:rPr>
                          <w:rFonts w:cs="Times New Roman"/>
                          <w:szCs w:val="24"/>
                        </w:rPr>
                        <w:t>,</w:t>
                      </w:r>
                      <w:r w:rsidRPr="00FB2322">
                        <w:rPr>
                          <w:rFonts w:cs="Times New Roman"/>
                          <w:szCs w:val="24"/>
                        </w:rPr>
                        <w:t xml:space="preserve"> which goes around the country looking for prospective distributors. </w:t>
                      </w:r>
                    </w:p>
                    <w:p w14:paraId="2051A091" w14:textId="4B2760FA" w:rsidR="00A02DAA" w:rsidRPr="00FB2322" w:rsidRDefault="00A02DAA" w:rsidP="00512714">
                      <w:pPr>
                        <w:rPr>
                          <w:rFonts w:cs="Times New Roman"/>
                          <w:szCs w:val="24"/>
                        </w:rPr>
                      </w:pPr>
                      <w:r>
                        <w:rPr>
                          <w:rFonts w:cs="Times New Roman"/>
                          <w:szCs w:val="24"/>
                        </w:rPr>
                        <w:t>T</w:t>
                      </w:r>
                      <w:r w:rsidRPr="00FB2322">
                        <w:rPr>
                          <w:rFonts w:cs="Times New Roman"/>
                          <w:szCs w:val="24"/>
                        </w:rPr>
                        <w:t>he company sources most of its raw material locally, by bulk sourcing grain</w:t>
                      </w:r>
                      <w:r>
                        <w:rPr>
                          <w:rFonts w:cs="Times New Roman"/>
                          <w:szCs w:val="24"/>
                        </w:rPr>
                        <w:t>,</w:t>
                      </w:r>
                      <w:r w:rsidRPr="00FB2322">
                        <w:rPr>
                          <w:rFonts w:cs="Times New Roman"/>
                          <w:szCs w:val="24"/>
                        </w:rPr>
                        <w:t xml:space="preserve"> such as beans, </w:t>
                      </w:r>
                      <w:r>
                        <w:rPr>
                          <w:rFonts w:cs="Times New Roman"/>
                          <w:szCs w:val="24"/>
                        </w:rPr>
                        <w:t>guinea corn, rice, and</w:t>
                      </w:r>
                      <w:r w:rsidRPr="00FB2322">
                        <w:rPr>
                          <w:rFonts w:cs="Times New Roman"/>
                          <w:szCs w:val="24"/>
                        </w:rPr>
                        <w:t xml:space="preserve"> bran</w:t>
                      </w:r>
                      <w:r>
                        <w:rPr>
                          <w:rFonts w:cs="Times New Roman"/>
                          <w:szCs w:val="24"/>
                        </w:rPr>
                        <w:t>. G</w:t>
                      </w:r>
                      <w:r w:rsidRPr="00FB2322">
                        <w:rPr>
                          <w:rFonts w:cs="Times New Roman"/>
                          <w:szCs w:val="24"/>
                        </w:rPr>
                        <w:t>iven the volume needed</w:t>
                      </w:r>
                      <w:r>
                        <w:rPr>
                          <w:rFonts w:cs="Times New Roman"/>
                          <w:szCs w:val="24"/>
                        </w:rPr>
                        <w:t>,</w:t>
                      </w:r>
                      <w:r w:rsidRPr="00FB2322">
                        <w:rPr>
                          <w:rFonts w:cs="Times New Roman"/>
                          <w:szCs w:val="24"/>
                        </w:rPr>
                        <w:t xml:space="preserve"> the company is </w:t>
                      </w:r>
                      <w:r>
                        <w:rPr>
                          <w:rFonts w:cs="Times New Roman"/>
                          <w:szCs w:val="24"/>
                        </w:rPr>
                        <w:t xml:space="preserve">a </w:t>
                      </w:r>
                      <w:r w:rsidRPr="00F37EBF">
                        <w:rPr>
                          <w:rFonts w:cs="Times New Roman"/>
                          <w:szCs w:val="24"/>
                        </w:rPr>
                        <w:t>dominant actor in some of these markets. It also has long term relationship</w:t>
                      </w:r>
                      <w:r>
                        <w:rPr>
                          <w:rFonts w:cs="Times New Roman"/>
                          <w:szCs w:val="24"/>
                        </w:rPr>
                        <w:t>s</w:t>
                      </w:r>
                      <w:r w:rsidRPr="00F37EBF">
                        <w:rPr>
                          <w:rFonts w:cs="Times New Roman"/>
                          <w:szCs w:val="24"/>
                        </w:rPr>
                        <w:t xml:space="preserve"> with some aggregators, but like many agriculture</w:t>
                      </w:r>
                      <w:r>
                        <w:rPr>
                          <w:rFonts w:cs="Times New Roman"/>
                          <w:szCs w:val="24"/>
                        </w:rPr>
                        <w:t>-</w:t>
                      </w:r>
                      <w:r w:rsidRPr="00F37EBF">
                        <w:rPr>
                          <w:rFonts w:cs="Times New Roman"/>
                          <w:szCs w:val="24"/>
                        </w:rPr>
                        <w:t xml:space="preserve">allied businesses, there is always a certain volatility of supply. </w:t>
                      </w:r>
                      <w:r w:rsidRPr="00FB2322">
                        <w:rPr>
                          <w:rFonts w:cs="Times New Roman"/>
                          <w:szCs w:val="24"/>
                        </w:rPr>
                        <w:t>When the</w:t>
                      </w:r>
                      <w:r>
                        <w:rPr>
                          <w:rFonts w:cs="Times New Roman"/>
                          <w:szCs w:val="24"/>
                        </w:rPr>
                        <w:t xml:space="preserve">y cannot source what is needed locally, they sometimes source from neighboring countries. </w:t>
                      </w:r>
                      <w:r w:rsidRPr="00FB2322">
                        <w:rPr>
                          <w:rFonts w:cs="Times New Roman"/>
                          <w:szCs w:val="24"/>
                        </w:rPr>
                        <w:t xml:space="preserve">The only component of </w:t>
                      </w:r>
                      <w:r>
                        <w:rPr>
                          <w:rFonts w:cs="Times New Roman"/>
                          <w:szCs w:val="24"/>
                        </w:rPr>
                        <w:t xml:space="preserve">the product that </w:t>
                      </w:r>
                      <w:r w:rsidRPr="00FB2322">
                        <w:rPr>
                          <w:rFonts w:cs="Times New Roman"/>
                          <w:szCs w:val="24"/>
                        </w:rPr>
                        <w:t>has to be</w:t>
                      </w:r>
                      <w:r>
                        <w:rPr>
                          <w:rFonts w:cs="Times New Roman"/>
                          <w:szCs w:val="24"/>
                        </w:rPr>
                        <w:t xml:space="preserve"> regularly</w:t>
                      </w:r>
                      <w:r w:rsidRPr="00FB2322">
                        <w:rPr>
                          <w:rFonts w:cs="Times New Roman"/>
                          <w:szCs w:val="24"/>
                        </w:rPr>
                        <w:t xml:space="preserve"> imported is micronutrient</w:t>
                      </w:r>
                      <w:r>
                        <w:rPr>
                          <w:rFonts w:cs="Times New Roman"/>
                          <w:szCs w:val="24"/>
                        </w:rPr>
                        <w:t xml:space="preserve">s that come from Europe but which they purchase through local dealers. However, they are looking into importing these nutrients directly, given these are a costly input that affects their margins. </w:t>
                      </w:r>
                    </w:p>
                    <w:p w14:paraId="76899185" w14:textId="20E02399" w:rsidR="00A02DAA" w:rsidRPr="00FB2322" w:rsidRDefault="00A02DAA" w:rsidP="00512714">
                      <w:pPr>
                        <w:rPr>
                          <w:rFonts w:cs="Times New Roman"/>
                          <w:szCs w:val="24"/>
                        </w:rPr>
                      </w:pPr>
                      <w:r w:rsidRPr="00FB2322">
                        <w:rPr>
                          <w:rFonts w:cs="Times New Roman"/>
                          <w:szCs w:val="24"/>
                        </w:rPr>
                        <w:t xml:space="preserve">In terms of labor, the company has outsourced most of its recruitment process to an external firm, with which it has signed a contract. The CEO opted for this option as it reduces the time spent by managers to find and screen appropriate candidates; within two hours a staff can be replaced. Thus, most of the </w:t>
                      </w:r>
                      <w:r>
                        <w:rPr>
                          <w:rFonts w:cs="Times New Roman"/>
                          <w:szCs w:val="24"/>
                        </w:rPr>
                        <w:t>sixty</w:t>
                      </w:r>
                      <w:r w:rsidRPr="00FB2322">
                        <w:rPr>
                          <w:rFonts w:cs="Times New Roman"/>
                          <w:szCs w:val="24"/>
                        </w:rPr>
                        <w:t xml:space="preserve"> employees (</w:t>
                      </w:r>
                      <w:r>
                        <w:rPr>
                          <w:rFonts w:cs="Times New Roman"/>
                          <w:szCs w:val="24"/>
                        </w:rPr>
                        <w:t>eighty plus</w:t>
                      </w:r>
                      <w:r w:rsidRPr="00FB2322">
                        <w:rPr>
                          <w:rFonts w:cs="Times New Roman"/>
                          <w:szCs w:val="24"/>
                        </w:rPr>
                        <w:t xml:space="preserve"> in periods of high demand) have been recruited through a formal process, ensuring they meet the standard of the company. On</w:t>
                      </w:r>
                      <w:r>
                        <w:rPr>
                          <w:rFonts w:cs="Times New Roman"/>
                          <w:szCs w:val="24"/>
                        </w:rPr>
                        <w:t>c</w:t>
                      </w:r>
                      <w:r w:rsidRPr="00FB2322">
                        <w:rPr>
                          <w:rFonts w:cs="Times New Roman"/>
                          <w:szCs w:val="24"/>
                        </w:rPr>
                        <w:t>e hired, full</w:t>
                      </w:r>
                      <w:r>
                        <w:rPr>
                          <w:rFonts w:cs="Times New Roman"/>
                          <w:szCs w:val="24"/>
                        </w:rPr>
                        <w:t>-</w:t>
                      </w:r>
                      <w:r w:rsidRPr="00FB2322">
                        <w:rPr>
                          <w:rFonts w:cs="Times New Roman"/>
                          <w:szCs w:val="24"/>
                        </w:rPr>
                        <w:t>time employees are offered a wage rate slightly above market rate to ensure that time spent training employees is not wasted.</w:t>
                      </w:r>
                      <w:r>
                        <w:rPr>
                          <w:rFonts w:cs="Times New Roman"/>
                          <w:szCs w:val="24"/>
                        </w:rPr>
                        <w:t xml:space="preserve"> </w:t>
                      </w:r>
                      <w:r w:rsidRPr="00FB2322">
                        <w:rPr>
                          <w:rFonts w:cs="Times New Roman"/>
                          <w:szCs w:val="24"/>
                        </w:rPr>
                        <w:t xml:space="preserve">In parallel, the company is trying to automate its processes to reduce its cost in the long run. </w:t>
                      </w:r>
                    </w:p>
                    <w:p w14:paraId="16A09A06" w14:textId="51C25AE7" w:rsidR="00A02DAA" w:rsidRPr="00FB2322" w:rsidRDefault="00A02DAA" w:rsidP="00512714">
                      <w:pPr>
                        <w:rPr>
                          <w:rFonts w:cs="Times New Roman"/>
                          <w:szCs w:val="24"/>
                        </w:rPr>
                      </w:pPr>
                      <w:r w:rsidRPr="00FB2322">
                        <w:rPr>
                          <w:rFonts w:cs="Times New Roman"/>
                          <w:szCs w:val="24"/>
                        </w:rPr>
                        <w:t>The production line</w:t>
                      </w:r>
                      <w:r>
                        <w:rPr>
                          <w:rFonts w:cs="Times New Roman"/>
                          <w:szCs w:val="24"/>
                        </w:rPr>
                        <w:t xml:space="preserve"> machines</w:t>
                      </w:r>
                      <w:r w:rsidRPr="00FB2322">
                        <w:rPr>
                          <w:rFonts w:cs="Times New Roman"/>
                          <w:szCs w:val="24"/>
                        </w:rPr>
                        <w:t xml:space="preserve"> are between </w:t>
                      </w:r>
                      <w:r>
                        <w:rPr>
                          <w:rFonts w:cs="Times New Roman"/>
                          <w:szCs w:val="24"/>
                        </w:rPr>
                        <w:t>two and ten years</w:t>
                      </w:r>
                      <w:r w:rsidRPr="00FB2322">
                        <w:rPr>
                          <w:rFonts w:cs="Times New Roman"/>
                          <w:szCs w:val="24"/>
                        </w:rPr>
                        <w:t xml:space="preserve"> old</w:t>
                      </w:r>
                      <w:r>
                        <w:rPr>
                          <w:rFonts w:cs="Times New Roman"/>
                          <w:szCs w:val="24"/>
                        </w:rPr>
                        <w:t>;</w:t>
                      </w:r>
                      <w:r w:rsidRPr="00FB2322">
                        <w:rPr>
                          <w:rFonts w:cs="Times New Roman"/>
                          <w:szCs w:val="24"/>
                        </w:rPr>
                        <w:t xml:space="preserve"> they originate mainly from </w:t>
                      </w:r>
                      <w:r>
                        <w:rPr>
                          <w:rFonts w:cs="Times New Roman"/>
                          <w:szCs w:val="24"/>
                        </w:rPr>
                        <w:t>China.</w:t>
                      </w:r>
                      <w:r w:rsidRPr="00FB2322">
                        <w:rPr>
                          <w:rFonts w:cs="Times New Roman"/>
                          <w:szCs w:val="24"/>
                        </w:rPr>
                        <w:t xml:space="preserve"> The company</w:t>
                      </w:r>
                      <w:r>
                        <w:rPr>
                          <w:rFonts w:cs="Times New Roman"/>
                          <w:szCs w:val="24"/>
                        </w:rPr>
                        <w:t>’s</w:t>
                      </w:r>
                      <w:r w:rsidRPr="00FB2322">
                        <w:rPr>
                          <w:rFonts w:cs="Times New Roman"/>
                          <w:szCs w:val="24"/>
                        </w:rPr>
                        <w:t xml:space="preserve"> preference for China is based on their ability to deliver customized machines in a relatively short period of time.</w:t>
                      </w:r>
                      <w:r>
                        <w:rPr>
                          <w:rFonts w:cs="Times New Roman"/>
                          <w:szCs w:val="24"/>
                        </w:rPr>
                        <w:t xml:space="preserve"> </w:t>
                      </w:r>
                      <w:r w:rsidRPr="00FB2322">
                        <w:rPr>
                          <w:rFonts w:cs="Times New Roman"/>
                          <w:szCs w:val="24"/>
                        </w:rPr>
                        <w:t>The company has a team of engineers who can f</w:t>
                      </w:r>
                      <w:r>
                        <w:rPr>
                          <w:rFonts w:cs="Times New Roman"/>
                          <w:szCs w:val="24"/>
                        </w:rPr>
                        <w:t>ix most of the technical issues. If</w:t>
                      </w:r>
                      <w:r w:rsidRPr="00FB2322">
                        <w:rPr>
                          <w:rFonts w:cs="Times New Roman"/>
                          <w:szCs w:val="24"/>
                        </w:rPr>
                        <w:t xml:space="preserve"> a key part is </w:t>
                      </w:r>
                      <w:r>
                        <w:rPr>
                          <w:rFonts w:cs="Times New Roman"/>
                          <w:szCs w:val="24"/>
                        </w:rPr>
                        <w:t>required,</w:t>
                      </w:r>
                      <w:r w:rsidRPr="00FB2322">
                        <w:rPr>
                          <w:rFonts w:cs="Times New Roman"/>
                          <w:szCs w:val="24"/>
                        </w:rPr>
                        <w:t xml:space="preserve"> the company contacts their Chinese counterpart to replace the damaged part. </w:t>
                      </w:r>
                    </w:p>
                    <w:p w14:paraId="6101A6A2" w14:textId="518928E8" w:rsidR="00A02DAA" w:rsidRDefault="00A02DAA"/>
                  </w:txbxContent>
                </v:textbox>
                <w10:wrap type="square"/>
              </v:shape>
            </w:pict>
          </mc:Fallback>
        </mc:AlternateContent>
      </w:r>
    </w:p>
    <w:p w14:paraId="4B04C25E" w14:textId="49299B20" w:rsidR="005A062F" w:rsidRPr="005A062F" w:rsidRDefault="005A062F" w:rsidP="00D727BF">
      <w:pPr>
        <w:pStyle w:val="ParagraphNumbering"/>
        <w:numPr>
          <w:ilvl w:val="0"/>
          <w:numId w:val="0"/>
        </w:numPr>
        <w:tabs>
          <w:tab w:val="left" w:pos="720"/>
        </w:tabs>
        <w:ind w:left="360"/>
        <w:sectPr w:rsidR="005A062F" w:rsidRPr="005A062F" w:rsidSect="00AF12FD">
          <w:pgSz w:w="16983" w:h="15840"/>
          <w:pgMar w:top="1440" w:right="6183" w:bottom="1440" w:left="1440" w:header="720" w:footer="720" w:gutter="0"/>
          <w:cols w:space="720"/>
          <w:docGrid w:linePitch="360"/>
        </w:sectPr>
      </w:pPr>
    </w:p>
    <w:p w14:paraId="10A16DF6" w14:textId="2236F455" w:rsidR="00382C87" w:rsidRPr="00A07C59" w:rsidRDefault="00382C87" w:rsidP="00D727BF">
      <w:pPr>
        <w:pStyle w:val="Heading3"/>
        <w:numPr>
          <w:ilvl w:val="0"/>
          <w:numId w:val="0"/>
        </w:numPr>
        <w:tabs>
          <w:tab w:val="left" w:pos="720"/>
        </w:tabs>
        <w:spacing w:before="0"/>
        <w:rPr>
          <w:b/>
          <w:color w:val="E79B08" w:themeColor="accent3"/>
        </w:rPr>
      </w:pPr>
      <w:r w:rsidRPr="001625FF">
        <w:rPr>
          <w:b/>
          <w:color w:val="128F9C" w:themeColor="accent6"/>
        </w:rPr>
        <w:lastRenderedPageBreak/>
        <w:t>F</w:t>
      </w:r>
      <w:r w:rsidR="0023112F">
        <w:rPr>
          <w:b/>
          <w:color w:val="128F9C" w:themeColor="accent6"/>
        </w:rPr>
        <w:t>ocus on t</w:t>
      </w:r>
      <w:r w:rsidRPr="001625FF">
        <w:rPr>
          <w:b/>
          <w:color w:val="128F9C" w:themeColor="accent6"/>
        </w:rPr>
        <w:t>he Labor Market in Nigeria</w:t>
      </w:r>
    </w:p>
    <w:p w14:paraId="679F0FBA" w14:textId="68D00DC5" w:rsidR="00F16308" w:rsidRPr="001845F3" w:rsidRDefault="0032609D" w:rsidP="00D727BF">
      <w:pPr>
        <w:pStyle w:val="ParagraphNumbering"/>
        <w:numPr>
          <w:ilvl w:val="0"/>
          <w:numId w:val="0"/>
        </w:numPr>
        <w:tabs>
          <w:tab w:val="left" w:pos="720"/>
        </w:tabs>
        <w:spacing w:after="240"/>
      </w:pPr>
      <w:r>
        <w:rPr>
          <w:b/>
        </w:rPr>
        <w:tab/>
      </w:r>
      <w:r w:rsidR="00AD202E" w:rsidRPr="001845F3">
        <w:rPr>
          <w:b/>
        </w:rPr>
        <w:t>Data from t</w:t>
      </w:r>
      <w:r w:rsidR="0023112F" w:rsidRPr="001845F3">
        <w:rPr>
          <w:b/>
        </w:rPr>
        <w:t xml:space="preserve">he workforce questions in the Enterprise Survey </w:t>
      </w:r>
      <w:r w:rsidR="00382C87" w:rsidRPr="001845F3">
        <w:rPr>
          <w:b/>
        </w:rPr>
        <w:t>2014</w:t>
      </w:r>
      <w:r>
        <w:rPr>
          <w:rFonts w:ascii="Calibri" w:hAnsi="Calibri"/>
          <w:b/>
        </w:rPr>
        <w:t>‒</w:t>
      </w:r>
      <w:r w:rsidR="00382C87" w:rsidRPr="001845F3">
        <w:rPr>
          <w:b/>
        </w:rPr>
        <w:t xml:space="preserve">15 </w:t>
      </w:r>
      <w:r w:rsidR="00AD202E" w:rsidRPr="001845F3">
        <w:rPr>
          <w:b/>
        </w:rPr>
        <w:t>indicate</w:t>
      </w:r>
      <w:r w:rsidR="0023112F" w:rsidRPr="001845F3">
        <w:rPr>
          <w:b/>
        </w:rPr>
        <w:t xml:space="preserve"> that </w:t>
      </w:r>
      <w:r w:rsidR="00382C87" w:rsidRPr="001845F3">
        <w:rPr>
          <w:b/>
        </w:rPr>
        <w:t xml:space="preserve">Nigerian firms do not have </w:t>
      </w:r>
      <w:r w:rsidR="00AD202E" w:rsidRPr="001845F3">
        <w:rPr>
          <w:b/>
        </w:rPr>
        <w:t xml:space="preserve">difficulty </w:t>
      </w:r>
      <w:r w:rsidR="00382C87" w:rsidRPr="001845F3">
        <w:rPr>
          <w:b/>
        </w:rPr>
        <w:t xml:space="preserve">cutting employment for economic reasons or firing employees </w:t>
      </w:r>
      <w:r w:rsidR="00AD202E" w:rsidRPr="001845F3">
        <w:rPr>
          <w:b/>
        </w:rPr>
        <w:t>who</w:t>
      </w:r>
      <w:r w:rsidR="00382C87" w:rsidRPr="001845F3">
        <w:rPr>
          <w:b/>
        </w:rPr>
        <w:t xml:space="preserve"> perform </w:t>
      </w:r>
      <w:r w:rsidR="00AD202E" w:rsidRPr="001845F3">
        <w:rPr>
          <w:b/>
        </w:rPr>
        <w:t xml:space="preserve">poorly. </w:t>
      </w:r>
      <w:r w:rsidR="00AD202E" w:rsidRPr="001845F3">
        <w:t>Rather, l</w:t>
      </w:r>
      <w:r w:rsidR="00382C87" w:rsidRPr="001845F3">
        <w:t xml:space="preserve">abor market failure may arise </w:t>
      </w:r>
      <w:r w:rsidR="00AD202E" w:rsidRPr="001845F3">
        <w:t xml:space="preserve">from the </w:t>
      </w:r>
      <w:r w:rsidR="00382C87" w:rsidRPr="001845F3">
        <w:t>inability o</w:t>
      </w:r>
      <w:r w:rsidR="00AD202E" w:rsidRPr="001845F3">
        <w:t>f</w:t>
      </w:r>
      <w:r w:rsidR="00382C87" w:rsidRPr="001845F3">
        <w:t xml:space="preserve"> firms to attract workers</w:t>
      </w:r>
      <w:r w:rsidR="002C6F93" w:rsidRPr="001845F3">
        <w:t xml:space="preserve"> with the right type of skills</w:t>
      </w:r>
      <w:r w:rsidR="00382C87" w:rsidRPr="001845F3">
        <w:t xml:space="preserve">. </w:t>
      </w:r>
    </w:p>
    <w:p w14:paraId="2A75904A" w14:textId="487A71D2" w:rsidR="00382C87" w:rsidRPr="001845F3" w:rsidRDefault="0032609D" w:rsidP="00D727BF">
      <w:pPr>
        <w:pStyle w:val="ParagraphNumbering"/>
        <w:numPr>
          <w:ilvl w:val="0"/>
          <w:numId w:val="0"/>
        </w:numPr>
        <w:tabs>
          <w:tab w:val="left" w:pos="720"/>
        </w:tabs>
      </w:pPr>
      <w:r>
        <w:tab/>
      </w:r>
      <w:r w:rsidR="00F16308" w:rsidRPr="001845F3">
        <w:t xml:space="preserve">Labor turnover is defined as the annualized proportion of </w:t>
      </w:r>
      <w:r>
        <w:t xml:space="preserve">a </w:t>
      </w:r>
      <w:r w:rsidR="00F16308" w:rsidRPr="001845F3">
        <w:t>firm</w:t>
      </w:r>
      <w:r w:rsidR="00863D16">
        <w:t>’</w:t>
      </w:r>
      <w:r w:rsidR="00F16308" w:rsidRPr="001845F3">
        <w:t xml:space="preserve">s workforce that left the company over the past </w:t>
      </w:r>
      <w:r w:rsidR="00762132" w:rsidRPr="001845F3">
        <w:t>three</w:t>
      </w:r>
      <w:r w:rsidR="00F16308" w:rsidRPr="001845F3">
        <w:t xml:space="preserve"> years. </w:t>
      </w:r>
      <w:r w:rsidR="00382C87" w:rsidRPr="001845F3">
        <w:t>Looking at labor turnover, we find th</w:t>
      </w:r>
      <w:r w:rsidR="00AD202E" w:rsidRPr="001845F3">
        <w:t>at:</w:t>
      </w:r>
      <w:r w:rsidR="00382C87" w:rsidRPr="001845F3">
        <w:rPr>
          <w:b/>
        </w:rPr>
        <w:t xml:space="preserve"> </w:t>
      </w:r>
    </w:p>
    <w:p w14:paraId="7B2D37CD" w14:textId="4FA4F74A" w:rsidR="00382C87" w:rsidRPr="001845F3" w:rsidRDefault="00382C87" w:rsidP="00D727BF">
      <w:pPr>
        <w:pStyle w:val="Bullets"/>
        <w:numPr>
          <w:ilvl w:val="0"/>
          <w:numId w:val="109"/>
        </w:numPr>
        <w:ind w:left="720" w:hanging="720"/>
      </w:pPr>
      <w:r w:rsidRPr="001845F3">
        <w:t>The econometric estimations do not point to a correlation between turnover</w:t>
      </w:r>
      <w:r w:rsidR="001F297D">
        <w:t>s</w:t>
      </w:r>
      <w:r w:rsidRPr="001845F3">
        <w:t xml:space="preserve"> and wage</w:t>
      </w:r>
      <w:r w:rsidR="00AD202E" w:rsidRPr="001845F3">
        <w:t>s</w:t>
      </w:r>
      <w:r w:rsidRPr="001845F3">
        <w:t xml:space="preserve"> (see</w:t>
      </w:r>
      <w:r w:rsidR="00431C9A" w:rsidRPr="001845F3">
        <w:t xml:space="preserve"> </w:t>
      </w:r>
      <w:r w:rsidR="005E6F61">
        <w:t>t</w:t>
      </w:r>
      <w:r w:rsidR="00431C9A" w:rsidRPr="001845F3">
        <w:t>able below</w:t>
      </w:r>
      <w:r w:rsidRPr="001845F3">
        <w:t>)</w:t>
      </w:r>
      <w:r w:rsidR="00F16308" w:rsidRPr="001845F3">
        <w:t>. If retention of workers were a problem, an increase in wages would lead to a lower turnover</w:t>
      </w:r>
      <w:r w:rsidR="00327100">
        <w:t>, which means</w:t>
      </w:r>
      <w:r w:rsidRPr="001845F3">
        <w:t xml:space="preserve"> workers </w:t>
      </w:r>
      <w:r w:rsidR="005E6F61">
        <w:t>would</w:t>
      </w:r>
      <w:r w:rsidRPr="001845F3">
        <w:t xml:space="preserve"> be encouraged to remain in </w:t>
      </w:r>
      <w:r w:rsidR="00AD202E" w:rsidRPr="001845F3">
        <w:t>a</w:t>
      </w:r>
      <w:r w:rsidRPr="001845F3">
        <w:t xml:space="preserve"> company because of higher wages. </w:t>
      </w:r>
      <w:r w:rsidR="00F16308" w:rsidRPr="001845F3">
        <w:t>This may suggest</w:t>
      </w:r>
      <w:r w:rsidRPr="001845F3">
        <w:t xml:space="preserve"> that wages </w:t>
      </w:r>
      <w:r w:rsidR="00F16308" w:rsidRPr="001845F3">
        <w:t>are</w:t>
      </w:r>
      <w:r w:rsidRPr="001845F3">
        <w:t xml:space="preserve"> in line with the workers</w:t>
      </w:r>
      <w:r w:rsidR="00863D16">
        <w:t>’</w:t>
      </w:r>
      <w:r w:rsidRPr="001845F3">
        <w:t xml:space="preserve"> expectations</w:t>
      </w:r>
      <w:r w:rsidR="00F16308" w:rsidRPr="001845F3">
        <w:t>. However</w:t>
      </w:r>
      <w:r w:rsidR="005E6F61">
        <w:t>,</w:t>
      </w:r>
      <w:r w:rsidR="00F16308" w:rsidRPr="001845F3">
        <w:t xml:space="preserve"> we find a negative correlation between having a bonus system and the turnover</w:t>
      </w:r>
      <w:r w:rsidR="00327100">
        <w:t>:</w:t>
      </w:r>
      <w:r w:rsidR="00F16308" w:rsidRPr="001845F3">
        <w:t xml:space="preserve"> employees are more likely to stay in a firm with a bonus system</w:t>
      </w:r>
      <w:r w:rsidR="005E6F61">
        <w:t>.</w:t>
      </w:r>
      <w:r w:rsidRPr="001845F3">
        <w:rPr>
          <w:rStyle w:val="FootnoteReference"/>
          <w:rFonts w:cs="Times New Roman"/>
          <w:szCs w:val="24"/>
        </w:rPr>
        <w:footnoteReference w:id="50"/>
      </w:r>
      <w:r w:rsidRPr="001845F3">
        <w:t xml:space="preserve"> </w:t>
      </w:r>
    </w:p>
    <w:p w14:paraId="10C2BA46" w14:textId="4AF75C1B" w:rsidR="00382C87" w:rsidRPr="001845F3" w:rsidRDefault="00382C87" w:rsidP="00D727BF">
      <w:pPr>
        <w:pStyle w:val="Bullets"/>
        <w:numPr>
          <w:ilvl w:val="0"/>
          <w:numId w:val="109"/>
        </w:numPr>
        <w:ind w:left="720" w:hanging="720"/>
      </w:pPr>
      <w:r w:rsidRPr="001845F3">
        <w:rPr>
          <w:i/>
        </w:rPr>
        <w:t xml:space="preserve">Labor turnover </w:t>
      </w:r>
      <w:r w:rsidR="00F16308" w:rsidRPr="001845F3">
        <w:rPr>
          <w:i/>
        </w:rPr>
        <w:t>reflects</w:t>
      </w:r>
      <w:r w:rsidRPr="001845F3">
        <w:rPr>
          <w:i/>
        </w:rPr>
        <w:t xml:space="preserve"> the current level of output and the sales prospects.</w:t>
      </w:r>
      <w:r w:rsidRPr="001845F3">
        <w:t xml:space="preserve"> </w:t>
      </w:r>
      <w:r w:rsidR="003D0C21" w:rsidRPr="001845F3">
        <w:t>F</w:t>
      </w:r>
      <w:r w:rsidRPr="001845F3">
        <w:t>irms that experienc</w:t>
      </w:r>
      <w:r w:rsidR="003D0C21" w:rsidRPr="001845F3">
        <w:t>e</w:t>
      </w:r>
      <w:r w:rsidRPr="001845F3">
        <w:t xml:space="preserve"> a drop in sales </w:t>
      </w:r>
      <w:r w:rsidR="003D0C21" w:rsidRPr="001845F3">
        <w:t xml:space="preserve">for three successive years </w:t>
      </w:r>
      <w:r w:rsidRPr="001845F3">
        <w:t>are more likely to cut employment</w:t>
      </w:r>
      <w:r w:rsidR="00F16308" w:rsidRPr="001845F3">
        <w:t xml:space="preserve"> (higher turnover)</w:t>
      </w:r>
      <w:r w:rsidRPr="001845F3">
        <w:t xml:space="preserve">. </w:t>
      </w:r>
      <w:r w:rsidR="00071017" w:rsidRPr="001845F3">
        <w:t xml:space="preserve">Firms report to sanction poor performers by firing them. Fewer than a quarter of respondents noted that </w:t>
      </w:r>
      <w:r w:rsidR="00863D16">
        <w:t>“</w:t>
      </w:r>
      <w:r w:rsidR="00071017" w:rsidRPr="001845F3">
        <w:t>poor performers are rarely removed from their positions,</w:t>
      </w:r>
      <w:r w:rsidR="00863D16">
        <w:t>”</w:t>
      </w:r>
      <w:r w:rsidR="00071017" w:rsidRPr="001845F3">
        <w:t xml:space="preserve"> while three quarters said that they take action when a worker is not up to the targeted level of performance. However</w:t>
      </w:r>
      <w:r w:rsidR="00AD45F1">
        <w:t>,</w:t>
      </w:r>
      <w:r w:rsidR="00071017" w:rsidRPr="001845F3">
        <w:t xml:space="preserve"> the labor market seems quite sticky as a vast majority of the firms report an unchanged workforce, despite the decrease in sales (see above). This does not seem to be linked to the labor regulations as only </w:t>
      </w:r>
      <w:r w:rsidR="00762132" w:rsidRPr="001845F3">
        <w:t>three</w:t>
      </w:r>
      <w:r w:rsidR="00071017" w:rsidRPr="001845F3">
        <w:t xml:space="preserve"> percent of the firm</w:t>
      </w:r>
      <w:r w:rsidR="00863D16">
        <w:t>’</w:t>
      </w:r>
      <w:r w:rsidR="00071017" w:rsidRPr="001845F3">
        <w:t xml:space="preserve">s rate </w:t>
      </w:r>
      <w:r w:rsidR="00071017" w:rsidRPr="001845F3">
        <w:rPr>
          <w:i/>
        </w:rPr>
        <w:t>Labor regulations</w:t>
      </w:r>
      <w:r w:rsidR="00071017" w:rsidRPr="001845F3">
        <w:t xml:space="preserve"> as a major problem. However</w:t>
      </w:r>
      <w:r w:rsidR="00AD45F1">
        <w:t>,</w:t>
      </w:r>
      <w:r w:rsidR="00071017" w:rsidRPr="001845F3">
        <w:t xml:space="preserve"> managers tend to keep their employees waiting for economic prospects. </w:t>
      </w:r>
      <w:r w:rsidRPr="001845F3">
        <w:t>Interestingly a third of respondents indicate</w:t>
      </w:r>
      <w:r w:rsidR="001364BA" w:rsidRPr="001845F3">
        <w:t>d</w:t>
      </w:r>
      <w:r w:rsidRPr="001845F3">
        <w:t xml:space="preserve"> that they are overstaffed, mainly because they anticipate an upturn in sales</w:t>
      </w:r>
      <w:r w:rsidR="00AD45F1">
        <w:t>.</w:t>
      </w:r>
      <w:r w:rsidRPr="001845F3">
        <w:t xml:space="preserve"> </w:t>
      </w:r>
    </w:p>
    <w:p w14:paraId="1970BA37" w14:textId="7444F985" w:rsidR="00382C87" w:rsidRPr="001845F3" w:rsidRDefault="00382C87" w:rsidP="00D727BF">
      <w:pPr>
        <w:pStyle w:val="Bullets"/>
        <w:numPr>
          <w:ilvl w:val="0"/>
          <w:numId w:val="109"/>
        </w:numPr>
        <w:ind w:left="720" w:hanging="720"/>
      </w:pPr>
      <w:r w:rsidRPr="001845F3">
        <w:t>The econometric results suggest that firms with a bonus system exhibit a lower turnover.</w:t>
      </w:r>
    </w:p>
    <w:p w14:paraId="14A49EF5" w14:textId="1B0E0440" w:rsidR="003D0C21" w:rsidRPr="001845F3" w:rsidRDefault="00B30A18" w:rsidP="00D727BF">
      <w:pPr>
        <w:pStyle w:val="ParagraphNumbering"/>
        <w:numPr>
          <w:ilvl w:val="0"/>
          <w:numId w:val="0"/>
        </w:numPr>
        <w:tabs>
          <w:tab w:val="left" w:pos="720"/>
        </w:tabs>
        <w:spacing w:after="240"/>
      </w:pPr>
      <w:r>
        <w:rPr>
          <w:b/>
        </w:rPr>
        <w:tab/>
      </w:r>
      <w:r w:rsidR="003D0C21" w:rsidRPr="001845F3">
        <w:rPr>
          <w:b/>
        </w:rPr>
        <w:t>The percentage of unfilled vacancies in Nigeria is rather low</w:t>
      </w:r>
      <w:r w:rsidR="003D0C21" w:rsidRPr="001845F3">
        <w:t xml:space="preserve"> (about 4.5 percent). </w:t>
      </w:r>
      <w:r w:rsidR="001364DB" w:rsidRPr="001845F3">
        <w:t>In addition, o</w:t>
      </w:r>
      <w:r w:rsidR="003D0C21" w:rsidRPr="001845F3">
        <w:t>nly a negligible fraction of the respondents indicated that they were understaffed. This result points out to a rather fluid market where filling positions is relatively easy. However</w:t>
      </w:r>
      <w:r>
        <w:t>,</w:t>
      </w:r>
      <w:r w:rsidR="003D0C21" w:rsidRPr="001845F3">
        <w:t xml:space="preserve"> the picture is more mixed when respondents are asked specifically about their last vacancy. </w:t>
      </w:r>
    </w:p>
    <w:p w14:paraId="0A72E1B7" w14:textId="10AD358E" w:rsidR="00AF3913" w:rsidRPr="001845F3" w:rsidRDefault="00B30A18" w:rsidP="00D727BF">
      <w:pPr>
        <w:pStyle w:val="ParagraphNumbering"/>
        <w:numPr>
          <w:ilvl w:val="0"/>
          <w:numId w:val="0"/>
        </w:numPr>
        <w:tabs>
          <w:tab w:val="left" w:pos="720"/>
        </w:tabs>
        <w:spacing w:after="240"/>
        <w:rPr>
          <w:b/>
        </w:rPr>
      </w:pPr>
      <w:r>
        <w:rPr>
          <w:b/>
        </w:rPr>
        <w:tab/>
      </w:r>
      <w:r w:rsidR="0061189A" w:rsidRPr="001845F3">
        <w:rPr>
          <w:b/>
        </w:rPr>
        <w:t>There are too few manual skills</w:t>
      </w:r>
      <w:r w:rsidR="00EE3726">
        <w:rPr>
          <w:b/>
        </w:rPr>
        <w:t xml:space="preserve"> in </w:t>
      </w:r>
      <w:r w:rsidR="002A2158">
        <w:rPr>
          <w:b/>
        </w:rPr>
        <w:t xml:space="preserve">the south </w:t>
      </w:r>
      <w:r w:rsidR="0061189A" w:rsidRPr="001845F3">
        <w:rPr>
          <w:b/>
        </w:rPr>
        <w:t xml:space="preserve">and too few cognitive skills in the </w:t>
      </w:r>
      <w:r w:rsidR="00AD45F1">
        <w:rPr>
          <w:b/>
        </w:rPr>
        <w:t>n</w:t>
      </w:r>
      <w:r w:rsidR="0061189A" w:rsidRPr="001845F3">
        <w:rPr>
          <w:b/>
        </w:rPr>
        <w:t>orth.</w:t>
      </w:r>
      <w:r w:rsidR="0061189A" w:rsidRPr="001845F3">
        <w:t xml:space="preserve"> In the </w:t>
      </w:r>
      <w:r w:rsidR="00AD45F1">
        <w:t>s</w:t>
      </w:r>
      <w:r w:rsidR="0061189A" w:rsidRPr="001845F3">
        <w:t>outh, the percentage of firms reporting a problem when hiring decreases with the skills content of the position. Most have no problem filling a managerial position, while about 50 percent have difficulties hiring unskilled production workers. In contrast, the percentage of enterprises reporting a problem seems to increase with the skills content of the position. Most firms complain about the low number of applicants and their lack of required skills.</w:t>
      </w:r>
      <w:r w:rsidR="00AF3913" w:rsidRPr="001845F3">
        <w:rPr>
          <w:b/>
        </w:rPr>
        <w:t xml:space="preserve"> </w:t>
      </w:r>
    </w:p>
    <w:p w14:paraId="53ED2F4D" w14:textId="2B8A8AF4" w:rsidR="005E5030" w:rsidRPr="001845F3" w:rsidRDefault="00B30A18" w:rsidP="00D727BF">
      <w:pPr>
        <w:pStyle w:val="ParagraphNumbering"/>
        <w:numPr>
          <w:ilvl w:val="0"/>
          <w:numId w:val="0"/>
        </w:numPr>
        <w:tabs>
          <w:tab w:val="left" w:pos="720"/>
        </w:tabs>
        <w:spacing w:after="240"/>
        <w:rPr>
          <w:b/>
        </w:rPr>
      </w:pPr>
      <w:r>
        <w:rPr>
          <w:b/>
        </w:rPr>
        <w:lastRenderedPageBreak/>
        <w:tab/>
      </w:r>
      <w:r w:rsidR="00AF3913" w:rsidRPr="001845F3">
        <w:rPr>
          <w:b/>
        </w:rPr>
        <w:t xml:space="preserve">This situation reflects the huge educational and skills differences between </w:t>
      </w:r>
      <w:r w:rsidR="002A2158">
        <w:rPr>
          <w:b/>
        </w:rPr>
        <w:t xml:space="preserve">the north </w:t>
      </w:r>
      <w:r w:rsidR="00AF3913" w:rsidRPr="001845F3">
        <w:rPr>
          <w:b/>
        </w:rPr>
        <w:t>and the South</w:t>
      </w:r>
      <w:r w:rsidR="00AF3913" w:rsidRPr="001845F3">
        <w:t>.</w:t>
      </w:r>
      <w:r w:rsidR="00AF3913" w:rsidRPr="001845F3">
        <w:rPr>
          <w:rStyle w:val="FootnoteReference"/>
        </w:rPr>
        <w:footnoteReference w:id="51"/>
      </w:r>
      <w:r w:rsidR="00AF3913" w:rsidRPr="001845F3">
        <w:t xml:space="preserve"> The percentage of </w:t>
      </w:r>
      <w:r>
        <w:t>fifteen to twenty-four</w:t>
      </w:r>
      <w:r w:rsidR="00AF3913" w:rsidRPr="001845F3">
        <w:t xml:space="preserve"> population engaged in senior secondary and tertiary education—who could apply for positions with a higher skills content—is substantially lower in </w:t>
      </w:r>
      <w:r w:rsidR="002A2158">
        <w:t xml:space="preserve">the north </w:t>
      </w:r>
      <w:r w:rsidR="00AF3913" w:rsidRPr="001845F3">
        <w:t xml:space="preserve">(28 and 25 percent in the </w:t>
      </w:r>
      <w:r w:rsidR="006F6842">
        <w:t>North East</w:t>
      </w:r>
      <w:r w:rsidR="00AF3913" w:rsidRPr="001845F3">
        <w:t xml:space="preserve"> zone and </w:t>
      </w:r>
      <w:r w:rsidR="006F6842">
        <w:t>North West zone</w:t>
      </w:r>
      <w:r w:rsidR="00AF3913" w:rsidRPr="001845F3">
        <w:t xml:space="preserve">, respectively) than in </w:t>
      </w:r>
      <w:r w:rsidR="002A2158">
        <w:t xml:space="preserve">the south </w:t>
      </w:r>
      <w:r w:rsidR="00AF3913" w:rsidRPr="001845F3">
        <w:t xml:space="preserve">(73 percent in the </w:t>
      </w:r>
      <w:r w:rsidR="006F6842">
        <w:t>South West</w:t>
      </w:r>
      <w:r w:rsidR="00AF3913" w:rsidRPr="001845F3">
        <w:t>). Not only is there skewed access to education, but there are substantial differences in the quality of education. Differences start with basic competencies. Poor learning outcomes</w:t>
      </w:r>
      <w:r>
        <w:t>—</w:t>
      </w:r>
      <w:r w:rsidR="00AF3913" w:rsidRPr="001845F3">
        <w:t>measured by basic competencies such as reading and basic numeracy</w:t>
      </w:r>
      <w:r>
        <w:t>—</w:t>
      </w:r>
      <w:r w:rsidR="00AF3913" w:rsidRPr="001845F3">
        <w:t>appear more severe in the North. The outcomes at the end of the secondary school vary across states. According to the June 2010 NECO (National Examinations Council) exams, on average</w:t>
      </w:r>
      <w:r>
        <w:t>,</w:t>
      </w:r>
      <w:r w:rsidR="00AF3913" w:rsidRPr="001845F3">
        <w:t xml:space="preserve"> 22 percent of registered students </w:t>
      </w:r>
      <w:r w:rsidR="006D600B" w:rsidRPr="001845F3">
        <w:t>completed</w:t>
      </w:r>
      <w:r w:rsidR="00AF3913" w:rsidRPr="001845F3">
        <w:t xml:space="preserve"> five credits</w:t>
      </w:r>
      <w:r>
        <w:t xml:space="preserve">, the </w:t>
      </w:r>
      <w:r w:rsidR="00AF3913" w:rsidRPr="001845F3">
        <w:t xml:space="preserve">minimum required for university entrance. This rate was very low in the </w:t>
      </w:r>
      <w:r w:rsidR="006F6842">
        <w:t>North East</w:t>
      </w:r>
      <w:r w:rsidR="00AF3913" w:rsidRPr="001845F3">
        <w:t xml:space="preserve"> and </w:t>
      </w:r>
      <w:r w:rsidR="006F6842">
        <w:t>North West zone</w:t>
      </w:r>
      <w:r w:rsidR="00AF3913" w:rsidRPr="001845F3">
        <w:t xml:space="preserve">s (7 and 12 percent, respectively) compared to the </w:t>
      </w:r>
      <w:r w:rsidR="006F6842">
        <w:t>South East</w:t>
      </w:r>
      <w:r w:rsidR="00AF3913" w:rsidRPr="001845F3">
        <w:t xml:space="preserve"> and </w:t>
      </w:r>
      <w:r w:rsidR="006F6842">
        <w:t>South South</w:t>
      </w:r>
      <w:r w:rsidR="00AF3913" w:rsidRPr="001845F3">
        <w:t xml:space="preserve"> (31 percent). The only exceptions in </w:t>
      </w:r>
      <w:r w:rsidR="002A2158">
        <w:t xml:space="preserve">the north </w:t>
      </w:r>
      <w:r w:rsidR="00AF3913" w:rsidRPr="001845F3">
        <w:t>are Kaduna State (20 percent) and Jigawa State (18 percent). As shown in World Bank (2015),</w:t>
      </w:r>
      <w:r w:rsidR="00AF3913" w:rsidRPr="001845F3">
        <w:rPr>
          <w:rStyle w:val="FootnoteReference"/>
        </w:rPr>
        <w:footnoteReference w:id="52"/>
      </w:r>
      <w:r w:rsidR="00AF3913" w:rsidRPr="001845F3">
        <w:t xml:space="preserve"> the </w:t>
      </w:r>
      <w:r>
        <w:t>s</w:t>
      </w:r>
      <w:r w:rsidR="00AF3913" w:rsidRPr="001845F3">
        <w:t xml:space="preserve">outhern part of Nigeria is therefore experiencing an increase in the use of cognitive skills, while skills in </w:t>
      </w:r>
      <w:r w:rsidR="002A2158">
        <w:t xml:space="preserve">the north </w:t>
      </w:r>
      <w:r w:rsidR="00AF3913" w:rsidRPr="001845F3">
        <w:t>remain manual. In addition, Giles and Huang (2015) conclude that high-ability young adults are queuing for wage employment.</w:t>
      </w:r>
      <w:r w:rsidR="00AF3913" w:rsidRPr="001845F3">
        <w:rPr>
          <w:rStyle w:val="FootnoteReference"/>
        </w:rPr>
        <w:footnoteReference w:id="53"/>
      </w:r>
      <w:r w:rsidR="00AF3913" w:rsidRPr="001845F3">
        <w:t xml:space="preserve"> The </w:t>
      </w:r>
      <w:r w:rsidR="00C32950">
        <w:t>e</w:t>
      </w:r>
      <w:r w:rsidR="00AF3913" w:rsidRPr="001845F3">
        <w:t xml:space="preserve">nterprise </w:t>
      </w:r>
      <w:r w:rsidR="00C32950">
        <w:t>s</w:t>
      </w:r>
      <w:r w:rsidR="00AF3913" w:rsidRPr="001845F3">
        <w:t xml:space="preserve">urvey results suggest that this is mainly happening in the </w:t>
      </w:r>
      <w:r w:rsidR="00C32950">
        <w:t>s</w:t>
      </w:r>
      <w:r w:rsidR="00AF3913" w:rsidRPr="001845F3">
        <w:t xml:space="preserve">outh, while in the </w:t>
      </w:r>
      <w:r w:rsidR="00C32950">
        <w:t>n</w:t>
      </w:r>
      <w:r w:rsidR="00AF3913" w:rsidRPr="001845F3">
        <w:t>orth</w:t>
      </w:r>
      <w:r>
        <w:t>,</w:t>
      </w:r>
      <w:r w:rsidR="00AF3913" w:rsidRPr="001845F3">
        <w:t xml:space="preserve"> there is a deficit in skilled workers.</w:t>
      </w:r>
      <w:r w:rsidR="005E5030" w:rsidRPr="001845F3">
        <w:rPr>
          <w:b/>
        </w:rPr>
        <w:t xml:space="preserve"> </w:t>
      </w:r>
    </w:p>
    <w:p w14:paraId="3D21F739" w14:textId="3658B7B1" w:rsidR="001F297D" w:rsidRPr="001845F3" w:rsidRDefault="00B30A18" w:rsidP="00D727BF">
      <w:pPr>
        <w:pStyle w:val="ParagraphNumbering"/>
        <w:numPr>
          <w:ilvl w:val="0"/>
          <w:numId w:val="0"/>
        </w:numPr>
        <w:tabs>
          <w:tab w:val="left" w:pos="720"/>
        </w:tabs>
        <w:spacing w:after="0"/>
      </w:pPr>
      <w:r>
        <w:rPr>
          <w:b/>
        </w:rPr>
        <w:tab/>
      </w:r>
      <w:r w:rsidR="005E5030" w:rsidRPr="001845F3">
        <w:rPr>
          <w:b/>
        </w:rPr>
        <w:t xml:space="preserve">It takes more time in </w:t>
      </w:r>
      <w:r>
        <w:rPr>
          <w:b/>
        </w:rPr>
        <w:t>s</w:t>
      </w:r>
      <w:r w:rsidR="005E5030" w:rsidRPr="001845F3">
        <w:rPr>
          <w:b/>
        </w:rPr>
        <w:t xml:space="preserve">outhern states to fill a position than in the </w:t>
      </w:r>
      <w:r w:rsidR="00C32950">
        <w:rPr>
          <w:b/>
        </w:rPr>
        <w:t>n</w:t>
      </w:r>
      <w:r w:rsidR="005E5030" w:rsidRPr="001845F3">
        <w:rPr>
          <w:b/>
        </w:rPr>
        <w:t xml:space="preserve">orth, </w:t>
      </w:r>
      <w:r w:rsidR="005E5030" w:rsidRPr="001845F3">
        <w:t>regardless of the type of position. This may reflect the fact that firms</w:t>
      </w:r>
      <w:r w:rsidR="00EE3726">
        <w:t xml:space="preserve"> in </w:t>
      </w:r>
      <w:r w:rsidR="002A2158">
        <w:t xml:space="preserve">the south </w:t>
      </w:r>
      <w:r w:rsidR="005E5030" w:rsidRPr="001845F3">
        <w:t>have more structured procedures to recruit employees.</w:t>
      </w:r>
    </w:p>
    <w:p w14:paraId="4381D13F" w14:textId="2640F324" w:rsidR="005E5030" w:rsidRPr="001845F3" w:rsidRDefault="005E5030" w:rsidP="00D727BF">
      <w:pPr>
        <w:pStyle w:val="ParagraphNumbering"/>
        <w:numPr>
          <w:ilvl w:val="0"/>
          <w:numId w:val="0"/>
        </w:numPr>
        <w:tabs>
          <w:tab w:val="left" w:pos="720"/>
          <w:tab w:val="left" w:pos="5689"/>
        </w:tabs>
        <w:autoSpaceDE w:val="0"/>
        <w:autoSpaceDN w:val="0"/>
        <w:adjustRightInd w:val="0"/>
        <w:spacing w:after="0"/>
      </w:pPr>
    </w:p>
    <w:p w14:paraId="7EDF6EEA" w14:textId="501212AF" w:rsidR="00D92B55" w:rsidRDefault="00D92B55" w:rsidP="00D727BF">
      <w:pPr>
        <w:pStyle w:val="Caption"/>
        <w:keepNext/>
        <w:tabs>
          <w:tab w:val="left" w:pos="720"/>
        </w:tabs>
        <w:jc w:val="center"/>
      </w:pPr>
      <w:bookmarkStart w:id="281" w:name="_Toc445449530"/>
      <w:r>
        <w:t xml:space="preserve">Table </w:t>
      </w:r>
      <w:fldSimple w:instr=" SEQ Table \* ARABIC ">
        <w:r w:rsidR="008A3BBD">
          <w:rPr>
            <w:noProof/>
          </w:rPr>
          <w:t>9</w:t>
        </w:r>
      </w:fldSimple>
      <w:r>
        <w:t>: Drivers of Labor Turnover in Nigeria</w:t>
      </w:r>
      <w:bookmarkEnd w:id="281"/>
    </w:p>
    <w:tbl>
      <w:tblPr>
        <w:tblW w:w="0" w:type="auto"/>
        <w:jc w:val="center"/>
        <w:tblLook w:val="0000" w:firstRow="0" w:lastRow="0" w:firstColumn="0" w:lastColumn="0" w:noHBand="0" w:noVBand="0"/>
      </w:tblPr>
      <w:tblGrid>
        <w:gridCol w:w="1652"/>
        <w:gridCol w:w="1688"/>
        <w:gridCol w:w="1688"/>
        <w:gridCol w:w="1688"/>
        <w:gridCol w:w="1688"/>
      </w:tblGrid>
      <w:tr w:rsidR="00382C87" w:rsidRPr="001845F3" w14:paraId="7F359090" w14:textId="77777777" w:rsidTr="00F970C1">
        <w:trPr>
          <w:jc w:val="center"/>
        </w:trPr>
        <w:tc>
          <w:tcPr>
            <w:tcW w:w="0" w:type="auto"/>
            <w:tcBorders>
              <w:top w:val="single" w:sz="4" w:space="0" w:color="auto"/>
              <w:left w:val="nil"/>
              <w:bottom w:val="nil"/>
              <w:right w:val="nil"/>
            </w:tcBorders>
          </w:tcPr>
          <w:p w14:paraId="5AD932B2"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single" w:sz="4" w:space="0" w:color="auto"/>
              <w:left w:val="nil"/>
              <w:bottom w:val="nil"/>
              <w:right w:val="nil"/>
            </w:tcBorders>
          </w:tcPr>
          <w:p w14:paraId="597ABAC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(1)</w:t>
            </w:r>
          </w:p>
        </w:tc>
        <w:tc>
          <w:tcPr>
            <w:tcW w:w="1688" w:type="dxa"/>
            <w:tcBorders>
              <w:top w:val="single" w:sz="4" w:space="0" w:color="auto"/>
              <w:left w:val="nil"/>
              <w:bottom w:val="nil"/>
              <w:right w:val="nil"/>
            </w:tcBorders>
          </w:tcPr>
          <w:p w14:paraId="545BE4D1"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w:t>
            </w:r>
          </w:p>
        </w:tc>
        <w:tc>
          <w:tcPr>
            <w:tcW w:w="1688" w:type="dxa"/>
            <w:tcBorders>
              <w:top w:val="single" w:sz="4" w:space="0" w:color="auto"/>
              <w:left w:val="nil"/>
              <w:bottom w:val="nil"/>
              <w:right w:val="nil"/>
            </w:tcBorders>
          </w:tcPr>
          <w:p w14:paraId="64660A2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(3)</w:t>
            </w:r>
          </w:p>
        </w:tc>
        <w:tc>
          <w:tcPr>
            <w:tcW w:w="1688" w:type="dxa"/>
            <w:tcBorders>
              <w:top w:val="single" w:sz="4" w:space="0" w:color="auto"/>
              <w:left w:val="nil"/>
              <w:bottom w:val="nil"/>
              <w:right w:val="nil"/>
            </w:tcBorders>
          </w:tcPr>
          <w:p w14:paraId="39A161E6"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(4)</w:t>
            </w:r>
          </w:p>
        </w:tc>
      </w:tr>
      <w:tr w:rsidR="00382C87" w:rsidRPr="001845F3" w14:paraId="5E39C01E" w14:textId="77777777" w:rsidTr="00F970C1">
        <w:trPr>
          <w:trHeight w:val="170"/>
          <w:jc w:val="center"/>
        </w:trPr>
        <w:tc>
          <w:tcPr>
            <w:tcW w:w="0" w:type="auto"/>
            <w:tcBorders>
              <w:top w:val="single" w:sz="4" w:space="0" w:color="auto"/>
              <w:left w:val="nil"/>
              <w:bottom w:val="nil"/>
              <w:right w:val="nil"/>
            </w:tcBorders>
          </w:tcPr>
          <w:p w14:paraId="7F8B80C5"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single" w:sz="4" w:space="0" w:color="auto"/>
              <w:left w:val="nil"/>
              <w:bottom w:val="nil"/>
              <w:right w:val="nil"/>
            </w:tcBorders>
          </w:tcPr>
          <w:p w14:paraId="25D800FA"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p>
        </w:tc>
        <w:tc>
          <w:tcPr>
            <w:tcW w:w="1688" w:type="dxa"/>
            <w:tcBorders>
              <w:top w:val="single" w:sz="4" w:space="0" w:color="auto"/>
              <w:left w:val="nil"/>
              <w:bottom w:val="nil"/>
              <w:right w:val="nil"/>
            </w:tcBorders>
          </w:tcPr>
          <w:p w14:paraId="6AAA3096"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p>
        </w:tc>
        <w:tc>
          <w:tcPr>
            <w:tcW w:w="1688" w:type="dxa"/>
            <w:tcBorders>
              <w:top w:val="single" w:sz="4" w:space="0" w:color="auto"/>
              <w:left w:val="nil"/>
              <w:bottom w:val="nil"/>
              <w:right w:val="nil"/>
            </w:tcBorders>
          </w:tcPr>
          <w:p w14:paraId="1E16EC6C"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p>
        </w:tc>
        <w:tc>
          <w:tcPr>
            <w:tcW w:w="1688" w:type="dxa"/>
            <w:tcBorders>
              <w:top w:val="single" w:sz="4" w:space="0" w:color="auto"/>
              <w:left w:val="nil"/>
              <w:bottom w:val="nil"/>
              <w:right w:val="nil"/>
            </w:tcBorders>
          </w:tcPr>
          <w:p w14:paraId="70789D5C"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p>
        </w:tc>
      </w:tr>
      <w:tr w:rsidR="00382C87" w:rsidRPr="001845F3" w14:paraId="06B533B9" w14:textId="77777777" w:rsidTr="00F970C1">
        <w:trPr>
          <w:jc w:val="center"/>
        </w:trPr>
        <w:tc>
          <w:tcPr>
            <w:tcW w:w="0" w:type="auto"/>
            <w:tcBorders>
              <w:left w:val="nil"/>
              <w:bottom w:val="nil"/>
              <w:right w:val="nil"/>
            </w:tcBorders>
          </w:tcPr>
          <w:p w14:paraId="688C15BD" w14:textId="048BC20B"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 xml:space="preserve">Log </w:t>
            </w:r>
            <w:r w:rsidR="00B30A18">
              <w:rPr>
                <w:rFonts w:cs="Times New Roman"/>
                <w:sz w:val="22"/>
              </w:rPr>
              <w:t>w</w:t>
            </w:r>
            <w:r w:rsidRPr="001845F3">
              <w:rPr>
                <w:rFonts w:cs="Times New Roman"/>
                <w:sz w:val="22"/>
              </w:rPr>
              <w:t>ages</w:t>
            </w:r>
          </w:p>
        </w:tc>
        <w:tc>
          <w:tcPr>
            <w:tcW w:w="1688" w:type="dxa"/>
            <w:tcBorders>
              <w:left w:val="nil"/>
              <w:bottom w:val="nil"/>
              <w:right w:val="nil"/>
            </w:tcBorders>
          </w:tcPr>
          <w:p w14:paraId="612AE181"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0.00175</w:t>
            </w:r>
          </w:p>
        </w:tc>
        <w:tc>
          <w:tcPr>
            <w:tcW w:w="1688" w:type="dxa"/>
            <w:tcBorders>
              <w:left w:val="nil"/>
              <w:bottom w:val="nil"/>
              <w:right w:val="nil"/>
            </w:tcBorders>
          </w:tcPr>
          <w:p w14:paraId="4519F6A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0.00202</w:t>
            </w:r>
          </w:p>
        </w:tc>
        <w:tc>
          <w:tcPr>
            <w:tcW w:w="1688" w:type="dxa"/>
            <w:tcBorders>
              <w:left w:val="nil"/>
              <w:bottom w:val="nil"/>
              <w:right w:val="nil"/>
            </w:tcBorders>
          </w:tcPr>
          <w:p w14:paraId="1017D72F"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0.0189</w:t>
            </w:r>
          </w:p>
        </w:tc>
        <w:tc>
          <w:tcPr>
            <w:tcW w:w="1688" w:type="dxa"/>
            <w:tcBorders>
              <w:left w:val="nil"/>
              <w:bottom w:val="nil"/>
              <w:right w:val="nil"/>
            </w:tcBorders>
          </w:tcPr>
          <w:p w14:paraId="7DA6E53C"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0.00830</w:t>
            </w:r>
          </w:p>
        </w:tc>
      </w:tr>
      <w:tr w:rsidR="00382C87" w:rsidRPr="001845F3" w14:paraId="563ACEEF" w14:textId="77777777" w:rsidTr="00F970C1">
        <w:trPr>
          <w:jc w:val="center"/>
        </w:trPr>
        <w:tc>
          <w:tcPr>
            <w:tcW w:w="0" w:type="auto"/>
            <w:tcBorders>
              <w:top w:val="nil"/>
              <w:left w:val="nil"/>
              <w:bottom w:val="nil"/>
              <w:right w:val="nil"/>
            </w:tcBorders>
          </w:tcPr>
          <w:p w14:paraId="708DFCAC"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nil"/>
              <w:left w:val="nil"/>
              <w:bottom w:val="nil"/>
              <w:right w:val="nil"/>
            </w:tcBorders>
          </w:tcPr>
          <w:p w14:paraId="122342BB"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(0.12)</w:t>
            </w:r>
          </w:p>
        </w:tc>
        <w:tc>
          <w:tcPr>
            <w:tcW w:w="1688" w:type="dxa"/>
            <w:tcBorders>
              <w:top w:val="nil"/>
              <w:left w:val="nil"/>
              <w:bottom w:val="nil"/>
              <w:right w:val="nil"/>
            </w:tcBorders>
          </w:tcPr>
          <w:p w14:paraId="6DC3B74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(0.09)</w:t>
            </w:r>
          </w:p>
        </w:tc>
        <w:tc>
          <w:tcPr>
            <w:tcW w:w="1688" w:type="dxa"/>
            <w:tcBorders>
              <w:top w:val="nil"/>
              <w:left w:val="nil"/>
              <w:bottom w:val="nil"/>
              <w:right w:val="nil"/>
            </w:tcBorders>
          </w:tcPr>
          <w:p w14:paraId="085C0E18"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(0.79)</w:t>
            </w:r>
          </w:p>
        </w:tc>
        <w:tc>
          <w:tcPr>
            <w:tcW w:w="1688" w:type="dxa"/>
            <w:tcBorders>
              <w:top w:val="nil"/>
              <w:left w:val="nil"/>
              <w:bottom w:val="nil"/>
              <w:right w:val="nil"/>
            </w:tcBorders>
          </w:tcPr>
          <w:p w14:paraId="4E9571C7"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(0.36)</w:t>
            </w:r>
          </w:p>
        </w:tc>
      </w:tr>
      <w:tr w:rsidR="00382C87" w:rsidRPr="001845F3" w14:paraId="7D3B2982" w14:textId="77777777" w:rsidTr="00F970C1">
        <w:trPr>
          <w:jc w:val="center"/>
        </w:trPr>
        <w:tc>
          <w:tcPr>
            <w:tcW w:w="0" w:type="auto"/>
            <w:tcBorders>
              <w:top w:val="nil"/>
              <w:left w:val="nil"/>
              <w:bottom w:val="nil"/>
              <w:right w:val="nil"/>
            </w:tcBorders>
          </w:tcPr>
          <w:p w14:paraId="29219964"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Upsizing firm</w:t>
            </w:r>
          </w:p>
        </w:tc>
        <w:tc>
          <w:tcPr>
            <w:tcW w:w="1688" w:type="dxa"/>
            <w:tcBorders>
              <w:top w:val="nil"/>
              <w:left w:val="nil"/>
              <w:bottom w:val="nil"/>
              <w:right w:val="nil"/>
            </w:tcBorders>
          </w:tcPr>
          <w:p w14:paraId="090660C1"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-0.263</w:t>
            </w:r>
            <w:r w:rsidRPr="001845F3">
              <w:rPr>
                <w:rFonts w:cs="Times New Roman"/>
                <w:sz w:val="22"/>
                <w:vertAlign w:val="superscript"/>
              </w:rPr>
              <w:t>**</w:t>
            </w:r>
          </w:p>
        </w:tc>
        <w:tc>
          <w:tcPr>
            <w:tcW w:w="1688" w:type="dxa"/>
            <w:tcBorders>
              <w:top w:val="nil"/>
              <w:left w:val="nil"/>
              <w:bottom w:val="nil"/>
              <w:right w:val="nil"/>
            </w:tcBorders>
          </w:tcPr>
          <w:p w14:paraId="54BA9445"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-0.470</w:t>
            </w:r>
            <w:r w:rsidRPr="001845F3">
              <w:rPr>
                <w:rFonts w:cs="Times New Roman"/>
                <w:sz w:val="22"/>
                <w:vertAlign w:val="superscript"/>
              </w:rPr>
              <w:t>***</w:t>
            </w:r>
          </w:p>
        </w:tc>
        <w:tc>
          <w:tcPr>
            <w:tcW w:w="1688" w:type="dxa"/>
            <w:tcBorders>
              <w:top w:val="nil"/>
              <w:left w:val="nil"/>
              <w:bottom w:val="nil"/>
              <w:right w:val="nil"/>
            </w:tcBorders>
          </w:tcPr>
          <w:p w14:paraId="14D6F1D6"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-0.379</w:t>
            </w:r>
            <w:r w:rsidRPr="001845F3">
              <w:rPr>
                <w:rFonts w:cs="Times New Roman"/>
                <w:sz w:val="22"/>
                <w:vertAlign w:val="superscript"/>
              </w:rPr>
              <w:t>**</w:t>
            </w:r>
          </w:p>
        </w:tc>
        <w:tc>
          <w:tcPr>
            <w:tcW w:w="1688" w:type="dxa"/>
            <w:tcBorders>
              <w:top w:val="nil"/>
              <w:left w:val="nil"/>
              <w:bottom w:val="nil"/>
              <w:right w:val="nil"/>
            </w:tcBorders>
          </w:tcPr>
          <w:p w14:paraId="15085F42"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-0.372</w:t>
            </w:r>
            <w:r w:rsidRPr="001845F3">
              <w:rPr>
                <w:rFonts w:cs="Times New Roman"/>
                <w:sz w:val="22"/>
                <w:vertAlign w:val="superscript"/>
              </w:rPr>
              <w:t>**</w:t>
            </w:r>
          </w:p>
        </w:tc>
      </w:tr>
      <w:tr w:rsidR="00382C87" w:rsidRPr="001845F3" w14:paraId="444693FD" w14:textId="77777777" w:rsidTr="00F970C1">
        <w:trPr>
          <w:jc w:val="center"/>
        </w:trPr>
        <w:tc>
          <w:tcPr>
            <w:tcW w:w="0" w:type="auto"/>
            <w:tcBorders>
              <w:top w:val="nil"/>
              <w:left w:val="nil"/>
              <w:bottom w:val="nil"/>
              <w:right w:val="nil"/>
            </w:tcBorders>
          </w:tcPr>
          <w:p w14:paraId="61B46BD1"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nil"/>
              <w:left w:val="nil"/>
              <w:bottom w:val="nil"/>
              <w:right w:val="nil"/>
            </w:tcBorders>
          </w:tcPr>
          <w:p w14:paraId="61991A0C"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(-2.78)</w:t>
            </w:r>
          </w:p>
        </w:tc>
        <w:tc>
          <w:tcPr>
            <w:tcW w:w="1688" w:type="dxa"/>
            <w:tcBorders>
              <w:top w:val="nil"/>
              <w:left w:val="nil"/>
              <w:bottom w:val="nil"/>
              <w:right w:val="nil"/>
            </w:tcBorders>
          </w:tcPr>
          <w:p w14:paraId="4989387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(-3.40)</w:t>
            </w:r>
          </w:p>
        </w:tc>
        <w:tc>
          <w:tcPr>
            <w:tcW w:w="1688" w:type="dxa"/>
            <w:tcBorders>
              <w:top w:val="nil"/>
              <w:left w:val="nil"/>
              <w:bottom w:val="nil"/>
              <w:right w:val="nil"/>
            </w:tcBorders>
          </w:tcPr>
          <w:p w14:paraId="30491676"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(-2.69)</w:t>
            </w:r>
          </w:p>
        </w:tc>
        <w:tc>
          <w:tcPr>
            <w:tcW w:w="1688" w:type="dxa"/>
            <w:tcBorders>
              <w:top w:val="nil"/>
              <w:left w:val="nil"/>
              <w:bottom w:val="nil"/>
              <w:right w:val="nil"/>
            </w:tcBorders>
          </w:tcPr>
          <w:p w14:paraId="7EEF7ACA"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(-2.68)</w:t>
            </w:r>
          </w:p>
        </w:tc>
      </w:tr>
      <w:tr w:rsidR="00382C87" w:rsidRPr="001845F3" w14:paraId="2F51F163" w14:textId="77777777" w:rsidTr="00F970C1">
        <w:trPr>
          <w:jc w:val="center"/>
        </w:trPr>
        <w:tc>
          <w:tcPr>
            <w:tcW w:w="0" w:type="auto"/>
            <w:tcBorders>
              <w:top w:val="nil"/>
              <w:left w:val="nil"/>
              <w:bottom w:val="nil"/>
              <w:right w:val="nil"/>
            </w:tcBorders>
          </w:tcPr>
          <w:p w14:paraId="62A82D72"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HR policy</w:t>
            </w:r>
          </w:p>
        </w:tc>
        <w:tc>
          <w:tcPr>
            <w:tcW w:w="1688" w:type="dxa"/>
            <w:tcBorders>
              <w:top w:val="nil"/>
              <w:left w:val="nil"/>
              <w:bottom w:val="nil"/>
              <w:right w:val="nil"/>
            </w:tcBorders>
          </w:tcPr>
          <w:p w14:paraId="68E454C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0.335</w:t>
            </w:r>
            <w:r w:rsidRPr="001845F3">
              <w:rPr>
                <w:rFonts w:cs="Times New Roman"/>
                <w:sz w:val="22"/>
                <w:vertAlign w:val="superscript"/>
              </w:rPr>
              <w:t>**</w:t>
            </w:r>
          </w:p>
        </w:tc>
        <w:tc>
          <w:tcPr>
            <w:tcW w:w="1688" w:type="dxa"/>
            <w:tcBorders>
              <w:top w:val="nil"/>
              <w:left w:val="nil"/>
              <w:bottom w:val="nil"/>
              <w:right w:val="nil"/>
            </w:tcBorders>
          </w:tcPr>
          <w:p w14:paraId="1A94C1B1"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0.912</w:t>
            </w:r>
            <w:r w:rsidRPr="001845F3">
              <w:rPr>
                <w:rFonts w:cs="Times New Roman"/>
                <w:sz w:val="22"/>
                <w:vertAlign w:val="superscript"/>
              </w:rPr>
              <w:t>***</w:t>
            </w:r>
          </w:p>
        </w:tc>
        <w:tc>
          <w:tcPr>
            <w:tcW w:w="1688" w:type="dxa"/>
            <w:tcBorders>
              <w:top w:val="nil"/>
              <w:left w:val="nil"/>
              <w:bottom w:val="nil"/>
              <w:right w:val="nil"/>
            </w:tcBorders>
          </w:tcPr>
          <w:p w14:paraId="57D758A6"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0.779</w:t>
            </w:r>
            <w:r w:rsidRPr="001845F3">
              <w:rPr>
                <w:rFonts w:cs="Times New Roman"/>
                <w:sz w:val="22"/>
                <w:vertAlign w:val="superscript"/>
              </w:rPr>
              <w:t>***</w:t>
            </w:r>
          </w:p>
        </w:tc>
        <w:tc>
          <w:tcPr>
            <w:tcW w:w="1688" w:type="dxa"/>
            <w:tcBorders>
              <w:top w:val="nil"/>
              <w:left w:val="nil"/>
              <w:bottom w:val="nil"/>
              <w:right w:val="nil"/>
            </w:tcBorders>
          </w:tcPr>
          <w:p w14:paraId="7B70BEBA"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0.838</w:t>
            </w:r>
            <w:r w:rsidRPr="001845F3">
              <w:rPr>
                <w:rFonts w:cs="Times New Roman"/>
                <w:sz w:val="22"/>
                <w:vertAlign w:val="superscript"/>
              </w:rPr>
              <w:t>***</w:t>
            </w:r>
          </w:p>
        </w:tc>
      </w:tr>
      <w:tr w:rsidR="00382C87" w:rsidRPr="001845F3" w14:paraId="1A56D6D1" w14:textId="77777777" w:rsidTr="00F970C1">
        <w:trPr>
          <w:jc w:val="center"/>
        </w:trPr>
        <w:tc>
          <w:tcPr>
            <w:tcW w:w="0" w:type="auto"/>
            <w:tcBorders>
              <w:top w:val="nil"/>
              <w:left w:val="nil"/>
              <w:bottom w:val="nil"/>
              <w:right w:val="nil"/>
            </w:tcBorders>
          </w:tcPr>
          <w:p w14:paraId="75A63AB4"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nil"/>
              <w:left w:val="nil"/>
              <w:bottom w:val="nil"/>
              <w:right w:val="nil"/>
            </w:tcBorders>
          </w:tcPr>
          <w:p w14:paraId="05270022"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(3.01)</w:t>
            </w:r>
          </w:p>
        </w:tc>
        <w:tc>
          <w:tcPr>
            <w:tcW w:w="1688" w:type="dxa"/>
            <w:tcBorders>
              <w:top w:val="nil"/>
              <w:left w:val="nil"/>
              <w:bottom w:val="nil"/>
              <w:right w:val="nil"/>
            </w:tcBorders>
          </w:tcPr>
          <w:p w14:paraId="443CCBD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(5.36)</w:t>
            </w:r>
          </w:p>
        </w:tc>
        <w:tc>
          <w:tcPr>
            <w:tcW w:w="1688" w:type="dxa"/>
            <w:tcBorders>
              <w:top w:val="nil"/>
              <w:left w:val="nil"/>
              <w:bottom w:val="nil"/>
              <w:right w:val="nil"/>
            </w:tcBorders>
          </w:tcPr>
          <w:p w14:paraId="6B6455AF"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(4.51)</w:t>
            </w:r>
          </w:p>
        </w:tc>
        <w:tc>
          <w:tcPr>
            <w:tcW w:w="1688" w:type="dxa"/>
            <w:tcBorders>
              <w:top w:val="nil"/>
              <w:left w:val="nil"/>
              <w:bottom w:val="nil"/>
              <w:right w:val="nil"/>
            </w:tcBorders>
          </w:tcPr>
          <w:p w14:paraId="03381A55"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(4.99)</w:t>
            </w:r>
          </w:p>
        </w:tc>
      </w:tr>
      <w:tr w:rsidR="00382C87" w:rsidRPr="001845F3" w14:paraId="4A2D2B85" w14:textId="77777777" w:rsidTr="00F970C1">
        <w:trPr>
          <w:jc w:val="center"/>
        </w:trPr>
        <w:tc>
          <w:tcPr>
            <w:tcW w:w="0" w:type="auto"/>
            <w:tcBorders>
              <w:top w:val="nil"/>
              <w:left w:val="nil"/>
              <w:bottom w:val="nil"/>
              <w:right w:val="nil"/>
            </w:tcBorders>
          </w:tcPr>
          <w:p w14:paraId="107BE2A7"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Written contract</w:t>
            </w:r>
          </w:p>
        </w:tc>
        <w:tc>
          <w:tcPr>
            <w:tcW w:w="1688" w:type="dxa"/>
            <w:tcBorders>
              <w:top w:val="nil"/>
              <w:left w:val="nil"/>
              <w:bottom w:val="nil"/>
              <w:right w:val="nil"/>
            </w:tcBorders>
          </w:tcPr>
          <w:p w14:paraId="7BB2D929"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-0.140</w:t>
            </w:r>
          </w:p>
        </w:tc>
        <w:tc>
          <w:tcPr>
            <w:tcW w:w="1688" w:type="dxa"/>
            <w:tcBorders>
              <w:top w:val="nil"/>
              <w:left w:val="nil"/>
              <w:bottom w:val="nil"/>
              <w:right w:val="nil"/>
            </w:tcBorders>
          </w:tcPr>
          <w:p w14:paraId="1741F87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-0.0399</w:t>
            </w:r>
          </w:p>
        </w:tc>
        <w:tc>
          <w:tcPr>
            <w:tcW w:w="1688" w:type="dxa"/>
            <w:tcBorders>
              <w:top w:val="nil"/>
              <w:left w:val="nil"/>
              <w:bottom w:val="nil"/>
              <w:right w:val="nil"/>
            </w:tcBorders>
          </w:tcPr>
          <w:p w14:paraId="58E525AC"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-0.240</w:t>
            </w:r>
          </w:p>
        </w:tc>
        <w:tc>
          <w:tcPr>
            <w:tcW w:w="1688" w:type="dxa"/>
            <w:tcBorders>
              <w:top w:val="nil"/>
              <w:left w:val="nil"/>
              <w:bottom w:val="nil"/>
              <w:right w:val="nil"/>
            </w:tcBorders>
          </w:tcPr>
          <w:p w14:paraId="69E325C7"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0.00936</w:t>
            </w:r>
          </w:p>
        </w:tc>
      </w:tr>
      <w:tr w:rsidR="00382C87" w:rsidRPr="001845F3" w14:paraId="1C209E39" w14:textId="77777777" w:rsidTr="00F970C1">
        <w:trPr>
          <w:jc w:val="center"/>
        </w:trPr>
        <w:tc>
          <w:tcPr>
            <w:tcW w:w="0" w:type="auto"/>
            <w:tcBorders>
              <w:top w:val="nil"/>
              <w:left w:val="nil"/>
              <w:bottom w:val="nil"/>
              <w:right w:val="nil"/>
            </w:tcBorders>
          </w:tcPr>
          <w:p w14:paraId="41EB5A31"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nil"/>
              <w:left w:val="nil"/>
              <w:bottom w:val="nil"/>
              <w:right w:val="nil"/>
            </w:tcBorders>
          </w:tcPr>
          <w:p w14:paraId="7CEFF193"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(-1.07)</w:t>
            </w:r>
          </w:p>
        </w:tc>
        <w:tc>
          <w:tcPr>
            <w:tcW w:w="1688" w:type="dxa"/>
            <w:tcBorders>
              <w:top w:val="nil"/>
              <w:left w:val="nil"/>
              <w:bottom w:val="nil"/>
              <w:right w:val="nil"/>
            </w:tcBorders>
          </w:tcPr>
          <w:p w14:paraId="1C138433"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(-0.06)</w:t>
            </w:r>
          </w:p>
        </w:tc>
        <w:tc>
          <w:tcPr>
            <w:tcW w:w="1688" w:type="dxa"/>
            <w:tcBorders>
              <w:top w:val="nil"/>
              <w:left w:val="nil"/>
              <w:bottom w:val="nil"/>
              <w:right w:val="nil"/>
            </w:tcBorders>
          </w:tcPr>
          <w:p w14:paraId="33C34C4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(-0.36)</w:t>
            </w:r>
          </w:p>
        </w:tc>
        <w:tc>
          <w:tcPr>
            <w:tcW w:w="1688" w:type="dxa"/>
            <w:tcBorders>
              <w:top w:val="nil"/>
              <w:left w:val="nil"/>
              <w:bottom w:val="nil"/>
              <w:right w:val="nil"/>
            </w:tcBorders>
          </w:tcPr>
          <w:p w14:paraId="6653138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(0.01)</w:t>
            </w:r>
          </w:p>
        </w:tc>
      </w:tr>
      <w:tr w:rsidR="00382C87" w:rsidRPr="001845F3" w14:paraId="30CB003F" w14:textId="77777777" w:rsidTr="00F970C1">
        <w:trPr>
          <w:jc w:val="center"/>
        </w:trPr>
        <w:tc>
          <w:tcPr>
            <w:tcW w:w="0" w:type="auto"/>
            <w:tcBorders>
              <w:top w:val="nil"/>
              <w:left w:val="nil"/>
              <w:bottom w:val="nil"/>
              <w:right w:val="nil"/>
            </w:tcBorders>
          </w:tcPr>
          <w:p w14:paraId="2A62C06F"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Training</w:t>
            </w:r>
          </w:p>
        </w:tc>
        <w:tc>
          <w:tcPr>
            <w:tcW w:w="1688" w:type="dxa"/>
            <w:tcBorders>
              <w:top w:val="nil"/>
              <w:left w:val="nil"/>
              <w:bottom w:val="nil"/>
              <w:right w:val="nil"/>
            </w:tcBorders>
          </w:tcPr>
          <w:p w14:paraId="297D1FF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0.0390</w:t>
            </w:r>
          </w:p>
        </w:tc>
        <w:tc>
          <w:tcPr>
            <w:tcW w:w="1688" w:type="dxa"/>
            <w:tcBorders>
              <w:top w:val="nil"/>
              <w:left w:val="nil"/>
              <w:bottom w:val="nil"/>
              <w:right w:val="nil"/>
            </w:tcBorders>
          </w:tcPr>
          <w:p w14:paraId="4041198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0.379</w:t>
            </w:r>
            <w:r w:rsidRPr="001845F3">
              <w:rPr>
                <w:rFonts w:cs="Times New Roman"/>
                <w:sz w:val="22"/>
                <w:vertAlign w:val="superscript"/>
              </w:rPr>
              <w:t>*</w:t>
            </w:r>
          </w:p>
        </w:tc>
        <w:tc>
          <w:tcPr>
            <w:tcW w:w="1688" w:type="dxa"/>
            <w:tcBorders>
              <w:top w:val="nil"/>
              <w:left w:val="nil"/>
              <w:bottom w:val="nil"/>
              <w:right w:val="nil"/>
            </w:tcBorders>
          </w:tcPr>
          <w:p w14:paraId="1C7E44F7"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0.319</w:t>
            </w:r>
            <w:r w:rsidRPr="001845F3">
              <w:rPr>
                <w:rFonts w:cs="Times New Roman"/>
                <w:sz w:val="22"/>
                <w:vertAlign w:val="superscript"/>
              </w:rPr>
              <w:t>*</w:t>
            </w:r>
          </w:p>
        </w:tc>
        <w:tc>
          <w:tcPr>
            <w:tcW w:w="1688" w:type="dxa"/>
            <w:tcBorders>
              <w:top w:val="nil"/>
              <w:left w:val="nil"/>
              <w:bottom w:val="nil"/>
              <w:right w:val="nil"/>
            </w:tcBorders>
          </w:tcPr>
          <w:p w14:paraId="33286C2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0.411</w:t>
            </w:r>
            <w:r w:rsidRPr="001845F3">
              <w:rPr>
                <w:rFonts w:cs="Times New Roman"/>
                <w:sz w:val="22"/>
                <w:vertAlign w:val="superscript"/>
              </w:rPr>
              <w:t>**</w:t>
            </w:r>
          </w:p>
        </w:tc>
      </w:tr>
      <w:tr w:rsidR="00382C87" w:rsidRPr="001845F3" w14:paraId="5E37B5B7" w14:textId="77777777" w:rsidTr="00F970C1">
        <w:trPr>
          <w:jc w:val="center"/>
        </w:trPr>
        <w:tc>
          <w:tcPr>
            <w:tcW w:w="0" w:type="auto"/>
            <w:tcBorders>
              <w:top w:val="nil"/>
              <w:left w:val="nil"/>
              <w:bottom w:val="nil"/>
              <w:right w:val="nil"/>
            </w:tcBorders>
          </w:tcPr>
          <w:p w14:paraId="76D53B10"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nil"/>
              <w:left w:val="nil"/>
              <w:bottom w:val="nil"/>
              <w:right w:val="nil"/>
            </w:tcBorders>
          </w:tcPr>
          <w:p w14:paraId="6D47CE45"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(0.38)</w:t>
            </w:r>
          </w:p>
        </w:tc>
        <w:tc>
          <w:tcPr>
            <w:tcW w:w="1688" w:type="dxa"/>
            <w:tcBorders>
              <w:top w:val="nil"/>
              <w:left w:val="nil"/>
              <w:bottom w:val="nil"/>
              <w:right w:val="nil"/>
            </w:tcBorders>
          </w:tcPr>
          <w:p w14:paraId="76C117D6"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(2.44)</w:t>
            </w:r>
          </w:p>
        </w:tc>
        <w:tc>
          <w:tcPr>
            <w:tcW w:w="1688" w:type="dxa"/>
            <w:tcBorders>
              <w:top w:val="nil"/>
              <w:left w:val="nil"/>
              <w:bottom w:val="nil"/>
              <w:right w:val="nil"/>
            </w:tcBorders>
          </w:tcPr>
          <w:p w14:paraId="68BC66CC"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(2.08)</w:t>
            </w:r>
          </w:p>
        </w:tc>
        <w:tc>
          <w:tcPr>
            <w:tcW w:w="1688" w:type="dxa"/>
            <w:tcBorders>
              <w:top w:val="nil"/>
              <w:left w:val="nil"/>
              <w:bottom w:val="nil"/>
              <w:right w:val="nil"/>
            </w:tcBorders>
          </w:tcPr>
          <w:p w14:paraId="1EC09C45"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(2.70)</w:t>
            </w:r>
          </w:p>
        </w:tc>
      </w:tr>
      <w:tr w:rsidR="00382C87" w:rsidRPr="001845F3" w14:paraId="73E78A1E" w14:textId="77777777" w:rsidTr="00F970C1">
        <w:trPr>
          <w:jc w:val="center"/>
        </w:trPr>
        <w:tc>
          <w:tcPr>
            <w:tcW w:w="0" w:type="auto"/>
            <w:tcBorders>
              <w:top w:val="nil"/>
              <w:left w:val="nil"/>
              <w:bottom w:val="nil"/>
              <w:right w:val="nil"/>
            </w:tcBorders>
          </w:tcPr>
          <w:p w14:paraId="1A432598"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Bonus system</w:t>
            </w:r>
          </w:p>
        </w:tc>
        <w:tc>
          <w:tcPr>
            <w:tcW w:w="1688" w:type="dxa"/>
            <w:tcBorders>
              <w:top w:val="nil"/>
              <w:left w:val="nil"/>
              <w:bottom w:val="nil"/>
              <w:right w:val="nil"/>
            </w:tcBorders>
          </w:tcPr>
          <w:p w14:paraId="1D05F237"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-0.0981</w:t>
            </w:r>
          </w:p>
        </w:tc>
        <w:tc>
          <w:tcPr>
            <w:tcW w:w="1688" w:type="dxa"/>
            <w:tcBorders>
              <w:top w:val="nil"/>
              <w:left w:val="nil"/>
              <w:bottom w:val="nil"/>
              <w:right w:val="nil"/>
            </w:tcBorders>
          </w:tcPr>
          <w:p w14:paraId="0829F217"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-0.379</w:t>
            </w:r>
            <w:r w:rsidRPr="001845F3">
              <w:rPr>
                <w:rFonts w:cs="Times New Roman"/>
                <w:sz w:val="22"/>
                <w:vertAlign w:val="superscript"/>
              </w:rPr>
              <w:t>**</w:t>
            </w:r>
          </w:p>
        </w:tc>
        <w:tc>
          <w:tcPr>
            <w:tcW w:w="1688" w:type="dxa"/>
            <w:tcBorders>
              <w:top w:val="nil"/>
              <w:left w:val="nil"/>
              <w:bottom w:val="nil"/>
              <w:right w:val="nil"/>
            </w:tcBorders>
          </w:tcPr>
          <w:p w14:paraId="4C39021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-0.337</w:t>
            </w:r>
            <w:r w:rsidRPr="001845F3">
              <w:rPr>
                <w:rFonts w:cs="Times New Roman"/>
                <w:sz w:val="22"/>
                <w:vertAlign w:val="superscript"/>
              </w:rPr>
              <w:t>*</w:t>
            </w:r>
          </w:p>
        </w:tc>
        <w:tc>
          <w:tcPr>
            <w:tcW w:w="1688" w:type="dxa"/>
            <w:tcBorders>
              <w:top w:val="nil"/>
              <w:left w:val="nil"/>
              <w:bottom w:val="nil"/>
              <w:right w:val="nil"/>
            </w:tcBorders>
          </w:tcPr>
          <w:p w14:paraId="421327B8"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-0.387</w:t>
            </w:r>
            <w:r w:rsidRPr="001845F3">
              <w:rPr>
                <w:rFonts w:cs="Times New Roman"/>
                <w:sz w:val="22"/>
                <w:vertAlign w:val="superscript"/>
              </w:rPr>
              <w:t>**</w:t>
            </w:r>
          </w:p>
        </w:tc>
      </w:tr>
      <w:tr w:rsidR="00382C87" w:rsidRPr="001845F3" w14:paraId="6B91E39E" w14:textId="77777777" w:rsidTr="00F970C1">
        <w:trPr>
          <w:jc w:val="center"/>
        </w:trPr>
        <w:tc>
          <w:tcPr>
            <w:tcW w:w="0" w:type="auto"/>
            <w:tcBorders>
              <w:top w:val="nil"/>
              <w:left w:val="nil"/>
              <w:bottom w:val="nil"/>
              <w:right w:val="nil"/>
            </w:tcBorders>
          </w:tcPr>
          <w:p w14:paraId="14AA9DA8"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nil"/>
              <w:left w:val="nil"/>
              <w:bottom w:val="nil"/>
              <w:right w:val="nil"/>
            </w:tcBorders>
          </w:tcPr>
          <w:p w14:paraId="706EFA23"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(-0.96)</w:t>
            </w:r>
          </w:p>
        </w:tc>
        <w:tc>
          <w:tcPr>
            <w:tcW w:w="1688" w:type="dxa"/>
            <w:tcBorders>
              <w:top w:val="nil"/>
              <w:left w:val="nil"/>
              <w:bottom w:val="nil"/>
              <w:right w:val="nil"/>
            </w:tcBorders>
          </w:tcPr>
          <w:p w14:paraId="6C7F1530"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(-2.62)</w:t>
            </w:r>
          </w:p>
        </w:tc>
        <w:tc>
          <w:tcPr>
            <w:tcW w:w="1688" w:type="dxa"/>
            <w:tcBorders>
              <w:top w:val="nil"/>
              <w:left w:val="nil"/>
              <w:bottom w:val="nil"/>
              <w:right w:val="nil"/>
            </w:tcBorders>
          </w:tcPr>
          <w:p w14:paraId="625CB1AB"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(-2.29)</w:t>
            </w:r>
          </w:p>
        </w:tc>
        <w:tc>
          <w:tcPr>
            <w:tcW w:w="1688" w:type="dxa"/>
            <w:tcBorders>
              <w:top w:val="nil"/>
              <w:left w:val="nil"/>
              <w:bottom w:val="nil"/>
              <w:right w:val="nil"/>
            </w:tcBorders>
          </w:tcPr>
          <w:p w14:paraId="1918E83B"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(-2.67)</w:t>
            </w:r>
          </w:p>
        </w:tc>
      </w:tr>
      <w:tr w:rsidR="00382C87" w:rsidRPr="001845F3" w14:paraId="25320AC3" w14:textId="77777777" w:rsidTr="00F970C1">
        <w:trPr>
          <w:jc w:val="center"/>
        </w:trPr>
        <w:tc>
          <w:tcPr>
            <w:tcW w:w="0" w:type="auto"/>
            <w:tcBorders>
              <w:top w:val="nil"/>
              <w:left w:val="nil"/>
              <w:bottom w:val="nil"/>
              <w:right w:val="nil"/>
            </w:tcBorders>
          </w:tcPr>
          <w:p w14:paraId="56D6097A"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Exporter</w:t>
            </w:r>
          </w:p>
        </w:tc>
        <w:tc>
          <w:tcPr>
            <w:tcW w:w="1688" w:type="dxa"/>
            <w:tcBorders>
              <w:top w:val="nil"/>
              <w:left w:val="nil"/>
              <w:bottom w:val="nil"/>
              <w:right w:val="nil"/>
            </w:tcBorders>
          </w:tcPr>
          <w:p w14:paraId="6C366881"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0.196</w:t>
            </w:r>
          </w:p>
        </w:tc>
        <w:tc>
          <w:tcPr>
            <w:tcW w:w="1688" w:type="dxa"/>
            <w:tcBorders>
              <w:top w:val="nil"/>
              <w:left w:val="nil"/>
              <w:bottom w:val="nil"/>
              <w:right w:val="nil"/>
            </w:tcBorders>
          </w:tcPr>
          <w:p w14:paraId="7E541F3C"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0.300</w:t>
            </w:r>
          </w:p>
        </w:tc>
        <w:tc>
          <w:tcPr>
            <w:tcW w:w="1688" w:type="dxa"/>
            <w:tcBorders>
              <w:top w:val="nil"/>
              <w:left w:val="nil"/>
              <w:bottom w:val="nil"/>
              <w:right w:val="nil"/>
            </w:tcBorders>
          </w:tcPr>
          <w:p w14:paraId="7C3F4318"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0.0820</w:t>
            </w:r>
          </w:p>
        </w:tc>
        <w:tc>
          <w:tcPr>
            <w:tcW w:w="1688" w:type="dxa"/>
            <w:tcBorders>
              <w:top w:val="nil"/>
              <w:left w:val="nil"/>
              <w:bottom w:val="nil"/>
              <w:right w:val="nil"/>
            </w:tcBorders>
          </w:tcPr>
          <w:p w14:paraId="21FDEB21"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0.189</w:t>
            </w:r>
          </w:p>
        </w:tc>
      </w:tr>
      <w:tr w:rsidR="00382C87" w:rsidRPr="001845F3" w14:paraId="79FB14B5" w14:textId="77777777" w:rsidTr="00F970C1">
        <w:trPr>
          <w:jc w:val="center"/>
        </w:trPr>
        <w:tc>
          <w:tcPr>
            <w:tcW w:w="0" w:type="auto"/>
            <w:tcBorders>
              <w:top w:val="nil"/>
              <w:left w:val="nil"/>
              <w:bottom w:val="nil"/>
              <w:right w:val="nil"/>
            </w:tcBorders>
          </w:tcPr>
          <w:p w14:paraId="0BD3900B"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nil"/>
              <w:left w:val="nil"/>
              <w:bottom w:val="nil"/>
              <w:right w:val="nil"/>
            </w:tcBorders>
          </w:tcPr>
          <w:p w14:paraId="4E49A81F"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(1.41)</w:t>
            </w:r>
          </w:p>
        </w:tc>
        <w:tc>
          <w:tcPr>
            <w:tcW w:w="1688" w:type="dxa"/>
            <w:tcBorders>
              <w:top w:val="nil"/>
              <w:left w:val="nil"/>
              <w:bottom w:val="nil"/>
              <w:right w:val="nil"/>
            </w:tcBorders>
          </w:tcPr>
          <w:p w14:paraId="7AC39AF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(1.42)</w:t>
            </w:r>
          </w:p>
        </w:tc>
        <w:tc>
          <w:tcPr>
            <w:tcW w:w="1688" w:type="dxa"/>
            <w:tcBorders>
              <w:top w:val="nil"/>
              <w:left w:val="nil"/>
              <w:bottom w:val="nil"/>
              <w:right w:val="nil"/>
            </w:tcBorders>
          </w:tcPr>
          <w:p w14:paraId="3D1C7FD9"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(0.39)</w:t>
            </w:r>
          </w:p>
        </w:tc>
        <w:tc>
          <w:tcPr>
            <w:tcW w:w="1688" w:type="dxa"/>
            <w:tcBorders>
              <w:top w:val="nil"/>
              <w:left w:val="nil"/>
              <w:bottom w:val="nil"/>
              <w:right w:val="nil"/>
            </w:tcBorders>
          </w:tcPr>
          <w:p w14:paraId="09616F6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(0.90)</w:t>
            </w:r>
          </w:p>
        </w:tc>
      </w:tr>
      <w:tr w:rsidR="00382C87" w:rsidRPr="001845F3" w14:paraId="13A3EAA6" w14:textId="77777777" w:rsidTr="00F970C1">
        <w:trPr>
          <w:jc w:val="center"/>
        </w:trPr>
        <w:tc>
          <w:tcPr>
            <w:tcW w:w="0" w:type="auto"/>
            <w:tcBorders>
              <w:top w:val="nil"/>
              <w:left w:val="nil"/>
              <w:bottom w:val="nil"/>
              <w:right w:val="nil"/>
            </w:tcBorders>
          </w:tcPr>
          <w:p w14:paraId="30566B9A"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Foreign</w:t>
            </w:r>
          </w:p>
        </w:tc>
        <w:tc>
          <w:tcPr>
            <w:tcW w:w="1688" w:type="dxa"/>
            <w:tcBorders>
              <w:top w:val="nil"/>
              <w:left w:val="nil"/>
              <w:bottom w:val="nil"/>
              <w:right w:val="nil"/>
            </w:tcBorders>
          </w:tcPr>
          <w:p w14:paraId="7E6AB28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-0.0609</w:t>
            </w:r>
          </w:p>
        </w:tc>
        <w:tc>
          <w:tcPr>
            <w:tcW w:w="1688" w:type="dxa"/>
            <w:tcBorders>
              <w:top w:val="nil"/>
              <w:left w:val="nil"/>
              <w:bottom w:val="nil"/>
              <w:right w:val="nil"/>
            </w:tcBorders>
          </w:tcPr>
          <w:p w14:paraId="5E50F9F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-0.661</w:t>
            </w:r>
            <w:r w:rsidRPr="001845F3">
              <w:rPr>
                <w:rFonts w:cs="Times New Roman"/>
                <w:sz w:val="22"/>
                <w:vertAlign w:val="superscript"/>
              </w:rPr>
              <w:t>*</w:t>
            </w:r>
          </w:p>
        </w:tc>
        <w:tc>
          <w:tcPr>
            <w:tcW w:w="1688" w:type="dxa"/>
            <w:tcBorders>
              <w:top w:val="nil"/>
              <w:left w:val="nil"/>
              <w:bottom w:val="nil"/>
              <w:right w:val="nil"/>
            </w:tcBorders>
          </w:tcPr>
          <w:p w14:paraId="6391F5F5"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-0.643</w:t>
            </w:r>
            <w:r w:rsidRPr="001845F3">
              <w:rPr>
                <w:rFonts w:cs="Times New Roman"/>
                <w:sz w:val="22"/>
                <w:vertAlign w:val="superscript"/>
              </w:rPr>
              <w:t>*</w:t>
            </w:r>
          </w:p>
        </w:tc>
        <w:tc>
          <w:tcPr>
            <w:tcW w:w="1688" w:type="dxa"/>
            <w:tcBorders>
              <w:top w:val="nil"/>
              <w:left w:val="nil"/>
              <w:bottom w:val="nil"/>
              <w:right w:val="nil"/>
            </w:tcBorders>
          </w:tcPr>
          <w:p w14:paraId="71959C8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-0.647</w:t>
            </w:r>
            <w:r w:rsidRPr="001845F3">
              <w:rPr>
                <w:rFonts w:cs="Times New Roman"/>
                <w:sz w:val="22"/>
                <w:vertAlign w:val="superscript"/>
              </w:rPr>
              <w:t>*</w:t>
            </w:r>
          </w:p>
        </w:tc>
      </w:tr>
      <w:tr w:rsidR="00382C87" w:rsidRPr="001845F3" w14:paraId="0D5EA70A" w14:textId="77777777" w:rsidTr="00F970C1">
        <w:trPr>
          <w:jc w:val="center"/>
        </w:trPr>
        <w:tc>
          <w:tcPr>
            <w:tcW w:w="0" w:type="auto"/>
            <w:tcBorders>
              <w:top w:val="nil"/>
              <w:left w:val="nil"/>
              <w:bottom w:val="single" w:sz="4" w:space="0" w:color="auto"/>
              <w:right w:val="nil"/>
            </w:tcBorders>
          </w:tcPr>
          <w:p w14:paraId="126DADE9"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nil"/>
              <w:left w:val="nil"/>
              <w:bottom w:val="single" w:sz="4" w:space="0" w:color="auto"/>
              <w:right w:val="nil"/>
            </w:tcBorders>
          </w:tcPr>
          <w:p w14:paraId="14B581B0"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(-0.36)</w:t>
            </w:r>
          </w:p>
        </w:tc>
        <w:tc>
          <w:tcPr>
            <w:tcW w:w="1688" w:type="dxa"/>
            <w:tcBorders>
              <w:top w:val="nil"/>
              <w:left w:val="nil"/>
              <w:bottom w:val="single" w:sz="4" w:space="0" w:color="auto"/>
              <w:right w:val="nil"/>
            </w:tcBorders>
          </w:tcPr>
          <w:p w14:paraId="123CFFB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(-2.24)</w:t>
            </w:r>
          </w:p>
        </w:tc>
        <w:tc>
          <w:tcPr>
            <w:tcW w:w="1688" w:type="dxa"/>
            <w:tcBorders>
              <w:top w:val="nil"/>
              <w:left w:val="nil"/>
              <w:bottom w:val="single" w:sz="4" w:space="0" w:color="auto"/>
              <w:right w:val="nil"/>
            </w:tcBorders>
          </w:tcPr>
          <w:p w14:paraId="492A49CC"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(-2.18)</w:t>
            </w:r>
          </w:p>
        </w:tc>
        <w:tc>
          <w:tcPr>
            <w:tcW w:w="1688" w:type="dxa"/>
            <w:tcBorders>
              <w:top w:val="nil"/>
              <w:left w:val="nil"/>
              <w:bottom w:val="single" w:sz="4" w:space="0" w:color="auto"/>
              <w:right w:val="nil"/>
            </w:tcBorders>
          </w:tcPr>
          <w:p w14:paraId="765DF3CB"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(-2.20)</w:t>
            </w:r>
          </w:p>
        </w:tc>
      </w:tr>
      <w:tr w:rsidR="00382C87" w:rsidRPr="001845F3" w14:paraId="467AB4AA" w14:textId="77777777" w:rsidTr="00F970C1">
        <w:trPr>
          <w:jc w:val="center"/>
        </w:trPr>
        <w:tc>
          <w:tcPr>
            <w:tcW w:w="0" w:type="auto"/>
            <w:tcBorders>
              <w:top w:val="single" w:sz="4" w:space="0" w:color="auto"/>
              <w:left w:val="nil"/>
              <w:bottom w:val="nil"/>
              <w:right w:val="nil"/>
            </w:tcBorders>
          </w:tcPr>
          <w:p w14:paraId="033ADA84"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Constant</w:t>
            </w:r>
          </w:p>
        </w:tc>
        <w:tc>
          <w:tcPr>
            <w:tcW w:w="1688" w:type="dxa"/>
            <w:tcBorders>
              <w:top w:val="single" w:sz="4" w:space="0" w:color="auto"/>
              <w:left w:val="nil"/>
              <w:bottom w:val="nil"/>
              <w:right w:val="nil"/>
            </w:tcBorders>
          </w:tcPr>
          <w:p w14:paraId="03DDB00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1.217</w:t>
            </w:r>
            <w:r w:rsidRPr="001845F3">
              <w:rPr>
                <w:rFonts w:cs="Times New Roman"/>
                <w:sz w:val="22"/>
                <w:vertAlign w:val="superscript"/>
              </w:rPr>
              <w:t>***</w:t>
            </w:r>
          </w:p>
        </w:tc>
        <w:tc>
          <w:tcPr>
            <w:tcW w:w="1688" w:type="dxa"/>
            <w:tcBorders>
              <w:top w:val="single" w:sz="4" w:space="0" w:color="auto"/>
              <w:left w:val="nil"/>
              <w:bottom w:val="nil"/>
              <w:right w:val="nil"/>
            </w:tcBorders>
          </w:tcPr>
          <w:p w14:paraId="6AB7C21B"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0.828</w:t>
            </w:r>
            <w:r w:rsidRPr="001845F3">
              <w:rPr>
                <w:rFonts w:cs="Times New Roman"/>
                <w:sz w:val="22"/>
                <w:vertAlign w:val="superscript"/>
              </w:rPr>
              <w:t>**</w:t>
            </w:r>
          </w:p>
        </w:tc>
        <w:tc>
          <w:tcPr>
            <w:tcW w:w="1688" w:type="dxa"/>
            <w:tcBorders>
              <w:top w:val="single" w:sz="4" w:space="0" w:color="auto"/>
              <w:left w:val="nil"/>
              <w:bottom w:val="nil"/>
              <w:right w:val="nil"/>
            </w:tcBorders>
          </w:tcPr>
          <w:p w14:paraId="269E7F69"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0.0602</w:t>
            </w:r>
          </w:p>
        </w:tc>
        <w:tc>
          <w:tcPr>
            <w:tcW w:w="1688" w:type="dxa"/>
            <w:tcBorders>
              <w:top w:val="single" w:sz="4" w:space="0" w:color="auto"/>
              <w:left w:val="nil"/>
              <w:bottom w:val="nil"/>
              <w:right w:val="nil"/>
            </w:tcBorders>
          </w:tcPr>
          <w:p w14:paraId="298AA222"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0.117</w:t>
            </w:r>
          </w:p>
        </w:tc>
      </w:tr>
      <w:tr w:rsidR="00382C87" w:rsidRPr="001845F3" w14:paraId="010668BD" w14:textId="77777777" w:rsidTr="00F970C1">
        <w:trPr>
          <w:jc w:val="center"/>
        </w:trPr>
        <w:tc>
          <w:tcPr>
            <w:tcW w:w="0" w:type="auto"/>
            <w:tcBorders>
              <w:top w:val="nil"/>
              <w:left w:val="nil"/>
              <w:bottom w:val="single" w:sz="4" w:space="0" w:color="auto"/>
              <w:right w:val="nil"/>
            </w:tcBorders>
          </w:tcPr>
          <w:p w14:paraId="6C71AE14"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p>
        </w:tc>
        <w:tc>
          <w:tcPr>
            <w:tcW w:w="1688" w:type="dxa"/>
            <w:tcBorders>
              <w:top w:val="nil"/>
              <w:left w:val="nil"/>
              <w:bottom w:val="single" w:sz="4" w:space="0" w:color="auto"/>
              <w:right w:val="nil"/>
            </w:tcBorders>
          </w:tcPr>
          <w:p w14:paraId="60302AAD"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(6.85)</w:t>
            </w:r>
          </w:p>
        </w:tc>
        <w:tc>
          <w:tcPr>
            <w:tcW w:w="1688" w:type="dxa"/>
            <w:tcBorders>
              <w:top w:val="nil"/>
              <w:left w:val="nil"/>
              <w:bottom w:val="single" w:sz="4" w:space="0" w:color="auto"/>
              <w:right w:val="nil"/>
            </w:tcBorders>
          </w:tcPr>
          <w:p w14:paraId="32E220F7"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(2.89)</w:t>
            </w:r>
          </w:p>
        </w:tc>
        <w:tc>
          <w:tcPr>
            <w:tcW w:w="1688" w:type="dxa"/>
            <w:tcBorders>
              <w:top w:val="nil"/>
              <w:left w:val="nil"/>
              <w:bottom w:val="single" w:sz="4" w:space="0" w:color="auto"/>
              <w:right w:val="nil"/>
            </w:tcBorders>
          </w:tcPr>
          <w:p w14:paraId="28176FB6"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(0.18)</w:t>
            </w:r>
          </w:p>
        </w:tc>
        <w:tc>
          <w:tcPr>
            <w:tcW w:w="1688" w:type="dxa"/>
            <w:tcBorders>
              <w:top w:val="nil"/>
              <w:left w:val="nil"/>
              <w:bottom w:val="single" w:sz="4" w:space="0" w:color="auto"/>
              <w:right w:val="nil"/>
            </w:tcBorders>
          </w:tcPr>
          <w:p w14:paraId="262553A3"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(0.36)</w:t>
            </w:r>
          </w:p>
        </w:tc>
      </w:tr>
      <w:tr w:rsidR="00382C87" w:rsidRPr="001845F3" w14:paraId="2D4C1BE0" w14:textId="77777777" w:rsidTr="00F970C1">
        <w:trPr>
          <w:jc w:val="center"/>
        </w:trPr>
        <w:tc>
          <w:tcPr>
            <w:tcW w:w="0" w:type="auto"/>
            <w:tcBorders>
              <w:top w:val="single" w:sz="4" w:space="0" w:color="auto"/>
              <w:left w:val="nil"/>
              <w:right w:val="nil"/>
            </w:tcBorders>
          </w:tcPr>
          <w:p w14:paraId="6DECC9F0" w14:textId="009FD114"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 xml:space="preserve">Dummy </w:t>
            </w:r>
            <w:r w:rsidR="00B30A18">
              <w:rPr>
                <w:rFonts w:cs="Times New Roman"/>
                <w:sz w:val="22"/>
              </w:rPr>
              <w:t>r</w:t>
            </w:r>
            <w:r w:rsidRPr="001845F3">
              <w:rPr>
                <w:rFonts w:cs="Times New Roman"/>
                <w:sz w:val="22"/>
              </w:rPr>
              <w:t>egion</w:t>
            </w:r>
          </w:p>
        </w:tc>
        <w:tc>
          <w:tcPr>
            <w:tcW w:w="1688" w:type="dxa"/>
            <w:tcBorders>
              <w:top w:val="single" w:sz="4" w:space="0" w:color="auto"/>
              <w:left w:val="nil"/>
              <w:right w:val="nil"/>
            </w:tcBorders>
          </w:tcPr>
          <w:p w14:paraId="300BEDA2"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No</w:t>
            </w:r>
          </w:p>
        </w:tc>
        <w:tc>
          <w:tcPr>
            <w:tcW w:w="1688" w:type="dxa"/>
            <w:tcBorders>
              <w:top w:val="single" w:sz="4" w:space="0" w:color="auto"/>
              <w:left w:val="nil"/>
              <w:right w:val="nil"/>
            </w:tcBorders>
          </w:tcPr>
          <w:p w14:paraId="54A81F04"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No</w:t>
            </w:r>
          </w:p>
        </w:tc>
        <w:tc>
          <w:tcPr>
            <w:tcW w:w="1688" w:type="dxa"/>
            <w:tcBorders>
              <w:top w:val="single" w:sz="4" w:space="0" w:color="auto"/>
              <w:left w:val="nil"/>
              <w:right w:val="nil"/>
            </w:tcBorders>
          </w:tcPr>
          <w:p w14:paraId="50BABB03"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No</w:t>
            </w:r>
          </w:p>
        </w:tc>
        <w:tc>
          <w:tcPr>
            <w:tcW w:w="1688" w:type="dxa"/>
            <w:tcBorders>
              <w:top w:val="single" w:sz="4" w:space="0" w:color="auto"/>
              <w:left w:val="nil"/>
              <w:right w:val="nil"/>
            </w:tcBorders>
          </w:tcPr>
          <w:p w14:paraId="26A544C6"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Yes</w:t>
            </w:r>
          </w:p>
        </w:tc>
      </w:tr>
      <w:tr w:rsidR="00382C87" w:rsidRPr="001845F3" w14:paraId="31363EDB" w14:textId="77777777" w:rsidTr="00F970C1">
        <w:trPr>
          <w:jc w:val="center"/>
        </w:trPr>
        <w:tc>
          <w:tcPr>
            <w:tcW w:w="0" w:type="auto"/>
            <w:tcBorders>
              <w:top w:val="nil"/>
              <w:left w:val="nil"/>
              <w:bottom w:val="single" w:sz="4" w:space="0" w:color="auto"/>
              <w:right w:val="nil"/>
            </w:tcBorders>
          </w:tcPr>
          <w:p w14:paraId="5BD61FD7" w14:textId="0E249EC5"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 xml:space="preserve">Dummy </w:t>
            </w:r>
            <w:r w:rsidR="00B30A18">
              <w:rPr>
                <w:rFonts w:cs="Times New Roman"/>
                <w:sz w:val="22"/>
              </w:rPr>
              <w:t>s</w:t>
            </w:r>
            <w:r w:rsidRPr="001845F3">
              <w:rPr>
                <w:rFonts w:cs="Times New Roman"/>
                <w:sz w:val="22"/>
              </w:rPr>
              <w:t>tates</w:t>
            </w:r>
          </w:p>
        </w:tc>
        <w:tc>
          <w:tcPr>
            <w:tcW w:w="1688" w:type="dxa"/>
            <w:tcBorders>
              <w:top w:val="nil"/>
              <w:left w:val="nil"/>
              <w:bottom w:val="single" w:sz="4" w:space="0" w:color="auto"/>
              <w:right w:val="nil"/>
            </w:tcBorders>
          </w:tcPr>
          <w:p w14:paraId="40904F2D"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No</w:t>
            </w:r>
          </w:p>
        </w:tc>
        <w:tc>
          <w:tcPr>
            <w:tcW w:w="1688" w:type="dxa"/>
            <w:tcBorders>
              <w:top w:val="nil"/>
              <w:left w:val="nil"/>
              <w:bottom w:val="single" w:sz="4" w:space="0" w:color="auto"/>
              <w:right w:val="nil"/>
            </w:tcBorders>
          </w:tcPr>
          <w:p w14:paraId="7B3A438A"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No</w:t>
            </w:r>
          </w:p>
        </w:tc>
        <w:tc>
          <w:tcPr>
            <w:tcW w:w="1688" w:type="dxa"/>
            <w:tcBorders>
              <w:top w:val="nil"/>
              <w:left w:val="nil"/>
              <w:bottom w:val="single" w:sz="4" w:space="0" w:color="auto"/>
              <w:right w:val="nil"/>
            </w:tcBorders>
          </w:tcPr>
          <w:p w14:paraId="053E0F4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Yes</w:t>
            </w:r>
          </w:p>
        </w:tc>
        <w:tc>
          <w:tcPr>
            <w:tcW w:w="1688" w:type="dxa"/>
            <w:tcBorders>
              <w:top w:val="nil"/>
              <w:left w:val="nil"/>
              <w:bottom w:val="single" w:sz="4" w:space="0" w:color="auto"/>
              <w:right w:val="nil"/>
            </w:tcBorders>
          </w:tcPr>
          <w:p w14:paraId="38DDD4B7"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No</w:t>
            </w:r>
          </w:p>
        </w:tc>
      </w:tr>
      <w:tr w:rsidR="00382C87" w:rsidRPr="001845F3" w14:paraId="7BB6129E" w14:textId="77777777" w:rsidTr="00F970C1">
        <w:trPr>
          <w:jc w:val="center"/>
        </w:trPr>
        <w:tc>
          <w:tcPr>
            <w:tcW w:w="0" w:type="auto"/>
            <w:tcBorders>
              <w:top w:val="single" w:sz="4" w:space="0" w:color="auto"/>
              <w:left w:val="nil"/>
              <w:bottom w:val="single" w:sz="4" w:space="0" w:color="auto"/>
              <w:right w:val="nil"/>
            </w:tcBorders>
          </w:tcPr>
          <w:p w14:paraId="09163140"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Sectors</w:t>
            </w:r>
          </w:p>
        </w:tc>
        <w:tc>
          <w:tcPr>
            <w:tcW w:w="1688" w:type="dxa"/>
            <w:tcBorders>
              <w:top w:val="single" w:sz="4" w:space="0" w:color="auto"/>
              <w:left w:val="nil"/>
              <w:bottom w:val="single" w:sz="4" w:space="0" w:color="auto"/>
              <w:right w:val="nil"/>
            </w:tcBorders>
          </w:tcPr>
          <w:p w14:paraId="336C27FC"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All firms</w:t>
            </w:r>
          </w:p>
        </w:tc>
        <w:tc>
          <w:tcPr>
            <w:tcW w:w="1688" w:type="dxa"/>
            <w:tcBorders>
              <w:top w:val="single" w:sz="4" w:space="0" w:color="auto"/>
              <w:left w:val="nil"/>
              <w:bottom w:val="single" w:sz="4" w:space="0" w:color="auto"/>
              <w:right w:val="nil"/>
            </w:tcBorders>
          </w:tcPr>
          <w:p w14:paraId="5746D02D"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Manufacturing only</w:t>
            </w:r>
          </w:p>
        </w:tc>
        <w:tc>
          <w:tcPr>
            <w:tcW w:w="1688" w:type="dxa"/>
            <w:tcBorders>
              <w:top w:val="single" w:sz="4" w:space="0" w:color="auto"/>
              <w:left w:val="nil"/>
              <w:bottom w:val="single" w:sz="4" w:space="0" w:color="auto"/>
              <w:right w:val="nil"/>
            </w:tcBorders>
          </w:tcPr>
          <w:p w14:paraId="52AD4230"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Manufacturing only</w:t>
            </w:r>
          </w:p>
        </w:tc>
        <w:tc>
          <w:tcPr>
            <w:tcW w:w="1688" w:type="dxa"/>
            <w:tcBorders>
              <w:top w:val="single" w:sz="4" w:space="0" w:color="auto"/>
              <w:left w:val="nil"/>
              <w:bottom w:val="single" w:sz="4" w:space="0" w:color="auto"/>
              <w:right w:val="nil"/>
            </w:tcBorders>
          </w:tcPr>
          <w:p w14:paraId="5BD0FE3B"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Manufacturing only</w:t>
            </w:r>
          </w:p>
        </w:tc>
      </w:tr>
      <w:tr w:rsidR="00382C87" w:rsidRPr="001845F3" w14:paraId="5C15DDD3" w14:textId="77777777" w:rsidTr="00F970C1">
        <w:trPr>
          <w:jc w:val="center"/>
        </w:trPr>
        <w:tc>
          <w:tcPr>
            <w:tcW w:w="0" w:type="auto"/>
            <w:tcBorders>
              <w:top w:val="single" w:sz="4" w:space="0" w:color="auto"/>
              <w:left w:val="nil"/>
              <w:bottom w:val="nil"/>
              <w:right w:val="nil"/>
            </w:tcBorders>
          </w:tcPr>
          <w:p w14:paraId="12F53AE7"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r2</w:t>
            </w:r>
          </w:p>
        </w:tc>
        <w:tc>
          <w:tcPr>
            <w:tcW w:w="1688" w:type="dxa"/>
            <w:tcBorders>
              <w:top w:val="single" w:sz="4" w:space="0" w:color="auto"/>
              <w:left w:val="nil"/>
              <w:bottom w:val="nil"/>
              <w:right w:val="nil"/>
            </w:tcBorders>
          </w:tcPr>
          <w:p w14:paraId="64E15B00"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0.0175</w:t>
            </w:r>
          </w:p>
        </w:tc>
        <w:tc>
          <w:tcPr>
            <w:tcW w:w="1688" w:type="dxa"/>
            <w:tcBorders>
              <w:top w:val="single" w:sz="4" w:space="0" w:color="auto"/>
              <w:left w:val="nil"/>
              <w:bottom w:val="nil"/>
              <w:right w:val="nil"/>
            </w:tcBorders>
          </w:tcPr>
          <w:p w14:paraId="346CF9D9"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0.103</w:t>
            </w:r>
          </w:p>
        </w:tc>
        <w:tc>
          <w:tcPr>
            <w:tcW w:w="1688" w:type="dxa"/>
            <w:tcBorders>
              <w:top w:val="single" w:sz="4" w:space="0" w:color="auto"/>
              <w:left w:val="nil"/>
              <w:bottom w:val="nil"/>
              <w:right w:val="nil"/>
            </w:tcBorders>
          </w:tcPr>
          <w:p w14:paraId="53B9D46B"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0.221</w:t>
            </w:r>
          </w:p>
        </w:tc>
        <w:tc>
          <w:tcPr>
            <w:tcW w:w="1688" w:type="dxa"/>
            <w:tcBorders>
              <w:top w:val="single" w:sz="4" w:space="0" w:color="auto"/>
              <w:left w:val="nil"/>
              <w:bottom w:val="nil"/>
              <w:right w:val="nil"/>
            </w:tcBorders>
          </w:tcPr>
          <w:p w14:paraId="1B16FDD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0.141</w:t>
            </w:r>
          </w:p>
        </w:tc>
      </w:tr>
      <w:tr w:rsidR="00382C87" w:rsidRPr="001845F3" w14:paraId="3EEEFD93" w14:textId="77777777" w:rsidTr="00F970C1">
        <w:trPr>
          <w:jc w:val="center"/>
        </w:trPr>
        <w:tc>
          <w:tcPr>
            <w:tcW w:w="0" w:type="auto"/>
            <w:tcBorders>
              <w:top w:val="nil"/>
              <w:left w:val="nil"/>
              <w:bottom w:val="single" w:sz="4" w:space="0" w:color="auto"/>
              <w:right w:val="nil"/>
            </w:tcBorders>
          </w:tcPr>
          <w:p w14:paraId="4DEBDFFD" w14:textId="77777777" w:rsidR="00382C87" w:rsidRPr="001845F3" w:rsidRDefault="00382C87" w:rsidP="00D727BF">
            <w:pPr>
              <w:tabs>
                <w:tab w:val="left" w:pos="720"/>
              </w:tabs>
              <w:autoSpaceDE w:val="0"/>
              <w:autoSpaceDN w:val="0"/>
              <w:adjustRightInd w:val="0"/>
              <w:spacing w:after="0" w:line="276" w:lineRule="auto"/>
              <w:rPr>
                <w:rFonts w:cs="Times New Roman"/>
                <w:sz w:val="22"/>
              </w:rPr>
            </w:pPr>
            <w:r w:rsidRPr="001845F3">
              <w:rPr>
                <w:rFonts w:cs="Times New Roman"/>
                <w:sz w:val="22"/>
              </w:rPr>
              <w:t>N</w:t>
            </w:r>
          </w:p>
        </w:tc>
        <w:tc>
          <w:tcPr>
            <w:tcW w:w="1688" w:type="dxa"/>
            <w:tcBorders>
              <w:top w:val="nil"/>
              <w:left w:val="nil"/>
              <w:bottom w:val="single" w:sz="4" w:space="0" w:color="auto"/>
              <w:right w:val="nil"/>
            </w:tcBorders>
          </w:tcPr>
          <w:p w14:paraId="6CFCBBCF"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1196</w:t>
            </w:r>
          </w:p>
        </w:tc>
        <w:tc>
          <w:tcPr>
            <w:tcW w:w="1688" w:type="dxa"/>
            <w:tcBorders>
              <w:top w:val="nil"/>
              <w:left w:val="nil"/>
              <w:bottom w:val="single" w:sz="4" w:space="0" w:color="auto"/>
              <w:right w:val="nil"/>
            </w:tcBorders>
          </w:tcPr>
          <w:p w14:paraId="36BDD84E"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500</w:t>
            </w:r>
          </w:p>
        </w:tc>
        <w:tc>
          <w:tcPr>
            <w:tcW w:w="1688" w:type="dxa"/>
            <w:tcBorders>
              <w:top w:val="nil"/>
              <w:left w:val="nil"/>
              <w:bottom w:val="single" w:sz="4" w:space="0" w:color="auto"/>
              <w:right w:val="nil"/>
            </w:tcBorders>
          </w:tcPr>
          <w:p w14:paraId="2C1FF597"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500</w:t>
            </w:r>
          </w:p>
        </w:tc>
        <w:tc>
          <w:tcPr>
            <w:tcW w:w="1688" w:type="dxa"/>
            <w:tcBorders>
              <w:top w:val="nil"/>
              <w:left w:val="nil"/>
              <w:bottom w:val="single" w:sz="4" w:space="0" w:color="auto"/>
              <w:right w:val="nil"/>
            </w:tcBorders>
          </w:tcPr>
          <w:p w14:paraId="611D5FBF" w14:textId="77777777" w:rsidR="00382C87" w:rsidRPr="001845F3" w:rsidRDefault="00382C87" w:rsidP="00D727BF">
            <w:pPr>
              <w:tabs>
                <w:tab w:val="left" w:pos="720"/>
              </w:tabs>
              <w:autoSpaceDE w:val="0"/>
              <w:autoSpaceDN w:val="0"/>
              <w:adjustRightInd w:val="0"/>
              <w:spacing w:after="0" w:line="276" w:lineRule="auto"/>
              <w:jc w:val="center"/>
              <w:rPr>
                <w:rFonts w:cs="Times New Roman"/>
                <w:sz w:val="22"/>
              </w:rPr>
            </w:pPr>
            <w:r w:rsidRPr="001845F3">
              <w:rPr>
                <w:rFonts w:cs="Times New Roman"/>
                <w:sz w:val="22"/>
              </w:rPr>
              <w:t>500</w:t>
            </w:r>
          </w:p>
        </w:tc>
      </w:tr>
    </w:tbl>
    <w:p w14:paraId="7182CC69" w14:textId="13779E34" w:rsidR="00382C87" w:rsidRPr="001845F3" w:rsidRDefault="00382C87" w:rsidP="00D727BF">
      <w:pPr>
        <w:keepNext/>
        <w:keepLines/>
        <w:tabs>
          <w:tab w:val="left" w:pos="720"/>
        </w:tabs>
        <w:spacing w:before="60" w:after="12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w:t>
      </w:r>
      <w:r w:rsidR="00863D16">
        <w:rPr>
          <w:rFonts w:cs="Times New Roman"/>
          <w:sz w:val="18"/>
          <w:szCs w:val="18"/>
        </w:rPr>
        <w:t>’</w:t>
      </w:r>
      <w:r w:rsidRPr="001845F3">
        <w:rPr>
          <w:rFonts w:cs="Times New Roman"/>
          <w:sz w:val="18"/>
          <w:szCs w:val="18"/>
        </w:rPr>
        <w:t>s calculations based on data from E</w:t>
      </w:r>
      <w:r w:rsidR="0074546C" w:rsidRPr="001845F3">
        <w:rPr>
          <w:rFonts w:cs="Times New Roman"/>
          <w:sz w:val="18"/>
          <w:szCs w:val="18"/>
        </w:rPr>
        <w:t xml:space="preserve">nterprise </w:t>
      </w:r>
      <w:r w:rsidRPr="001845F3">
        <w:rPr>
          <w:rFonts w:cs="Times New Roman"/>
          <w:sz w:val="18"/>
          <w:szCs w:val="18"/>
        </w:rPr>
        <w:t>S</w:t>
      </w:r>
      <w:r w:rsidR="0074546C" w:rsidRPr="001845F3">
        <w:rPr>
          <w:rFonts w:cs="Times New Roman"/>
          <w:sz w:val="18"/>
          <w:szCs w:val="18"/>
        </w:rPr>
        <w:t xml:space="preserve">urvey </w:t>
      </w:r>
      <w:r w:rsidR="00EE3726">
        <w:rPr>
          <w:rFonts w:cs="Times New Roman"/>
          <w:sz w:val="18"/>
          <w:szCs w:val="18"/>
        </w:rPr>
        <w:t>2014</w:t>
      </w:r>
      <w:r w:rsidR="00EE3726">
        <w:rPr>
          <w:rFonts w:ascii="Calibri" w:hAnsi="Calibri" w:cs="Times New Roman"/>
          <w:sz w:val="18"/>
          <w:szCs w:val="18"/>
        </w:rPr>
        <w:t>‒</w:t>
      </w:r>
      <w:r w:rsidR="0074546C" w:rsidRPr="001845F3">
        <w:rPr>
          <w:rFonts w:cs="Times New Roman"/>
          <w:sz w:val="18"/>
          <w:szCs w:val="18"/>
        </w:rPr>
        <w:t>15</w:t>
      </w:r>
    </w:p>
    <w:p w14:paraId="1D111C76" w14:textId="73E342A8" w:rsidR="00382C87" w:rsidRPr="001845F3" w:rsidRDefault="00382C87" w:rsidP="00D727BF">
      <w:pPr>
        <w:tabs>
          <w:tab w:val="left" w:pos="720"/>
        </w:tabs>
        <w:autoSpaceDE w:val="0"/>
        <w:autoSpaceDN w:val="0"/>
        <w:adjustRightInd w:val="0"/>
        <w:spacing w:after="0"/>
        <w:rPr>
          <w:rFonts w:cs="Times New Roman"/>
          <w:sz w:val="18"/>
          <w:szCs w:val="18"/>
        </w:rPr>
      </w:pPr>
      <w:r w:rsidRPr="001845F3">
        <w:rPr>
          <w:rFonts w:cs="Times New Roman"/>
          <w:sz w:val="18"/>
          <w:szCs w:val="18"/>
        </w:rPr>
        <w:t>Note</w:t>
      </w:r>
      <w:r w:rsidR="005E5030" w:rsidRPr="001845F3">
        <w:rPr>
          <w:rFonts w:cs="Times New Roman"/>
          <w:sz w:val="18"/>
          <w:szCs w:val="18"/>
        </w:rPr>
        <w:t>s: S</w:t>
      </w:r>
      <w:r w:rsidRPr="001845F3">
        <w:rPr>
          <w:rFonts w:cs="Times New Roman"/>
          <w:sz w:val="18"/>
          <w:szCs w:val="18"/>
        </w:rPr>
        <w:t>tatistics in parentheses: * p &lt; 0.05, ** p &lt; 0.01, *** p &lt; 0.001</w:t>
      </w:r>
      <w:r w:rsidR="005E5030" w:rsidRPr="001845F3">
        <w:rPr>
          <w:rFonts w:cs="Times New Roman"/>
          <w:sz w:val="18"/>
          <w:szCs w:val="18"/>
        </w:rPr>
        <w:t xml:space="preserve">; </w:t>
      </w:r>
      <w:r w:rsidRPr="001845F3">
        <w:rPr>
          <w:rFonts w:cs="Times New Roman"/>
          <w:sz w:val="18"/>
          <w:szCs w:val="18"/>
        </w:rPr>
        <w:t xml:space="preserve">Firms are grouped into four </w:t>
      </w:r>
      <w:r w:rsidR="0074546C" w:rsidRPr="001845F3">
        <w:rPr>
          <w:rFonts w:cs="Times New Roman"/>
          <w:sz w:val="18"/>
          <w:szCs w:val="18"/>
        </w:rPr>
        <w:t>r</w:t>
      </w:r>
      <w:r w:rsidRPr="001845F3">
        <w:rPr>
          <w:rFonts w:cs="Times New Roman"/>
          <w:sz w:val="18"/>
          <w:szCs w:val="18"/>
        </w:rPr>
        <w:t xml:space="preserve">egions: Lagos, Kano/Kaduna, other </w:t>
      </w:r>
      <w:r w:rsidR="00942839">
        <w:rPr>
          <w:rFonts w:cs="Times New Roman"/>
          <w:sz w:val="18"/>
          <w:szCs w:val="18"/>
        </w:rPr>
        <w:t>southern</w:t>
      </w:r>
      <w:r w:rsidRPr="001845F3">
        <w:rPr>
          <w:rFonts w:cs="Times New Roman"/>
          <w:sz w:val="18"/>
          <w:szCs w:val="18"/>
        </w:rPr>
        <w:t xml:space="preserve"> </w:t>
      </w:r>
      <w:r w:rsidR="00942839">
        <w:rPr>
          <w:rFonts w:cs="Times New Roman"/>
          <w:sz w:val="18"/>
          <w:szCs w:val="18"/>
        </w:rPr>
        <w:t>states</w:t>
      </w:r>
      <w:r w:rsidR="0074546C" w:rsidRPr="001845F3">
        <w:rPr>
          <w:rFonts w:cs="Times New Roman"/>
          <w:sz w:val="18"/>
          <w:szCs w:val="18"/>
        </w:rPr>
        <w:t>,</w:t>
      </w:r>
      <w:r w:rsidRPr="001845F3">
        <w:rPr>
          <w:rFonts w:cs="Times New Roman"/>
          <w:sz w:val="18"/>
          <w:szCs w:val="18"/>
        </w:rPr>
        <w:t xml:space="preserve"> and other </w:t>
      </w:r>
      <w:r w:rsidR="00942839">
        <w:rPr>
          <w:rFonts w:cs="Times New Roman"/>
          <w:sz w:val="18"/>
          <w:szCs w:val="18"/>
        </w:rPr>
        <w:t>northern</w:t>
      </w:r>
      <w:r w:rsidRPr="001845F3">
        <w:rPr>
          <w:rFonts w:cs="Times New Roman"/>
          <w:sz w:val="18"/>
          <w:szCs w:val="18"/>
        </w:rPr>
        <w:t xml:space="preserve"> states. States refer to the </w:t>
      </w:r>
      <w:r w:rsidR="00EE3726">
        <w:rPr>
          <w:rFonts w:cs="Times New Roman"/>
          <w:sz w:val="18"/>
          <w:szCs w:val="18"/>
        </w:rPr>
        <w:t xml:space="preserve">thirty-seven </w:t>
      </w:r>
      <w:r w:rsidRPr="001845F3">
        <w:rPr>
          <w:rFonts w:cs="Times New Roman"/>
          <w:sz w:val="18"/>
          <w:szCs w:val="18"/>
        </w:rPr>
        <w:t>Nigerian states.</w:t>
      </w:r>
    </w:p>
    <w:p w14:paraId="6BEE596E" w14:textId="77777777" w:rsidR="00D948C5" w:rsidRPr="001845F3" w:rsidRDefault="00D948C5" w:rsidP="00D727BF">
      <w:pPr>
        <w:tabs>
          <w:tab w:val="left" w:pos="720"/>
        </w:tabs>
        <w:autoSpaceDE w:val="0"/>
        <w:autoSpaceDN w:val="0"/>
        <w:adjustRightInd w:val="0"/>
        <w:spacing w:after="0" w:line="276" w:lineRule="auto"/>
        <w:rPr>
          <w:rFonts w:cs="Times New Roman"/>
          <w:b/>
          <w:szCs w:val="24"/>
        </w:rPr>
      </w:pPr>
    </w:p>
    <w:p w14:paraId="72D1CD55" w14:textId="7868683A" w:rsidR="00AF3913" w:rsidRPr="001845F3" w:rsidRDefault="00B30A18" w:rsidP="00D727BF">
      <w:pPr>
        <w:pStyle w:val="ParagraphNumbering"/>
        <w:numPr>
          <w:ilvl w:val="0"/>
          <w:numId w:val="0"/>
        </w:numPr>
        <w:tabs>
          <w:tab w:val="left" w:pos="720"/>
        </w:tabs>
        <w:spacing w:after="0"/>
      </w:pPr>
      <w:r>
        <w:rPr>
          <w:b/>
        </w:rPr>
        <w:tab/>
      </w:r>
      <w:r w:rsidR="00AF3913" w:rsidRPr="001845F3">
        <w:rPr>
          <w:b/>
        </w:rPr>
        <w:t>About 29 percent of firms provide training to increase workers</w:t>
      </w:r>
      <w:r w:rsidR="00863D16">
        <w:rPr>
          <w:b/>
        </w:rPr>
        <w:t>’</w:t>
      </w:r>
      <w:r w:rsidR="00AF3913" w:rsidRPr="001845F3">
        <w:rPr>
          <w:b/>
        </w:rPr>
        <w:t xml:space="preserve"> skills, </w:t>
      </w:r>
      <w:r w:rsidR="00AF3913" w:rsidRPr="001845F3">
        <w:t xml:space="preserve">compared to 32 percent for the median comparator country and 49 percent for </w:t>
      </w:r>
      <w:r w:rsidR="00B83265" w:rsidRPr="001845F3">
        <w:t>a country at</w:t>
      </w:r>
      <w:r w:rsidR="00AF3913" w:rsidRPr="001845F3">
        <w:t xml:space="preserve"> the </w:t>
      </w:r>
      <w:r>
        <w:t xml:space="preserve">twentieth </w:t>
      </w:r>
      <w:r w:rsidR="00AF3913" w:rsidRPr="001845F3">
        <w:t xml:space="preserve">percentile. This rate appears higher, on average, in Lagos and Kano/Kaduna (31 and 35 percent, respectively) and lower in </w:t>
      </w:r>
      <w:r w:rsidR="002A2158">
        <w:t xml:space="preserve">the north </w:t>
      </w:r>
      <w:r w:rsidR="00AF3913" w:rsidRPr="001845F3">
        <w:t>(25 percent). The percentage of full-time permanent employees trained varies substantially across regions. Firms in Lagos provide training to a much larger share than firms in the North, in particular for nonproduction employees.</w:t>
      </w:r>
    </w:p>
    <w:p w14:paraId="75BF328E" w14:textId="5343646C" w:rsidR="00382C87" w:rsidRPr="000F6A00" w:rsidRDefault="00382C87" w:rsidP="00D727BF">
      <w:pPr>
        <w:tabs>
          <w:tab w:val="left" w:pos="720"/>
          <w:tab w:val="left" w:pos="5689"/>
        </w:tabs>
        <w:autoSpaceDE w:val="0"/>
        <w:autoSpaceDN w:val="0"/>
        <w:adjustRightInd w:val="0"/>
        <w:spacing w:after="0" w:line="276" w:lineRule="auto"/>
        <w:rPr>
          <w:rFonts w:asciiTheme="majorHAnsi" w:hAnsiTheme="majorHAnsi"/>
        </w:rPr>
      </w:pPr>
    </w:p>
    <w:p w14:paraId="5AA7A943" w14:textId="587382F0" w:rsidR="00D92B55" w:rsidRDefault="00D92B55" w:rsidP="00D727BF">
      <w:pPr>
        <w:pStyle w:val="Caption"/>
        <w:keepNext/>
        <w:tabs>
          <w:tab w:val="left" w:pos="720"/>
        </w:tabs>
        <w:jc w:val="center"/>
      </w:pPr>
      <w:bookmarkStart w:id="282" w:name="_Toc445449673"/>
      <w:r>
        <w:t xml:space="preserve">Figure </w:t>
      </w:r>
      <w:fldSimple w:instr=" SEQ Figure \* ARABIC ">
        <w:r w:rsidR="008A3BBD">
          <w:rPr>
            <w:noProof/>
          </w:rPr>
          <w:t>55</w:t>
        </w:r>
      </w:fldSimple>
      <w:r>
        <w:t xml:space="preserve">: </w:t>
      </w:r>
      <w:r w:rsidRPr="007D57FC">
        <w:t>Biggest Problems in Filling Positions and Average Number of Days</w:t>
      </w:r>
      <w:bookmarkEnd w:id="282"/>
    </w:p>
    <w:p w14:paraId="0693E65F" w14:textId="77777777" w:rsidR="00D92B55" w:rsidRDefault="00382C87" w:rsidP="00D727BF">
      <w:pPr>
        <w:pStyle w:val="BodyText"/>
        <w:keepNext/>
        <w:numPr>
          <w:ilvl w:val="0"/>
          <w:numId w:val="0"/>
        </w:numPr>
        <w:tabs>
          <w:tab w:val="left" w:pos="720"/>
        </w:tabs>
        <w:spacing w:after="0" w:line="276" w:lineRule="auto"/>
      </w:pPr>
      <w:r w:rsidRPr="000F6A00">
        <w:rPr>
          <w:rFonts w:asciiTheme="majorHAnsi" w:hAnsiTheme="majorHAnsi"/>
          <w:noProof/>
        </w:rPr>
        <w:drawing>
          <wp:inline distT="0" distB="0" distL="0" distR="0" wp14:anchorId="75040B33" wp14:editId="372E9C63">
            <wp:extent cx="5886450" cy="237172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978D859" w14:textId="0972B374" w:rsidR="00382C87" w:rsidRPr="001845F3" w:rsidRDefault="00382C87" w:rsidP="00D727BF">
      <w:pPr>
        <w:keepNext/>
        <w:keepLines/>
        <w:tabs>
          <w:tab w:val="left" w:pos="720"/>
        </w:tabs>
        <w:spacing w:before="60" w:after="120"/>
        <w:rPr>
          <w:rFonts w:cs="Times New Roman"/>
          <w:sz w:val="18"/>
          <w:szCs w:val="18"/>
        </w:rPr>
      </w:pP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w:t>
      </w:r>
      <w:r w:rsidR="00863D16">
        <w:rPr>
          <w:rFonts w:cs="Times New Roman"/>
          <w:sz w:val="18"/>
          <w:szCs w:val="18"/>
        </w:rPr>
        <w:t>’</w:t>
      </w:r>
      <w:r w:rsidRPr="001845F3">
        <w:rPr>
          <w:rFonts w:cs="Times New Roman"/>
          <w:sz w:val="18"/>
          <w:szCs w:val="18"/>
        </w:rPr>
        <w:t xml:space="preserve">s calculations based </w:t>
      </w:r>
      <w:r w:rsidR="00E0141E" w:rsidRPr="001845F3">
        <w:rPr>
          <w:rFonts w:cs="Times New Roman"/>
          <w:sz w:val="18"/>
          <w:szCs w:val="18"/>
        </w:rPr>
        <w:t xml:space="preserve">on Enterprise Survey </w:t>
      </w:r>
      <w:r w:rsidR="00B83265" w:rsidRPr="001845F3">
        <w:rPr>
          <w:rFonts w:cs="Times New Roman"/>
          <w:sz w:val="18"/>
          <w:szCs w:val="18"/>
        </w:rPr>
        <w:t>2014</w:t>
      </w:r>
      <w:r w:rsidR="00EE3726">
        <w:rPr>
          <w:rFonts w:ascii="Calibri" w:hAnsi="Calibri" w:cs="Times New Roman"/>
          <w:sz w:val="18"/>
          <w:szCs w:val="18"/>
        </w:rPr>
        <w:t>‒</w:t>
      </w:r>
      <w:r w:rsidR="00B83265" w:rsidRPr="001845F3">
        <w:rPr>
          <w:rFonts w:cs="Times New Roman"/>
          <w:sz w:val="18"/>
          <w:szCs w:val="18"/>
        </w:rPr>
        <w:t xml:space="preserve">15 </w:t>
      </w:r>
      <w:r w:rsidRPr="001845F3">
        <w:rPr>
          <w:rFonts w:cs="Times New Roman"/>
          <w:sz w:val="18"/>
          <w:szCs w:val="18"/>
        </w:rPr>
        <w:t>data</w:t>
      </w:r>
    </w:p>
    <w:p w14:paraId="2C10C88B" w14:textId="7F320185" w:rsidR="00AF3913" w:rsidRPr="001845F3" w:rsidRDefault="00AF3913" w:rsidP="00D727BF">
      <w:pPr>
        <w:tabs>
          <w:tab w:val="left" w:pos="720"/>
        </w:tabs>
        <w:autoSpaceDE w:val="0"/>
        <w:autoSpaceDN w:val="0"/>
        <w:adjustRightInd w:val="0"/>
        <w:spacing w:after="0"/>
        <w:rPr>
          <w:rFonts w:cs="Times New Roman"/>
          <w:sz w:val="18"/>
          <w:szCs w:val="18"/>
        </w:rPr>
      </w:pPr>
      <w:r w:rsidRPr="001845F3">
        <w:rPr>
          <w:rFonts w:cs="Times New Roman"/>
          <w:sz w:val="18"/>
          <w:szCs w:val="18"/>
        </w:rPr>
        <w:t xml:space="preserve">To sum up, low productivity </w:t>
      </w:r>
      <w:r w:rsidR="007450E9" w:rsidRPr="001845F3">
        <w:rPr>
          <w:rFonts w:cs="Times New Roman"/>
          <w:sz w:val="18"/>
          <w:szCs w:val="18"/>
        </w:rPr>
        <w:t>in</w:t>
      </w:r>
      <w:r w:rsidRPr="001845F3">
        <w:rPr>
          <w:rFonts w:cs="Times New Roman"/>
          <w:sz w:val="18"/>
          <w:szCs w:val="18"/>
        </w:rPr>
        <w:t xml:space="preserve"> Nigeria comes partly from the poor outcomes of primary and secondary s</w:t>
      </w:r>
      <w:r w:rsidR="007450E9" w:rsidRPr="001845F3">
        <w:rPr>
          <w:rFonts w:cs="Times New Roman"/>
          <w:sz w:val="18"/>
          <w:szCs w:val="18"/>
        </w:rPr>
        <w:t xml:space="preserve">tudents, and partly </w:t>
      </w:r>
      <w:r w:rsidRPr="001845F3">
        <w:rPr>
          <w:rFonts w:cs="Times New Roman"/>
          <w:sz w:val="18"/>
          <w:szCs w:val="18"/>
        </w:rPr>
        <w:t xml:space="preserve">from a skills mismatch in </w:t>
      </w:r>
      <w:r w:rsidR="002A2158">
        <w:rPr>
          <w:rFonts w:cs="Times New Roman"/>
          <w:sz w:val="18"/>
          <w:szCs w:val="18"/>
        </w:rPr>
        <w:t xml:space="preserve">the north </w:t>
      </w:r>
      <w:r w:rsidRPr="001845F3">
        <w:rPr>
          <w:rFonts w:cs="Times New Roman"/>
          <w:sz w:val="18"/>
          <w:szCs w:val="18"/>
        </w:rPr>
        <w:t>as well as in the South.</w:t>
      </w:r>
      <w:r w:rsidR="00F428F9" w:rsidRPr="001845F3">
        <w:rPr>
          <w:rFonts w:cs="Times New Roman"/>
          <w:sz w:val="18"/>
          <w:szCs w:val="18"/>
        </w:rPr>
        <w:t xml:space="preserve"> </w:t>
      </w:r>
      <w:r w:rsidR="007450E9" w:rsidRPr="001845F3">
        <w:rPr>
          <w:rFonts w:cs="Times New Roman"/>
          <w:sz w:val="18"/>
          <w:szCs w:val="18"/>
        </w:rPr>
        <w:t>M</w:t>
      </w:r>
      <w:r w:rsidRPr="001845F3">
        <w:rPr>
          <w:rFonts w:cs="Times New Roman"/>
          <w:sz w:val="18"/>
          <w:szCs w:val="18"/>
        </w:rPr>
        <w:t xml:space="preserve">anagerial skills are not difficult to find in the South, </w:t>
      </w:r>
      <w:r w:rsidR="007450E9" w:rsidRPr="001845F3">
        <w:rPr>
          <w:rFonts w:cs="Times New Roman"/>
          <w:sz w:val="18"/>
          <w:szCs w:val="18"/>
        </w:rPr>
        <w:t xml:space="preserve">but the zone has </w:t>
      </w:r>
      <w:r w:rsidRPr="001845F3">
        <w:rPr>
          <w:rFonts w:cs="Times New Roman"/>
          <w:sz w:val="18"/>
          <w:szCs w:val="18"/>
        </w:rPr>
        <w:t>a clear shortage of manual skills. The story is the exact opposite in the North</w:t>
      </w:r>
      <w:r w:rsidR="007450E9" w:rsidRPr="001845F3">
        <w:rPr>
          <w:rFonts w:cs="Times New Roman"/>
          <w:sz w:val="18"/>
          <w:szCs w:val="18"/>
        </w:rPr>
        <w:t>,</w:t>
      </w:r>
      <w:r w:rsidRPr="001845F3">
        <w:rPr>
          <w:rFonts w:cs="Times New Roman"/>
          <w:sz w:val="18"/>
          <w:szCs w:val="18"/>
        </w:rPr>
        <w:t xml:space="preserve"> where there is a pool of unemployed or underemployed population that is able and willing to work as unskilled production workers. This does not mean that their productivity is high</w:t>
      </w:r>
      <w:r w:rsidR="007450E9" w:rsidRPr="001845F3">
        <w:rPr>
          <w:rFonts w:cs="Times New Roman"/>
          <w:sz w:val="18"/>
          <w:szCs w:val="18"/>
        </w:rPr>
        <w:t>,</w:t>
      </w:r>
      <w:r w:rsidRPr="001845F3">
        <w:rPr>
          <w:rFonts w:cs="Times New Roman"/>
          <w:sz w:val="18"/>
          <w:szCs w:val="18"/>
        </w:rPr>
        <w:t xml:space="preserve"> but at least the search costs for the firm </w:t>
      </w:r>
      <w:r w:rsidR="00EE3726">
        <w:rPr>
          <w:rFonts w:cs="Times New Roman"/>
          <w:sz w:val="18"/>
          <w:szCs w:val="18"/>
        </w:rPr>
        <w:t>are</w:t>
      </w:r>
      <w:r w:rsidRPr="001845F3">
        <w:rPr>
          <w:rFonts w:cs="Times New Roman"/>
          <w:sz w:val="18"/>
          <w:szCs w:val="18"/>
        </w:rPr>
        <w:t xml:space="preserve"> lower. The difference in the quality of the workforce between </w:t>
      </w:r>
      <w:r w:rsidR="002A2158">
        <w:rPr>
          <w:rFonts w:cs="Times New Roman"/>
          <w:sz w:val="18"/>
          <w:szCs w:val="18"/>
        </w:rPr>
        <w:t xml:space="preserve">the north </w:t>
      </w:r>
      <w:r w:rsidRPr="001845F3">
        <w:rPr>
          <w:rFonts w:cs="Times New Roman"/>
          <w:sz w:val="18"/>
          <w:szCs w:val="18"/>
        </w:rPr>
        <w:t xml:space="preserve">and </w:t>
      </w:r>
      <w:r w:rsidR="002A2158">
        <w:rPr>
          <w:rFonts w:cs="Times New Roman"/>
          <w:sz w:val="18"/>
          <w:szCs w:val="18"/>
        </w:rPr>
        <w:t xml:space="preserve">the south </w:t>
      </w:r>
      <w:r w:rsidRPr="001845F3">
        <w:rPr>
          <w:rFonts w:cs="Times New Roman"/>
          <w:sz w:val="18"/>
          <w:szCs w:val="18"/>
        </w:rPr>
        <w:t xml:space="preserve">(in particular between </w:t>
      </w:r>
      <w:r w:rsidR="002A2158">
        <w:rPr>
          <w:rFonts w:cs="Times New Roman"/>
          <w:sz w:val="18"/>
          <w:szCs w:val="18"/>
        </w:rPr>
        <w:t xml:space="preserve">the north </w:t>
      </w:r>
      <w:r w:rsidRPr="001845F3">
        <w:rPr>
          <w:rFonts w:cs="Times New Roman"/>
          <w:sz w:val="18"/>
          <w:szCs w:val="18"/>
        </w:rPr>
        <w:t xml:space="preserve">and Lagos) is accentuated by </w:t>
      </w:r>
      <w:r w:rsidR="007450E9" w:rsidRPr="001845F3">
        <w:rPr>
          <w:rFonts w:cs="Times New Roman"/>
          <w:sz w:val="18"/>
          <w:szCs w:val="18"/>
        </w:rPr>
        <w:t>the</w:t>
      </w:r>
      <w:r w:rsidRPr="001845F3">
        <w:rPr>
          <w:rFonts w:cs="Times New Roman"/>
          <w:sz w:val="18"/>
          <w:szCs w:val="18"/>
        </w:rPr>
        <w:t xml:space="preserve"> lower access to training programs </w:t>
      </w:r>
      <w:r w:rsidR="007450E9" w:rsidRPr="001845F3">
        <w:rPr>
          <w:rFonts w:cs="Times New Roman"/>
          <w:sz w:val="18"/>
          <w:szCs w:val="18"/>
        </w:rPr>
        <w:t xml:space="preserve">provided by firms in the </w:t>
      </w:r>
      <w:r w:rsidRPr="001845F3">
        <w:rPr>
          <w:rFonts w:cs="Times New Roman"/>
          <w:sz w:val="18"/>
          <w:szCs w:val="18"/>
        </w:rPr>
        <w:t>North</w:t>
      </w:r>
      <w:r w:rsidR="007450E9" w:rsidRPr="001845F3">
        <w:rPr>
          <w:rFonts w:cs="Times New Roman"/>
          <w:sz w:val="18"/>
          <w:szCs w:val="18"/>
        </w:rPr>
        <w:t>.</w:t>
      </w:r>
      <w:r w:rsidRPr="001845F3">
        <w:rPr>
          <w:rFonts w:cs="Times New Roman"/>
          <w:sz w:val="18"/>
          <w:szCs w:val="18"/>
        </w:rPr>
        <w:t xml:space="preserve"> </w:t>
      </w:r>
    </w:p>
    <w:p w14:paraId="6098BA1C" w14:textId="5B7062B1" w:rsidR="001F297D" w:rsidRDefault="001F297D" w:rsidP="00D727BF">
      <w:pPr>
        <w:tabs>
          <w:tab w:val="left" w:pos="720"/>
        </w:tabs>
        <w:spacing w:after="0"/>
      </w:pPr>
    </w:p>
    <w:p w14:paraId="5163DB35" w14:textId="5EBBFDE5" w:rsidR="00D92B55" w:rsidRDefault="00D92B55" w:rsidP="00D727BF">
      <w:pPr>
        <w:pStyle w:val="Caption"/>
        <w:keepNext/>
        <w:tabs>
          <w:tab w:val="left" w:pos="720"/>
        </w:tabs>
        <w:jc w:val="center"/>
      </w:pPr>
      <w:bookmarkStart w:id="283" w:name="_Toc445449674"/>
      <w:r>
        <w:lastRenderedPageBreak/>
        <w:t xml:space="preserve">Figure </w:t>
      </w:r>
      <w:fldSimple w:instr=" SEQ Figure \* ARABIC ">
        <w:r w:rsidR="008A3BBD">
          <w:rPr>
            <w:noProof/>
          </w:rPr>
          <w:t>56</w:t>
        </w:r>
      </w:fldSimple>
      <w:r>
        <w:t xml:space="preserve">: </w:t>
      </w:r>
      <w:r w:rsidRPr="00B63B6E">
        <w:t>Percentage of Production and Nonproduction Full-</w:t>
      </w:r>
      <w:r w:rsidR="007E45C5">
        <w:t>T</w:t>
      </w:r>
      <w:r w:rsidRPr="00B63B6E">
        <w:t>ime Permanent Employees Trained</w:t>
      </w:r>
      <w:bookmarkEnd w:id="283"/>
    </w:p>
    <w:p w14:paraId="1161B4B2" w14:textId="6DC3BCBC" w:rsidR="00382C87" w:rsidRPr="001845F3" w:rsidRDefault="00382C87" w:rsidP="00D727BF">
      <w:pPr>
        <w:tabs>
          <w:tab w:val="left" w:pos="720"/>
        </w:tabs>
        <w:autoSpaceDE w:val="0"/>
        <w:autoSpaceDN w:val="0"/>
        <w:adjustRightInd w:val="0"/>
        <w:spacing w:after="0" w:line="276" w:lineRule="auto"/>
        <w:rPr>
          <w:rFonts w:cs="Times New Roman"/>
          <w:sz w:val="18"/>
          <w:szCs w:val="18"/>
        </w:rPr>
      </w:pPr>
      <w:r w:rsidRPr="000F6A00">
        <w:rPr>
          <w:rFonts w:asciiTheme="majorHAnsi" w:hAnsiTheme="majorHAnsi"/>
          <w:noProof/>
        </w:rPr>
        <w:drawing>
          <wp:inline distT="0" distB="0" distL="0" distR="0" wp14:anchorId="12325B5B" wp14:editId="30E78049">
            <wp:extent cx="5943600" cy="2629535"/>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1845F3">
        <w:rPr>
          <w:rFonts w:cs="Times New Roman"/>
          <w:sz w:val="18"/>
          <w:szCs w:val="18"/>
        </w:rPr>
        <w:t>Source:</w:t>
      </w:r>
      <w:r w:rsidR="00F428F9" w:rsidRPr="001845F3">
        <w:rPr>
          <w:rFonts w:cs="Times New Roman"/>
          <w:sz w:val="18"/>
          <w:szCs w:val="18"/>
        </w:rPr>
        <w:t xml:space="preserve"> </w:t>
      </w:r>
      <w:r w:rsidRPr="001845F3">
        <w:rPr>
          <w:rFonts w:cs="Times New Roman"/>
          <w:sz w:val="18"/>
          <w:szCs w:val="18"/>
        </w:rPr>
        <w:t>Author</w:t>
      </w:r>
      <w:r w:rsidR="00863D16">
        <w:rPr>
          <w:rFonts w:cs="Times New Roman"/>
          <w:sz w:val="18"/>
          <w:szCs w:val="18"/>
        </w:rPr>
        <w:t>’</w:t>
      </w:r>
      <w:r w:rsidRPr="001845F3">
        <w:rPr>
          <w:rFonts w:cs="Times New Roman"/>
          <w:sz w:val="18"/>
          <w:szCs w:val="18"/>
        </w:rPr>
        <w:t xml:space="preserve">s calculations based on data from </w:t>
      </w:r>
      <w:r w:rsidR="005E5030" w:rsidRPr="001845F3">
        <w:rPr>
          <w:rFonts w:cs="Times New Roman"/>
          <w:sz w:val="18"/>
          <w:szCs w:val="18"/>
        </w:rPr>
        <w:t>Enterprise Survey</w:t>
      </w:r>
      <w:r w:rsidR="00B83265" w:rsidRPr="001845F3">
        <w:rPr>
          <w:rFonts w:cs="Times New Roman"/>
          <w:sz w:val="18"/>
          <w:szCs w:val="18"/>
        </w:rPr>
        <w:t xml:space="preserve"> 2014</w:t>
      </w:r>
      <w:r w:rsidR="007E45C5">
        <w:rPr>
          <w:rFonts w:ascii="Calibri" w:hAnsi="Calibri" w:cs="Times New Roman"/>
          <w:sz w:val="18"/>
          <w:szCs w:val="18"/>
        </w:rPr>
        <w:t>‒</w:t>
      </w:r>
      <w:r w:rsidR="00B83265" w:rsidRPr="001845F3">
        <w:rPr>
          <w:rFonts w:cs="Times New Roman"/>
          <w:sz w:val="18"/>
          <w:szCs w:val="18"/>
        </w:rPr>
        <w:t>15</w:t>
      </w:r>
    </w:p>
    <w:p w14:paraId="6C5DBA2C" w14:textId="77777777" w:rsidR="00382C87" w:rsidRPr="000F6A00" w:rsidRDefault="00382C87" w:rsidP="00D727BF">
      <w:pPr>
        <w:tabs>
          <w:tab w:val="left" w:pos="720"/>
        </w:tabs>
        <w:autoSpaceDE w:val="0"/>
        <w:autoSpaceDN w:val="0"/>
        <w:adjustRightInd w:val="0"/>
        <w:spacing w:after="0"/>
        <w:rPr>
          <w:rFonts w:asciiTheme="majorHAnsi" w:hAnsiTheme="majorHAnsi"/>
        </w:rPr>
      </w:pPr>
    </w:p>
    <w:p w14:paraId="38DAB1A0" w14:textId="77777777" w:rsidR="008029B2" w:rsidRDefault="008029B2" w:rsidP="00D727BF">
      <w:pPr>
        <w:pStyle w:val="Heading1"/>
        <w:numPr>
          <w:ilvl w:val="0"/>
          <w:numId w:val="0"/>
        </w:numPr>
        <w:shd w:val="clear" w:color="auto" w:fill="FFFFFF" w:themeFill="background1"/>
        <w:tabs>
          <w:tab w:val="left" w:pos="720"/>
        </w:tabs>
        <w:ind w:left="20"/>
        <w:rPr>
          <w:shd w:val="clear" w:color="auto" w:fill="FFFFFF" w:themeFill="background1"/>
        </w:rPr>
        <w:sectPr w:rsidR="008029B2" w:rsidSect="008029B2">
          <w:footerReference w:type="default" r:id="rId79"/>
          <w:pgSz w:w="16983" w:h="15840" w:code="1"/>
          <w:pgMar w:top="1440" w:right="6183" w:bottom="1440" w:left="1440" w:header="720" w:footer="720" w:gutter="0"/>
          <w:cols w:space="720"/>
          <w:docGrid w:linePitch="360"/>
        </w:sectPr>
      </w:pPr>
      <w:bookmarkStart w:id="284" w:name="_Toc444877519"/>
    </w:p>
    <w:p w14:paraId="58476534" w14:textId="092C682B" w:rsidR="009F246F" w:rsidRPr="008029B2" w:rsidRDefault="008029B2" w:rsidP="00D727BF">
      <w:pPr>
        <w:pStyle w:val="Heading1"/>
        <w:numPr>
          <w:ilvl w:val="0"/>
          <w:numId w:val="0"/>
        </w:numPr>
        <w:shd w:val="clear" w:color="auto" w:fill="FFFFFF" w:themeFill="background1"/>
        <w:tabs>
          <w:tab w:val="left" w:pos="720"/>
        </w:tabs>
        <w:ind w:left="20"/>
        <w:rPr>
          <w:shd w:val="clear" w:color="auto" w:fill="FFFFFF" w:themeFill="background1"/>
        </w:rPr>
      </w:pPr>
      <w:bookmarkStart w:id="285" w:name="_Toc445450290"/>
      <w:r>
        <w:rPr>
          <w:shd w:val="clear" w:color="auto" w:fill="FFFFFF" w:themeFill="background1"/>
        </w:rPr>
        <w:lastRenderedPageBreak/>
        <w:t>Chap</w:t>
      </w:r>
      <w:r w:rsidR="009F246F" w:rsidRPr="008029B2">
        <w:rPr>
          <w:shd w:val="clear" w:color="auto" w:fill="FFFFFF" w:themeFill="background1"/>
        </w:rPr>
        <w:t xml:space="preserve">ter </w:t>
      </w:r>
      <w:r w:rsidR="00CA37DC" w:rsidRPr="008029B2">
        <w:rPr>
          <w:shd w:val="clear" w:color="auto" w:fill="FFFFFF" w:themeFill="background1"/>
        </w:rPr>
        <w:t>5</w:t>
      </w:r>
      <w:r w:rsidR="009F246F" w:rsidRPr="008029B2">
        <w:rPr>
          <w:shd w:val="clear" w:color="auto" w:fill="FFFFFF" w:themeFill="background1"/>
        </w:rPr>
        <w:t>:</w:t>
      </w:r>
      <w:r w:rsidR="00F428F9" w:rsidRPr="008029B2">
        <w:rPr>
          <w:shd w:val="clear" w:color="auto" w:fill="FFFFFF" w:themeFill="background1"/>
        </w:rPr>
        <w:t xml:space="preserve"> </w:t>
      </w:r>
      <w:r w:rsidR="003402C2" w:rsidRPr="008029B2">
        <w:rPr>
          <w:shd w:val="clear" w:color="auto" w:fill="FFFFFF" w:themeFill="background1"/>
        </w:rPr>
        <w:t>Understanding Firm-</w:t>
      </w:r>
      <w:r w:rsidR="008023A1">
        <w:rPr>
          <w:shd w:val="clear" w:color="auto" w:fill="FFFFFF" w:themeFill="background1"/>
        </w:rPr>
        <w:t>L</w:t>
      </w:r>
      <w:r w:rsidR="003402C2" w:rsidRPr="008029B2">
        <w:rPr>
          <w:shd w:val="clear" w:color="auto" w:fill="FFFFFF" w:themeFill="background1"/>
        </w:rPr>
        <w:t>evel Innovation and Productivity in Nigeria</w:t>
      </w:r>
      <w:bookmarkEnd w:id="284"/>
      <w:bookmarkEnd w:id="285"/>
    </w:p>
    <w:p w14:paraId="460271E7" w14:textId="4DEFE547" w:rsidR="00F970C1" w:rsidRPr="008029B2" w:rsidRDefault="000A5149" w:rsidP="00D727BF">
      <w:pPr>
        <w:pStyle w:val="Heading2"/>
        <w:numPr>
          <w:ilvl w:val="0"/>
          <w:numId w:val="16"/>
        </w:numPr>
        <w:tabs>
          <w:tab w:val="left" w:pos="720"/>
        </w:tabs>
        <w:rPr>
          <w:shd w:val="clear" w:color="auto" w:fill="FFFFFF" w:themeFill="background1"/>
        </w:rPr>
      </w:pPr>
      <w:r w:rsidRPr="008029B2">
        <w:rPr>
          <w:shd w:val="clear" w:color="auto" w:fill="FFFFFF" w:themeFill="background1"/>
        </w:rPr>
        <w:t xml:space="preserve"> </w:t>
      </w:r>
      <w:bookmarkStart w:id="286" w:name="_Toc444877520"/>
      <w:bookmarkStart w:id="287" w:name="_Toc445450291"/>
      <w:r w:rsidR="00F970C1" w:rsidRPr="008029B2">
        <w:rPr>
          <w:shd w:val="clear" w:color="auto" w:fill="FFFFFF" w:themeFill="background1"/>
        </w:rPr>
        <w:t>Introduction</w:t>
      </w:r>
      <w:bookmarkEnd w:id="286"/>
      <w:bookmarkEnd w:id="287"/>
    </w:p>
    <w:p w14:paraId="28BFB5D6" w14:textId="5E425D14" w:rsidR="0029508E" w:rsidRPr="008029B2" w:rsidRDefault="00F060B0" w:rsidP="00D727BF">
      <w:pPr>
        <w:pStyle w:val="ParagraphNumbering"/>
        <w:numPr>
          <w:ilvl w:val="0"/>
          <w:numId w:val="0"/>
        </w:numPr>
        <w:tabs>
          <w:tab w:val="left" w:pos="720"/>
        </w:tabs>
        <w:spacing w:after="240"/>
        <w:rPr>
          <w:shd w:val="clear" w:color="auto" w:fill="FFFFFF" w:themeFill="background1"/>
        </w:rPr>
      </w:pPr>
      <w:r>
        <w:rPr>
          <w:b/>
          <w:shd w:val="clear" w:color="auto" w:fill="FFFFFF" w:themeFill="background1"/>
        </w:rPr>
        <w:tab/>
      </w:r>
      <w:r w:rsidR="00F970C1" w:rsidRPr="008029B2">
        <w:rPr>
          <w:b/>
          <w:shd w:val="clear" w:color="auto" w:fill="FFFFFF" w:themeFill="background1"/>
        </w:rPr>
        <w:t xml:space="preserve">Innovation is the engine of </w:t>
      </w:r>
      <w:r w:rsidR="00863D16">
        <w:rPr>
          <w:b/>
          <w:shd w:val="clear" w:color="auto" w:fill="FFFFFF" w:themeFill="background1"/>
        </w:rPr>
        <w:t>“</w:t>
      </w:r>
      <w:r w:rsidR="00F970C1" w:rsidRPr="008029B2">
        <w:rPr>
          <w:b/>
          <w:shd w:val="clear" w:color="auto" w:fill="FFFFFF" w:themeFill="background1"/>
        </w:rPr>
        <w:t>creative destruction</w:t>
      </w:r>
      <w:r w:rsidR="00863D16">
        <w:rPr>
          <w:b/>
          <w:shd w:val="clear" w:color="auto" w:fill="FFFFFF" w:themeFill="background1"/>
        </w:rPr>
        <w:t>”</w:t>
      </w:r>
      <w:r w:rsidR="00F970C1" w:rsidRPr="008029B2">
        <w:rPr>
          <w:shd w:val="clear" w:color="auto" w:fill="FFFFFF" w:themeFill="background1"/>
        </w:rPr>
        <w:t xml:space="preserve"> </w:t>
      </w:r>
      <w:r w:rsidR="008331B3" w:rsidRPr="008029B2">
        <w:rPr>
          <w:shd w:val="clear" w:color="auto" w:fill="FFFFFF" w:themeFill="background1"/>
        </w:rPr>
        <w:t>(Schumpeter 1942)</w:t>
      </w:r>
      <w:r w:rsidR="008023A1">
        <w:rPr>
          <w:shd w:val="clear" w:color="auto" w:fill="FFFFFF" w:themeFill="background1"/>
        </w:rPr>
        <w:t>,</w:t>
      </w:r>
      <w:r w:rsidR="0029508E" w:rsidRPr="008029B2">
        <w:rPr>
          <w:rStyle w:val="FootnoteReference"/>
          <w:shd w:val="clear" w:color="auto" w:fill="FFFFFF" w:themeFill="background1"/>
        </w:rPr>
        <w:footnoteReference w:id="54"/>
      </w:r>
      <w:r w:rsidR="008331B3" w:rsidRPr="008029B2">
        <w:rPr>
          <w:shd w:val="clear" w:color="auto" w:fill="FFFFFF" w:themeFill="background1"/>
        </w:rPr>
        <w:t xml:space="preserve"> which</w:t>
      </w:r>
      <w:r w:rsidR="00F970C1" w:rsidRPr="008029B2">
        <w:rPr>
          <w:shd w:val="clear" w:color="auto" w:fill="FFFFFF" w:themeFill="background1"/>
        </w:rPr>
        <w:t xml:space="preserve"> spurs </w:t>
      </w:r>
      <w:r w:rsidR="009F0660" w:rsidRPr="008029B2">
        <w:rPr>
          <w:shd w:val="clear" w:color="auto" w:fill="FFFFFF" w:themeFill="background1"/>
        </w:rPr>
        <w:t xml:space="preserve">the </w:t>
      </w:r>
      <w:r w:rsidR="00F970C1" w:rsidRPr="008029B2">
        <w:rPr>
          <w:shd w:val="clear" w:color="auto" w:fill="FFFFFF" w:themeFill="background1"/>
        </w:rPr>
        <w:t>economic dynamism and transformation at the center of the development process</w:t>
      </w:r>
      <w:r w:rsidR="009F0660" w:rsidRPr="008029B2">
        <w:rPr>
          <w:shd w:val="clear" w:color="auto" w:fill="FFFFFF" w:themeFill="background1"/>
        </w:rPr>
        <w:t xml:space="preserve">. </w:t>
      </w:r>
      <w:r w:rsidR="00F7718A" w:rsidRPr="008029B2">
        <w:rPr>
          <w:shd w:val="clear" w:color="auto" w:fill="FFFFFF" w:themeFill="background1"/>
        </w:rPr>
        <w:t>Innovation accounts for a</w:t>
      </w:r>
      <w:r w:rsidR="00F970C1" w:rsidRPr="008029B2">
        <w:rPr>
          <w:shd w:val="clear" w:color="auto" w:fill="FFFFFF" w:themeFill="background1"/>
        </w:rPr>
        <w:t xml:space="preserve"> substantial share of differences in productivity (Romer </w:t>
      </w:r>
      <w:r w:rsidR="0029508E" w:rsidRPr="008029B2">
        <w:rPr>
          <w:shd w:val="clear" w:color="auto" w:fill="FFFFFF" w:themeFill="background1"/>
        </w:rPr>
        <w:t>1986</w:t>
      </w:r>
      <w:r w:rsidR="0029508E" w:rsidRPr="008029B2">
        <w:rPr>
          <w:rStyle w:val="FootnoteReference"/>
          <w:shd w:val="clear" w:color="auto" w:fill="FFFFFF" w:themeFill="background1"/>
        </w:rPr>
        <w:footnoteReference w:id="55"/>
      </w:r>
      <w:r w:rsidR="009F0660" w:rsidRPr="008029B2">
        <w:rPr>
          <w:shd w:val="clear" w:color="auto" w:fill="FFFFFF" w:themeFill="background1"/>
        </w:rPr>
        <w:t xml:space="preserve">; </w:t>
      </w:r>
      <w:r w:rsidR="00F970C1" w:rsidRPr="008029B2">
        <w:rPr>
          <w:shd w:val="clear" w:color="auto" w:fill="FFFFFF" w:themeFill="background1"/>
        </w:rPr>
        <w:t>Aghion and Howitt</w:t>
      </w:r>
      <w:r w:rsidR="009F0660" w:rsidRPr="008029B2">
        <w:rPr>
          <w:shd w:val="clear" w:color="auto" w:fill="FFFFFF" w:themeFill="background1"/>
        </w:rPr>
        <w:t xml:space="preserve"> </w:t>
      </w:r>
      <w:r w:rsidR="00F970C1" w:rsidRPr="008029B2">
        <w:rPr>
          <w:shd w:val="clear" w:color="auto" w:fill="FFFFFF" w:themeFill="background1"/>
        </w:rPr>
        <w:t>2007</w:t>
      </w:r>
      <w:r w:rsidR="008023A1" w:rsidRPr="008029B2">
        <w:rPr>
          <w:shd w:val="clear" w:color="auto" w:fill="FFFFFF" w:themeFill="background1"/>
        </w:rPr>
        <w:t>).</w:t>
      </w:r>
      <w:r w:rsidR="0029508E" w:rsidRPr="008029B2">
        <w:rPr>
          <w:rStyle w:val="FootnoteReference"/>
          <w:shd w:val="clear" w:color="auto" w:fill="FFFFFF" w:themeFill="background1"/>
        </w:rPr>
        <w:footnoteReference w:id="56"/>
      </w:r>
      <w:r w:rsidR="00F970C1" w:rsidRPr="008029B2">
        <w:rPr>
          <w:shd w:val="clear" w:color="auto" w:fill="FFFFFF" w:themeFill="background1"/>
        </w:rPr>
        <w:t xml:space="preserve"> </w:t>
      </w:r>
      <w:r w:rsidR="00F7718A" w:rsidRPr="008029B2">
        <w:rPr>
          <w:shd w:val="clear" w:color="auto" w:fill="FFFFFF" w:themeFill="background1"/>
        </w:rPr>
        <w:t xml:space="preserve">It </w:t>
      </w:r>
      <w:r w:rsidR="00F970C1" w:rsidRPr="008029B2">
        <w:rPr>
          <w:shd w:val="clear" w:color="auto" w:fill="FFFFFF" w:themeFill="background1"/>
        </w:rPr>
        <w:t>contributes to the twin goals of shared prosperity and poverty reduction by generating productivity gains that increase employment, raise wages, and improve access to products and services</w:t>
      </w:r>
      <w:r w:rsidR="00F878E5" w:rsidRPr="008029B2">
        <w:rPr>
          <w:shd w:val="clear" w:color="auto" w:fill="FFFFFF" w:themeFill="background1"/>
        </w:rPr>
        <w:t xml:space="preserve"> for the poor</w:t>
      </w:r>
      <w:r w:rsidR="00F970C1" w:rsidRPr="008029B2">
        <w:rPr>
          <w:shd w:val="clear" w:color="auto" w:fill="FFFFFF" w:themeFill="background1"/>
        </w:rPr>
        <w:t xml:space="preserve">. </w:t>
      </w:r>
    </w:p>
    <w:p w14:paraId="4C69CC7E" w14:textId="2D11F156" w:rsidR="00F970C1" w:rsidRPr="008029B2" w:rsidRDefault="00F060B0" w:rsidP="00D727BF">
      <w:pPr>
        <w:pStyle w:val="ParagraphNumbering"/>
        <w:numPr>
          <w:ilvl w:val="0"/>
          <w:numId w:val="0"/>
        </w:numPr>
        <w:tabs>
          <w:tab w:val="left" w:pos="720"/>
        </w:tabs>
        <w:spacing w:after="240"/>
        <w:rPr>
          <w:shd w:val="clear" w:color="auto" w:fill="FFFFFF" w:themeFill="background1"/>
        </w:rPr>
      </w:pPr>
      <w:r>
        <w:rPr>
          <w:b/>
          <w:shd w:val="clear" w:color="auto" w:fill="FFFFFF" w:themeFill="background1"/>
        </w:rPr>
        <w:tab/>
      </w:r>
      <w:r w:rsidR="00F970C1" w:rsidRPr="008029B2">
        <w:rPr>
          <w:b/>
          <w:shd w:val="clear" w:color="auto" w:fill="FFFFFF" w:themeFill="background1"/>
        </w:rPr>
        <w:t>The objective of this chapter is twofold.</w:t>
      </w:r>
      <w:r w:rsidR="00F970C1" w:rsidRPr="008029B2">
        <w:rPr>
          <w:shd w:val="clear" w:color="auto" w:fill="FFFFFF" w:themeFill="background1"/>
        </w:rPr>
        <w:t xml:space="preserve"> First, the chapter </w:t>
      </w:r>
      <w:r w:rsidR="00036091" w:rsidRPr="008029B2">
        <w:rPr>
          <w:shd w:val="clear" w:color="auto" w:fill="FFFFFF" w:themeFill="background1"/>
        </w:rPr>
        <w:t xml:space="preserve">describes </w:t>
      </w:r>
      <w:r w:rsidR="00F970C1" w:rsidRPr="008029B2">
        <w:rPr>
          <w:shd w:val="clear" w:color="auto" w:fill="FFFFFF" w:themeFill="background1"/>
        </w:rPr>
        <w:t xml:space="preserve">the level of innovation in Nigeria. </w:t>
      </w:r>
      <w:r w:rsidR="0079023E" w:rsidRPr="008029B2">
        <w:rPr>
          <w:shd w:val="clear" w:color="auto" w:fill="FFFFFF" w:themeFill="background1"/>
        </w:rPr>
        <w:t>S</w:t>
      </w:r>
      <w:r w:rsidR="00F970C1" w:rsidRPr="008029B2">
        <w:rPr>
          <w:shd w:val="clear" w:color="auto" w:fill="FFFFFF" w:themeFill="background1"/>
        </w:rPr>
        <w:t>econd</w:t>
      </w:r>
      <w:r w:rsidR="0079023E" w:rsidRPr="008029B2">
        <w:rPr>
          <w:shd w:val="clear" w:color="auto" w:fill="FFFFFF" w:themeFill="background1"/>
        </w:rPr>
        <w:t>, it provides an empirical</w:t>
      </w:r>
      <w:r w:rsidR="00F970C1" w:rsidRPr="008029B2">
        <w:rPr>
          <w:shd w:val="clear" w:color="auto" w:fill="FFFFFF" w:themeFill="background1"/>
        </w:rPr>
        <w:t xml:space="preserve"> analy</w:t>
      </w:r>
      <w:r w:rsidR="0079023E" w:rsidRPr="008029B2">
        <w:rPr>
          <w:shd w:val="clear" w:color="auto" w:fill="FFFFFF" w:themeFill="background1"/>
        </w:rPr>
        <w:t xml:space="preserve">sis of </w:t>
      </w:r>
      <w:r w:rsidR="00F970C1" w:rsidRPr="008029B2">
        <w:rPr>
          <w:shd w:val="clear" w:color="auto" w:fill="FFFFFF" w:themeFill="background1"/>
        </w:rPr>
        <w:t xml:space="preserve">whether these innovative efforts translate </w:t>
      </w:r>
      <w:r w:rsidR="00036091" w:rsidRPr="008029B2">
        <w:rPr>
          <w:shd w:val="clear" w:color="auto" w:fill="FFFFFF" w:themeFill="background1"/>
        </w:rPr>
        <w:t>to</w:t>
      </w:r>
      <w:r w:rsidR="00F970C1" w:rsidRPr="008029B2">
        <w:rPr>
          <w:shd w:val="clear" w:color="auto" w:fill="FFFFFF" w:themeFill="background1"/>
        </w:rPr>
        <w:t xml:space="preserve"> increases in productivity.</w:t>
      </w:r>
      <w:r w:rsidR="0020018A" w:rsidRPr="008029B2">
        <w:rPr>
          <w:rStyle w:val="FootnoteReference"/>
          <w:shd w:val="clear" w:color="auto" w:fill="FFFFFF" w:themeFill="background1"/>
        </w:rPr>
        <w:footnoteReference w:id="57"/>
      </w:r>
      <w:r w:rsidR="00F970C1" w:rsidRPr="008029B2">
        <w:rPr>
          <w:shd w:val="clear" w:color="auto" w:fill="FFFFFF" w:themeFill="background1"/>
        </w:rPr>
        <w:t xml:space="preserve"> </w:t>
      </w:r>
      <w:r w:rsidR="00036091" w:rsidRPr="008029B2">
        <w:rPr>
          <w:shd w:val="clear" w:color="auto" w:fill="FFFFFF" w:themeFill="background1"/>
        </w:rPr>
        <w:t>T</w:t>
      </w:r>
      <w:r w:rsidR="00F970C1" w:rsidRPr="008029B2">
        <w:rPr>
          <w:shd w:val="clear" w:color="auto" w:fill="FFFFFF" w:themeFill="background1"/>
        </w:rPr>
        <w:t>h</w:t>
      </w:r>
      <w:r w:rsidR="0079023E" w:rsidRPr="008029B2">
        <w:rPr>
          <w:shd w:val="clear" w:color="auto" w:fill="FFFFFF" w:themeFill="background1"/>
        </w:rPr>
        <w:t>e</w:t>
      </w:r>
      <w:r w:rsidR="00F970C1" w:rsidRPr="008029B2">
        <w:rPr>
          <w:shd w:val="clear" w:color="auto" w:fill="FFFFFF" w:themeFill="background1"/>
        </w:rPr>
        <w:t xml:space="preserve"> chapter uses the most recent </w:t>
      </w:r>
      <w:r w:rsidR="00036091" w:rsidRPr="008029B2">
        <w:rPr>
          <w:shd w:val="clear" w:color="auto" w:fill="FFFFFF" w:themeFill="background1"/>
        </w:rPr>
        <w:t>E</w:t>
      </w:r>
      <w:r w:rsidR="00F970C1" w:rsidRPr="008029B2">
        <w:rPr>
          <w:shd w:val="clear" w:color="auto" w:fill="FFFFFF" w:themeFill="background1"/>
        </w:rPr>
        <w:t xml:space="preserve">nterprise </w:t>
      </w:r>
      <w:r w:rsidR="00036091" w:rsidRPr="008029B2">
        <w:rPr>
          <w:shd w:val="clear" w:color="auto" w:fill="FFFFFF" w:themeFill="background1"/>
        </w:rPr>
        <w:t>S</w:t>
      </w:r>
      <w:r w:rsidR="00F970C1" w:rsidRPr="008029B2">
        <w:rPr>
          <w:shd w:val="clear" w:color="auto" w:fill="FFFFFF" w:themeFill="background1"/>
        </w:rPr>
        <w:t>urvey and the linked innovation module. This is the most comprehensive innovation survey implemented in Nigeria to date, as it links a full innovation questionnaire answered by 892 firms in the manufacturing and services sectors</w:t>
      </w:r>
      <w:r w:rsidR="00F878E5" w:rsidRPr="008029B2">
        <w:rPr>
          <w:shd w:val="clear" w:color="auto" w:fill="FFFFFF" w:themeFill="background1"/>
        </w:rPr>
        <w:t xml:space="preserve"> </w:t>
      </w:r>
      <w:r w:rsidR="00F970C1" w:rsidRPr="008029B2">
        <w:rPr>
          <w:shd w:val="clear" w:color="auto" w:fill="FFFFFF" w:themeFill="background1"/>
        </w:rPr>
        <w:t>with information on the characteristics of firms.</w:t>
      </w:r>
      <w:r w:rsidR="00F970C1" w:rsidRPr="008029B2">
        <w:rPr>
          <w:rStyle w:val="FootnoteReference"/>
          <w:rFonts w:eastAsia="Baskerville"/>
          <w:shd w:val="clear" w:color="auto" w:fill="FFFFFF" w:themeFill="background1"/>
        </w:rPr>
        <w:footnoteReference w:id="58"/>
      </w:r>
      <w:r w:rsidR="00F428F9" w:rsidRPr="008029B2">
        <w:rPr>
          <w:shd w:val="clear" w:color="auto" w:fill="FFFFFF" w:themeFill="background1"/>
        </w:rPr>
        <w:t xml:space="preserve"> </w:t>
      </w:r>
      <w:r w:rsidR="00756094" w:rsidRPr="008029B2">
        <w:rPr>
          <w:shd w:val="clear" w:color="auto" w:fill="FFFFFF" w:themeFill="background1"/>
        </w:rPr>
        <w:t xml:space="preserve">This </w:t>
      </w:r>
      <w:r w:rsidR="003C45B2">
        <w:rPr>
          <w:shd w:val="clear" w:color="auto" w:fill="FFFFFF" w:themeFill="background1"/>
        </w:rPr>
        <w:t>s</w:t>
      </w:r>
      <w:r w:rsidR="00756094" w:rsidRPr="008029B2">
        <w:rPr>
          <w:shd w:val="clear" w:color="auto" w:fill="FFFFFF" w:themeFill="background1"/>
        </w:rPr>
        <w:t xml:space="preserve">urvey was expanded with increased geographic coverage during fieldwork. It began as a </w:t>
      </w:r>
      <w:r w:rsidR="0023354A" w:rsidRPr="008029B2">
        <w:rPr>
          <w:shd w:val="clear" w:color="auto" w:fill="FFFFFF" w:themeFill="background1"/>
        </w:rPr>
        <w:t>nine</w:t>
      </w:r>
      <w:r w:rsidR="00756094" w:rsidRPr="008029B2">
        <w:rPr>
          <w:shd w:val="clear" w:color="auto" w:fill="FFFFFF" w:themeFill="background1"/>
        </w:rPr>
        <w:t xml:space="preserve">-state exercise </w:t>
      </w:r>
      <w:r w:rsidR="00F878E5" w:rsidRPr="008029B2">
        <w:rPr>
          <w:shd w:val="clear" w:color="auto" w:fill="FFFFFF" w:themeFill="background1"/>
        </w:rPr>
        <w:t xml:space="preserve">until </w:t>
      </w:r>
      <w:r w:rsidR="0023354A" w:rsidRPr="008029B2">
        <w:rPr>
          <w:shd w:val="clear" w:color="auto" w:fill="FFFFFF" w:themeFill="background1"/>
        </w:rPr>
        <w:t>ten</w:t>
      </w:r>
      <w:r w:rsidR="00756094" w:rsidRPr="008029B2">
        <w:rPr>
          <w:shd w:val="clear" w:color="auto" w:fill="FFFFFF" w:themeFill="background1"/>
        </w:rPr>
        <w:t xml:space="preserve"> more states were added for a total of </w:t>
      </w:r>
      <w:r w:rsidR="003C45B2">
        <w:rPr>
          <w:shd w:val="clear" w:color="auto" w:fill="FFFFFF" w:themeFill="background1"/>
        </w:rPr>
        <w:t>nineteen</w:t>
      </w:r>
      <w:r w:rsidR="003C45B2" w:rsidRPr="008029B2">
        <w:rPr>
          <w:shd w:val="clear" w:color="auto" w:fill="FFFFFF" w:themeFill="background1"/>
        </w:rPr>
        <w:t xml:space="preserve"> </w:t>
      </w:r>
      <w:r w:rsidR="00756094" w:rsidRPr="008029B2">
        <w:rPr>
          <w:shd w:val="clear" w:color="auto" w:fill="FFFFFF" w:themeFill="background1"/>
        </w:rPr>
        <w:t>states.</w:t>
      </w:r>
      <w:r w:rsidR="00756094" w:rsidRPr="008029B2">
        <w:rPr>
          <w:bCs w:val="0"/>
          <w:shd w:val="clear" w:color="auto" w:fill="FFFFFF" w:themeFill="background1"/>
        </w:rPr>
        <w:t xml:space="preserve"> For this reason, only the first </w:t>
      </w:r>
      <w:r w:rsidR="0023354A" w:rsidRPr="008029B2">
        <w:rPr>
          <w:bCs w:val="0"/>
          <w:shd w:val="clear" w:color="auto" w:fill="FFFFFF" w:themeFill="background1"/>
        </w:rPr>
        <w:t>nine</w:t>
      </w:r>
      <w:r w:rsidR="00756094" w:rsidRPr="008029B2">
        <w:rPr>
          <w:bCs w:val="0"/>
          <w:shd w:val="clear" w:color="auto" w:fill="FFFFFF" w:themeFill="background1"/>
        </w:rPr>
        <w:t xml:space="preserve"> states covered contain the </w:t>
      </w:r>
      <w:r w:rsidR="003C45B2">
        <w:rPr>
          <w:bCs w:val="0"/>
          <w:shd w:val="clear" w:color="auto" w:fill="FFFFFF" w:themeFill="background1"/>
        </w:rPr>
        <w:t>i</w:t>
      </w:r>
      <w:r w:rsidR="00756094" w:rsidRPr="008029B2">
        <w:rPr>
          <w:bCs w:val="0"/>
          <w:shd w:val="clear" w:color="auto" w:fill="FFFFFF" w:themeFill="background1"/>
        </w:rPr>
        <w:t xml:space="preserve">nnovation </w:t>
      </w:r>
      <w:r w:rsidR="003C45B2">
        <w:rPr>
          <w:bCs w:val="0"/>
          <w:shd w:val="clear" w:color="auto" w:fill="FFFFFF" w:themeFill="background1"/>
        </w:rPr>
        <w:t>m</w:t>
      </w:r>
      <w:r w:rsidR="00756094" w:rsidRPr="008029B2">
        <w:rPr>
          <w:bCs w:val="0"/>
          <w:shd w:val="clear" w:color="auto" w:fill="FFFFFF" w:themeFill="background1"/>
        </w:rPr>
        <w:t xml:space="preserve">odule. </w:t>
      </w:r>
      <w:r w:rsidR="00036091" w:rsidRPr="008029B2">
        <w:rPr>
          <w:shd w:val="clear" w:color="auto" w:fill="FFFFFF" w:themeFill="background1"/>
        </w:rPr>
        <w:t>The</w:t>
      </w:r>
      <w:r w:rsidR="00F970C1" w:rsidRPr="008029B2">
        <w:rPr>
          <w:shd w:val="clear" w:color="auto" w:fill="FFFFFF" w:themeFill="background1"/>
        </w:rPr>
        <w:t xml:space="preserve"> module was administered to firms in </w:t>
      </w:r>
      <w:r w:rsidR="00036091" w:rsidRPr="008029B2">
        <w:rPr>
          <w:shd w:val="clear" w:color="auto" w:fill="FFFFFF" w:themeFill="background1"/>
        </w:rPr>
        <w:t xml:space="preserve">the </w:t>
      </w:r>
      <w:r w:rsidR="0023354A" w:rsidRPr="008029B2">
        <w:rPr>
          <w:shd w:val="clear" w:color="auto" w:fill="FFFFFF" w:themeFill="background1"/>
        </w:rPr>
        <w:t>nine</w:t>
      </w:r>
      <w:r w:rsidR="00F878E5" w:rsidRPr="008029B2">
        <w:rPr>
          <w:shd w:val="clear" w:color="auto" w:fill="FFFFFF" w:themeFill="background1"/>
        </w:rPr>
        <w:t xml:space="preserve"> </w:t>
      </w:r>
      <w:r w:rsidR="003C45B2">
        <w:rPr>
          <w:shd w:val="clear" w:color="auto" w:fill="FFFFFF" w:themeFill="background1"/>
        </w:rPr>
        <w:t>s</w:t>
      </w:r>
      <w:r w:rsidR="00F970C1" w:rsidRPr="008029B2">
        <w:rPr>
          <w:shd w:val="clear" w:color="auto" w:fill="FFFFFF" w:themeFill="background1"/>
        </w:rPr>
        <w:t xml:space="preserve">tates </w:t>
      </w:r>
      <w:r w:rsidR="00036091" w:rsidRPr="008029B2">
        <w:rPr>
          <w:shd w:val="clear" w:color="auto" w:fill="FFFFFF" w:themeFill="background1"/>
        </w:rPr>
        <w:t xml:space="preserve">that account for the bulk of the Nigerian private sector </w:t>
      </w:r>
      <w:r w:rsidR="00F970C1" w:rsidRPr="008029B2">
        <w:rPr>
          <w:shd w:val="clear" w:color="auto" w:fill="FFFFFF" w:themeFill="background1"/>
        </w:rPr>
        <w:t>namely</w:t>
      </w:r>
      <w:r w:rsidR="00036091" w:rsidRPr="008029B2">
        <w:rPr>
          <w:shd w:val="clear" w:color="auto" w:fill="FFFFFF" w:themeFill="background1"/>
        </w:rPr>
        <w:t>,</w:t>
      </w:r>
      <w:r w:rsidR="00F970C1" w:rsidRPr="008029B2">
        <w:rPr>
          <w:shd w:val="clear" w:color="auto" w:fill="FFFFFF" w:themeFill="background1"/>
        </w:rPr>
        <w:t xml:space="preserve"> Abia, Abuja, Anambra, Cross</w:t>
      </w:r>
      <w:r w:rsidR="003C45B2">
        <w:rPr>
          <w:shd w:val="clear" w:color="auto" w:fill="FFFFFF" w:themeFill="background1"/>
        </w:rPr>
        <w:t xml:space="preserve"> </w:t>
      </w:r>
      <w:r w:rsidR="00F970C1" w:rsidRPr="008029B2">
        <w:rPr>
          <w:shd w:val="clear" w:color="auto" w:fill="FFFFFF" w:themeFill="background1"/>
        </w:rPr>
        <w:t>River, Enugu, Kaduna, Kano, Lagos</w:t>
      </w:r>
      <w:r w:rsidR="003C45B2">
        <w:rPr>
          <w:shd w:val="clear" w:color="auto" w:fill="FFFFFF" w:themeFill="background1"/>
        </w:rPr>
        <w:t>,</w:t>
      </w:r>
      <w:r w:rsidR="00F970C1" w:rsidRPr="008029B2">
        <w:rPr>
          <w:shd w:val="clear" w:color="auto" w:fill="FFFFFF" w:themeFill="background1"/>
        </w:rPr>
        <w:t xml:space="preserve"> and Oyo.</w:t>
      </w:r>
      <w:r w:rsidR="00F428F9" w:rsidRPr="008029B2">
        <w:rPr>
          <w:shd w:val="clear" w:color="auto" w:fill="FFFFFF" w:themeFill="background1"/>
        </w:rPr>
        <w:t xml:space="preserve"> </w:t>
      </w:r>
    </w:p>
    <w:p w14:paraId="11D6DC1C" w14:textId="33D757B2" w:rsidR="00F970C1" w:rsidRPr="008029B2" w:rsidRDefault="00F060B0" w:rsidP="00D727BF">
      <w:pPr>
        <w:pStyle w:val="ParagraphNumbering"/>
        <w:numPr>
          <w:ilvl w:val="0"/>
          <w:numId w:val="0"/>
        </w:numPr>
        <w:tabs>
          <w:tab w:val="left" w:pos="720"/>
        </w:tabs>
        <w:spacing w:after="240"/>
        <w:rPr>
          <w:shd w:val="clear" w:color="auto" w:fill="FFFFFF" w:themeFill="background1"/>
        </w:rPr>
      </w:pPr>
      <w:r>
        <w:rPr>
          <w:b/>
          <w:shd w:val="clear" w:color="auto" w:fill="FFFFFF" w:themeFill="background1"/>
        </w:rPr>
        <w:tab/>
      </w:r>
      <w:r w:rsidR="00F970C1" w:rsidRPr="008029B2">
        <w:rPr>
          <w:b/>
          <w:shd w:val="clear" w:color="auto" w:fill="FFFFFF" w:themeFill="background1"/>
        </w:rPr>
        <w:t>This chapter is structured as follows</w:t>
      </w:r>
      <w:r>
        <w:rPr>
          <w:b/>
          <w:shd w:val="clear" w:color="auto" w:fill="FFFFFF" w:themeFill="background1"/>
        </w:rPr>
        <w:t>:</w:t>
      </w:r>
      <w:r w:rsidR="00F970C1" w:rsidRPr="008029B2">
        <w:rPr>
          <w:shd w:val="clear" w:color="auto" w:fill="FFFFFF" w:themeFill="background1"/>
        </w:rPr>
        <w:t xml:space="preserve"> </w:t>
      </w:r>
      <w:r w:rsidR="00AE4D00">
        <w:rPr>
          <w:shd w:val="clear" w:color="auto" w:fill="FFFFFF" w:themeFill="background1"/>
        </w:rPr>
        <w:t>s</w:t>
      </w:r>
      <w:r w:rsidR="00F970C1" w:rsidRPr="008029B2">
        <w:rPr>
          <w:shd w:val="clear" w:color="auto" w:fill="FFFFFF" w:themeFill="background1"/>
        </w:rPr>
        <w:t xml:space="preserve">ection 2 </w:t>
      </w:r>
      <w:r w:rsidR="00514D46" w:rsidRPr="008029B2">
        <w:rPr>
          <w:shd w:val="clear" w:color="auto" w:fill="FFFFFF" w:themeFill="background1"/>
        </w:rPr>
        <w:t>describes the level of innovation in Nigeria compared to other countries</w:t>
      </w:r>
      <w:r w:rsidR="0079023E" w:rsidRPr="008029B2">
        <w:rPr>
          <w:shd w:val="clear" w:color="auto" w:fill="FFFFFF" w:themeFill="background1"/>
        </w:rPr>
        <w:t xml:space="preserve">, looking at </w:t>
      </w:r>
      <w:r w:rsidR="00514D46" w:rsidRPr="008029B2">
        <w:rPr>
          <w:shd w:val="clear" w:color="auto" w:fill="FFFFFF" w:themeFill="background1"/>
        </w:rPr>
        <w:t>both knowledge capital inputs and innovation outcomes</w:t>
      </w:r>
      <w:r w:rsidR="00F970C1" w:rsidRPr="008029B2">
        <w:rPr>
          <w:shd w:val="clear" w:color="auto" w:fill="FFFFFF" w:themeFill="background1"/>
        </w:rPr>
        <w:t xml:space="preserve">. Section </w:t>
      </w:r>
      <w:r w:rsidR="00514D46" w:rsidRPr="008029B2">
        <w:rPr>
          <w:shd w:val="clear" w:color="auto" w:fill="FFFFFF" w:themeFill="background1"/>
        </w:rPr>
        <w:t>3 investigates the drivers of innovation outcomes</w:t>
      </w:r>
      <w:r w:rsidR="00F970C1" w:rsidRPr="008029B2">
        <w:rPr>
          <w:shd w:val="clear" w:color="auto" w:fill="FFFFFF" w:themeFill="background1"/>
        </w:rPr>
        <w:t>. Section 4</w:t>
      </w:r>
      <w:r w:rsidR="0079023E" w:rsidRPr="008029B2">
        <w:rPr>
          <w:shd w:val="clear" w:color="auto" w:fill="FFFFFF" w:themeFill="background1"/>
        </w:rPr>
        <w:t xml:space="preserve"> examines the </w:t>
      </w:r>
      <w:r w:rsidR="00514D46" w:rsidRPr="008029B2">
        <w:rPr>
          <w:shd w:val="clear" w:color="auto" w:fill="FFFFFF" w:themeFill="background1"/>
        </w:rPr>
        <w:t>link between innovation and firm</w:t>
      </w:r>
      <w:r w:rsidR="0079023E" w:rsidRPr="008029B2">
        <w:rPr>
          <w:shd w:val="clear" w:color="auto" w:fill="FFFFFF" w:themeFill="background1"/>
        </w:rPr>
        <w:t>-</w:t>
      </w:r>
      <w:r w:rsidR="00514D46" w:rsidRPr="008029B2">
        <w:rPr>
          <w:shd w:val="clear" w:color="auto" w:fill="FFFFFF" w:themeFill="background1"/>
        </w:rPr>
        <w:t>level productivity</w:t>
      </w:r>
      <w:r w:rsidR="00F970C1" w:rsidRPr="008029B2">
        <w:rPr>
          <w:shd w:val="clear" w:color="auto" w:fill="FFFFFF" w:themeFill="background1"/>
        </w:rPr>
        <w:t>.</w:t>
      </w:r>
    </w:p>
    <w:p w14:paraId="6A9575FC" w14:textId="77777777" w:rsidR="00DD3FC5" w:rsidRPr="008029B2" w:rsidRDefault="00DD3FC5" w:rsidP="00D727BF">
      <w:pPr>
        <w:pStyle w:val="ParagraphNumbering"/>
        <w:numPr>
          <w:ilvl w:val="0"/>
          <w:numId w:val="0"/>
        </w:numPr>
        <w:tabs>
          <w:tab w:val="left" w:pos="720"/>
        </w:tabs>
        <w:rPr>
          <w:shd w:val="clear" w:color="auto" w:fill="FFFFFF" w:themeFill="background1"/>
        </w:rPr>
      </w:pPr>
    </w:p>
    <w:p w14:paraId="6C568365" w14:textId="77777777" w:rsidR="00C01145" w:rsidRPr="008029B2" w:rsidRDefault="00C01145" w:rsidP="00D727BF">
      <w:pPr>
        <w:pStyle w:val="ParagraphNumbering"/>
        <w:numPr>
          <w:ilvl w:val="0"/>
          <w:numId w:val="0"/>
        </w:numPr>
        <w:tabs>
          <w:tab w:val="left" w:pos="720"/>
        </w:tabs>
        <w:rPr>
          <w:shd w:val="clear" w:color="auto" w:fill="FFFFFF" w:themeFill="background1"/>
        </w:rPr>
      </w:pPr>
    </w:p>
    <w:p w14:paraId="7AC6EBF2" w14:textId="7ECF2D97" w:rsidR="00F970C1" w:rsidRPr="008029B2" w:rsidRDefault="00514D46" w:rsidP="00D727BF">
      <w:pPr>
        <w:pStyle w:val="Heading2"/>
        <w:tabs>
          <w:tab w:val="left" w:pos="720"/>
        </w:tabs>
        <w:rPr>
          <w:shd w:val="clear" w:color="auto" w:fill="FFFFFF" w:themeFill="background1"/>
        </w:rPr>
      </w:pPr>
      <w:bookmarkStart w:id="288" w:name="_Toc444877521"/>
      <w:bookmarkStart w:id="289" w:name="_Toc445450292"/>
      <w:r w:rsidRPr="008029B2">
        <w:rPr>
          <w:shd w:val="clear" w:color="auto" w:fill="FFFFFF" w:themeFill="background1"/>
        </w:rPr>
        <w:lastRenderedPageBreak/>
        <w:t>How Innovative Are F</w:t>
      </w:r>
      <w:r w:rsidR="00F970C1" w:rsidRPr="008029B2">
        <w:rPr>
          <w:shd w:val="clear" w:color="auto" w:fill="FFFFFF" w:themeFill="background1"/>
        </w:rPr>
        <w:t>irms in Nigeria?</w:t>
      </w:r>
      <w:bookmarkEnd w:id="288"/>
      <w:bookmarkEnd w:id="289"/>
    </w:p>
    <w:p w14:paraId="3C569195" w14:textId="6A44765C" w:rsidR="00F970C1" w:rsidRPr="008029B2" w:rsidRDefault="00F060B0" w:rsidP="00D727BF">
      <w:pPr>
        <w:pStyle w:val="ParagraphNumbering"/>
        <w:numPr>
          <w:ilvl w:val="0"/>
          <w:numId w:val="0"/>
        </w:numPr>
        <w:tabs>
          <w:tab w:val="left" w:pos="720"/>
        </w:tabs>
        <w:spacing w:after="240"/>
        <w:rPr>
          <w:shd w:val="clear" w:color="auto" w:fill="FFFFFF" w:themeFill="background1"/>
        </w:rPr>
      </w:pPr>
      <w:r>
        <w:rPr>
          <w:b/>
          <w:shd w:val="clear" w:color="auto" w:fill="FFFFFF" w:themeFill="background1"/>
        </w:rPr>
        <w:tab/>
      </w:r>
      <w:r w:rsidR="00F970C1" w:rsidRPr="008029B2">
        <w:rPr>
          <w:b/>
          <w:shd w:val="clear" w:color="auto" w:fill="FFFFFF" w:themeFill="background1"/>
        </w:rPr>
        <w:t xml:space="preserve">Firms invest in knowledge capital to accumulate capabilities that facilitate innovation </w:t>
      </w:r>
      <w:r w:rsidR="00F970C1" w:rsidRPr="008029B2">
        <w:rPr>
          <w:shd w:val="clear" w:color="auto" w:fill="FFFFFF" w:themeFill="background1"/>
        </w:rPr>
        <w:t>(</w:t>
      </w:r>
      <w:r w:rsidR="003C45B2">
        <w:rPr>
          <w:shd w:val="clear" w:color="auto" w:fill="FFFFFF" w:themeFill="background1"/>
        </w:rPr>
        <w:t>b</w:t>
      </w:r>
      <w:r w:rsidR="00F970C1" w:rsidRPr="008029B2">
        <w:rPr>
          <w:shd w:val="clear" w:color="auto" w:fill="FFFFFF" w:themeFill="background1"/>
        </w:rPr>
        <w:t xml:space="preserve">ox </w:t>
      </w:r>
      <w:r w:rsidR="0029508E" w:rsidRPr="008029B2">
        <w:rPr>
          <w:shd w:val="clear" w:color="auto" w:fill="FFFFFF" w:themeFill="background1"/>
        </w:rPr>
        <w:t>3</w:t>
      </w:r>
      <w:r w:rsidR="00F970C1" w:rsidRPr="008029B2">
        <w:rPr>
          <w:shd w:val="clear" w:color="auto" w:fill="FFFFFF" w:themeFill="background1"/>
        </w:rPr>
        <w:t>). These investments determine the extent to which firms are able to introduce innovation</w:t>
      </w:r>
      <w:r w:rsidR="003B1FCD" w:rsidRPr="008029B2">
        <w:rPr>
          <w:shd w:val="clear" w:color="auto" w:fill="FFFFFF" w:themeFill="background1"/>
        </w:rPr>
        <w:t xml:space="preserve">s, as </w:t>
      </w:r>
      <w:r w:rsidR="00F970C1" w:rsidRPr="008029B2">
        <w:rPr>
          <w:shd w:val="clear" w:color="auto" w:fill="FFFFFF" w:themeFill="background1"/>
        </w:rPr>
        <w:t>well as their market success when introducing these innovations. The Enterprise Survey allows us to characterize some categories of knowledge capital inputs for Nigerian firms</w:t>
      </w:r>
      <w:r w:rsidR="003C45B2">
        <w:rPr>
          <w:shd w:val="clear" w:color="auto" w:fill="FFFFFF" w:themeFill="background1"/>
        </w:rPr>
        <w:t>,</w:t>
      </w:r>
      <w:r w:rsidR="00F970C1" w:rsidRPr="008029B2">
        <w:rPr>
          <w:shd w:val="clear" w:color="auto" w:fill="FFFFFF" w:themeFill="background1"/>
        </w:rPr>
        <w:t xml:space="preserve"> namely</w:t>
      </w:r>
      <w:r w:rsidR="003B1FCD" w:rsidRPr="008029B2">
        <w:rPr>
          <w:shd w:val="clear" w:color="auto" w:fill="FFFFFF" w:themeFill="background1"/>
        </w:rPr>
        <w:t>, expenditures on</w:t>
      </w:r>
      <w:r w:rsidR="00F970C1" w:rsidRPr="008029B2">
        <w:rPr>
          <w:shd w:val="clear" w:color="auto" w:fill="FFFFFF" w:themeFill="background1"/>
        </w:rPr>
        <w:t xml:space="preserve"> R&amp;D (both intramural and extramural), equipment</w:t>
      </w:r>
      <w:r w:rsidR="003B1FCD" w:rsidRPr="008029B2">
        <w:rPr>
          <w:shd w:val="clear" w:color="auto" w:fill="FFFFFF" w:themeFill="background1"/>
        </w:rPr>
        <w:t xml:space="preserve">, </w:t>
      </w:r>
      <w:r w:rsidR="00F970C1" w:rsidRPr="008029B2">
        <w:rPr>
          <w:shd w:val="clear" w:color="auto" w:fill="FFFFFF" w:themeFill="background1"/>
        </w:rPr>
        <w:t>training</w:t>
      </w:r>
      <w:r w:rsidR="003B1FCD" w:rsidRPr="008029B2">
        <w:rPr>
          <w:shd w:val="clear" w:color="auto" w:fill="FFFFFF" w:themeFill="background1"/>
        </w:rPr>
        <w:t xml:space="preserve">, and the use of </w:t>
      </w:r>
      <w:r w:rsidR="00F970C1" w:rsidRPr="008029B2">
        <w:rPr>
          <w:shd w:val="clear" w:color="auto" w:fill="FFFFFF" w:themeFill="background1"/>
        </w:rPr>
        <w:t>patent</w:t>
      </w:r>
      <w:r w:rsidR="003B1FCD" w:rsidRPr="008029B2">
        <w:rPr>
          <w:shd w:val="clear" w:color="auto" w:fill="FFFFFF" w:themeFill="background1"/>
        </w:rPr>
        <w:t>ed processe</w:t>
      </w:r>
      <w:r w:rsidR="00F970C1" w:rsidRPr="008029B2">
        <w:rPr>
          <w:shd w:val="clear" w:color="auto" w:fill="FFFFFF" w:themeFill="background1"/>
        </w:rPr>
        <w:t xml:space="preserve">s and other types of intellectual property. </w:t>
      </w:r>
    </w:p>
    <w:p w14:paraId="601BE5E8" w14:textId="72ABEFFF" w:rsidR="00F970C1" w:rsidRPr="008029B2" w:rsidRDefault="00F970C1" w:rsidP="00D727BF">
      <w:pPr>
        <w:pStyle w:val="Heading3"/>
        <w:numPr>
          <w:ilvl w:val="0"/>
          <w:numId w:val="0"/>
        </w:numPr>
        <w:tabs>
          <w:tab w:val="left" w:pos="720"/>
        </w:tabs>
        <w:spacing w:before="0"/>
        <w:jc w:val="center"/>
        <w:rPr>
          <w:shd w:val="clear" w:color="auto" w:fill="FFFFFF" w:themeFill="background1"/>
        </w:rPr>
      </w:pPr>
      <w:r w:rsidRPr="008029B2">
        <w:rPr>
          <w:shd w:val="clear" w:color="auto" w:fill="FFFFFF" w:themeFill="background1"/>
        </w:rPr>
        <w:t xml:space="preserve">Knowledge </w:t>
      </w:r>
      <w:r w:rsidR="008B7EA8" w:rsidRPr="008029B2">
        <w:rPr>
          <w:shd w:val="clear" w:color="auto" w:fill="FFFFFF" w:themeFill="background1"/>
        </w:rPr>
        <w:t>c</w:t>
      </w:r>
      <w:r w:rsidRPr="008029B2">
        <w:rPr>
          <w:shd w:val="clear" w:color="auto" w:fill="FFFFFF" w:themeFill="background1"/>
        </w:rPr>
        <w:t xml:space="preserve">apital </w:t>
      </w:r>
      <w:r w:rsidR="008B7EA8" w:rsidRPr="008029B2">
        <w:rPr>
          <w:shd w:val="clear" w:color="auto" w:fill="FFFFFF" w:themeFill="background1"/>
        </w:rPr>
        <w:t>i</w:t>
      </w:r>
      <w:r w:rsidRPr="008029B2">
        <w:rPr>
          <w:shd w:val="clear" w:color="auto" w:fill="FFFFFF" w:themeFill="background1"/>
        </w:rPr>
        <w:t>nputs</w:t>
      </w:r>
      <w:r w:rsidR="003C45B2">
        <w:rPr>
          <w:rFonts w:ascii="Times New Roman" w:cs="Times New Roman"/>
          <w:shd w:val="clear" w:color="auto" w:fill="FFFFFF" w:themeFill="background1"/>
        </w:rPr>
        <w:t>—</w:t>
      </w:r>
      <w:r w:rsidR="008B7EA8" w:rsidRPr="008029B2">
        <w:rPr>
          <w:shd w:val="clear" w:color="auto" w:fill="FFFFFF" w:themeFill="background1"/>
        </w:rPr>
        <w:t>a</w:t>
      </w:r>
      <w:r w:rsidRPr="008029B2">
        <w:rPr>
          <w:shd w:val="clear" w:color="auto" w:fill="FFFFFF" w:themeFill="background1"/>
        </w:rPr>
        <w:t xml:space="preserve"> </w:t>
      </w:r>
      <w:r w:rsidR="008B7EA8" w:rsidRPr="008029B2">
        <w:rPr>
          <w:shd w:val="clear" w:color="auto" w:fill="FFFFFF" w:themeFill="background1"/>
        </w:rPr>
        <w:t>l</w:t>
      </w:r>
      <w:r w:rsidRPr="008029B2">
        <w:rPr>
          <w:shd w:val="clear" w:color="auto" w:fill="FFFFFF" w:themeFill="background1"/>
        </w:rPr>
        <w:t xml:space="preserve">ow </w:t>
      </w:r>
      <w:r w:rsidR="008B7EA8" w:rsidRPr="008029B2">
        <w:rPr>
          <w:shd w:val="clear" w:color="auto" w:fill="FFFFFF" w:themeFill="background1"/>
        </w:rPr>
        <w:t>i</w:t>
      </w:r>
      <w:r w:rsidRPr="008029B2">
        <w:rPr>
          <w:shd w:val="clear" w:color="auto" w:fill="FFFFFF" w:themeFill="background1"/>
        </w:rPr>
        <w:t>nvestment</w:t>
      </w:r>
    </w:p>
    <w:p w14:paraId="294FDAE3" w14:textId="5EA52137" w:rsidR="00F970C1" w:rsidRPr="008029B2" w:rsidRDefault="00F060B0" w:rsidP="00D727BF">
      <w:pPr>
        <w:pStyle w:val="ParagraphNumbering"/>
        <w:numPr>
          <w:ilvl w:val="0"/>
          <w:numId w:val="0"/>
        </w:numPr>
        <w:tabs>
          <w:tab w:val="left" w:pos="720"/>
        </w:tabs>
        <w:spacing w:after="240"/>
        <w:rPr>
          <w:shd w:val="clear" w:color="auto" w:fill="FFFFFF" w:themeFill="background1"/>
        </w:rPr>
      </w:pPr>
      <w:r>
        <w:rPr>
          <w:rFonts w:eastAsia="Calibri"/>
          <w:b/>
          <w:shd w:val="clear" w:color="auto" w:fill="FFFFFF" w:themeFill="background1"/>
        </w:rPr>
        <w:tab/>
      </w:r>
      <w:r w:rsidR="00F878E5" w:rsidRPr="008029B2">
        <w:rPr>
          <w:rFonts w:eastAsia="Calibri"/>
          <w:b/>
          <w:shd w:val="clear" w:color="auto" w:fill="FFFFFF" w:themeFill="background1"/>
        </w:rPr>
        <w:t>Firms that engage in R&amp;D are more likely to introduce innovations.</w:t>
      </w:r>
      <w:r w:rsidR="00F878E5" w:rsidRPr="008029B2">
        <w:rPr>
          <w:b/>
          <w:shd w:val="clear" w:color="auto" w:fill="FFFFFF" w:themeFill="background1"/>
        </w:rPr>
        <w:t xml:space="preserve"> However</w:t>
      </w:r>
      <w:r w:rsidR="003C45B2">
        <w:rPr>
          <w:b/>
          <w:shd w:val="clear" w:color="auto" w:fill="FFFFFF" w:themeFill="background1"/>
        </w:rPr>
        <w:t>,</w:t>
      </w:r>
      <w:r w:rsidR="00F878E5" w:rsidRPr="008029B2">
        <w:rPr>
          <w:b/>
          <w:shd w:val="clear" w:color="auto" w:fill="FFFFFF" w:themeFill="background1"/>
        </w:rPr>
        <w:t xml:space="preserve"> very few firms in Nigeria invest in R&amp;D.</w:t>
      </w:r>
      <w:r w:rsidR="00F878E5" w:rsidRPr="008029B2">
        <w:rPr>
          <w:shd w:val="clear" w:color="auto" w:fill="FFFFFF" w:themeFill="background1"/>
        </w:rPr>
        <w:t xml:space="preserve"> </w:t>
      </w:r>
      <w:r w:rsidR="00F878E5" w:rsidRPr="008029B2">
        <w:rPr>
          <w:shd w:val="clear" w:color="auto" w:fill="FFFFFF" w:themeFill="background1"/>
        </w:rPr>
        <w:fldChar w:fldCharType="begin"/>
      </w:r>
      <w:r w:rsidR="00F878E5" w:rsidRPr="008029B2">
        <w:rPr>
          <w:shd w:val="clear" w:color="auto" w:fill="FFFFFF" w:themeFill="background1"/>
        </w:rPr>
        <w:instrText xml:space="preserve"> REF _Ref433189970 \h </w:instrText>
      </w:r>
      <w:r w:rsidR="00F878E5" w:rsidRPr="008029B2">
        <w:rPr>
          <w:shd w:val="clear" w:color="auto" w:fill="FFFFFF" w:themeFill="background1"/>
        </w:rPr>
      </w:r>
      <w:r w:rsidR="00F878E5" w:rsidRPr="008029B2">
        <w:rPr>
          <w:shd w:val="clear" w:color="auto" w:fill="FFFFFF" w:themeFill="background1"/>
        </w:rPr>
        <w:fldChar w:fldCharType="separate"/>
      </w:r>
      <w:r w:rsidR="008A3BBD">
        <w:t xml:space="preserve">Table </w:t>
      </w:r>
      <w:r w:rsidR="008A3BBD">
        <w:rPr>
          <w:noProof/>
        </w:rPr>
        <w:t>2</w:t>
      </w:r>
      <w:r w:rsidR="00F878E5" w:rsidRPr="008029B2">
        <w:rPr>
          <w:shd w:val="clear" w:color="auto" w:fill="FFFFFF" w:themeFill="background1"/>
        </w:rPr>
        <w:fldChar w:fldCharType="end"/>
      </w:r>
      <w:r w:rsidR="00F878E5" w:rsidRPr="008029B2">
        <w:rPr>
          <w:shd w:val="clear" w:color="auto" w:fill="FFFFFF" w:themeFill="background1"/>
        </w:rPr>
        <w:t xml:space="preserve"> demonstrates the R&amp;D incidence (percentage of firms engaged in R&amp;D), intensity (R&amp;D expenditure per worker), and concentration (Herfindahl index for the concentration of R&amp;D value across firms) for firms in Nigeria and across comparator countries. Only 10.5 percent of all Nigerian firms engage in R&amp;D activities, and only </w:t>
      </w:r>
      <w:r w:rsidR="003C45B2">
        <w:rPr>
          <w:shd w:val="clear" w:color="auto" w:fill="FFFFFF" w:themeFill="background1"/>
        </w:rPr>
        <w:t>3</w:t>
      </w:r>
      <w:r w:rsidR="003C45B2" w:rsidRPr="008029B2">
        <w:rPr>
          <w:shd w:val="clear" w:color="auto" w:fill="FFFFFF" w:themeFill="background1"/>
        </w:rPr>
        <w:t xml:space="preserve"> </w:t>
      </w:r>
      <w:r w:rsidR="00F878E5" w:rsidRPr="008029B2">
        <w:rPr>
          <w:shd w:val="clear" w:color="auto" w:fill="FFFFFF" w:themeFill="background1"/>
        </w:rPr>
        <w:t xml:space="preserve">percent do both internal and external R&amp;D, which is </w:t>
      </w:r>
      <w:r w:rsidR="003C45B2">
        <w:rPr>
          <w:shd w:val="clear" w:color="auto" w:fill="FFFFFF" w:themeFill="background1"/>
        </w:rPr>
        <w:t xml:space="preserve">in </w:t>
      </w:r>
      <w:r w:rsidR="00F878E5" w:rsidRPr="008029B2">
        <w:rPr>
          <w:shd w:val="clear" w:color="auto" w:fill="FFFFFF" w:themeFill="background1"/>
        </w:rPr>
        <w:t>stark contrast to the higher rates in India (56 percent of firms), Russia (13 percent), Kenya (23 percent), Ghana (15.5 percent), and the African average excluding Nigeria (18.4 percent)</w:t>
      </w:r>
      <w:r w:rsidR="00F970C1" w:rsidRPr="008029B2">
        <w:rPr>
          <w:shd w:val="clear" w:color="auto" w:fill="FFFFFF" w:themeFill="background1"/>
        </w:rPr>
        <w:t>.</w:t>
      </w:r>
      <w:r w:rsidR="005F06ED" w:rsidRPr="008029B2">
        <w:rPr>
          <w:shd w:val="clear" w:color="auto" w:fill="FFFFFF" w:themeFill="background1"/>
        </w:rPr>
        <w:t xml:space="preserve"> </w:t>
      </w:r>
    </w:p>
    <w:p w14:paraId="778CF5A0" w14:textId="386AA037" w:rsidR="00F970C1" w:rsidRPr="008029B2" w:rsidRDefault="00F970C1" w:rsidP="00D727BF">
      <w:pPr>
        <w:pStyle w:val="Caption"/>
        <w:keepNext/>
        <w:tabs>
          <w:tab w:val="left" w:pos="720"/>
        </w:tabs>
        <w:ind w:left="20" w:hanging="20"/>
        <w:jc w:val="center"/>
        <w:rPr>
          <w:shd w:val="clear" w:color="auto" w:fill="FFFFFF" w:themeFill="background1"/>
        </w:rPr>
      </w:pPr>
      <w:bookmarkStart w:id="290" w:name="_Ref419364650"/>
      <w:bookmarkStart w:id="291" w:name="_Toc445449531"/>
      <w:r w:rsidRPr="008029B2">
        <w:rPr>
          <w:shd w:val="clear" w:color="auto" w:fill="FFFFFF" w:themeFill="background1"/>
        </w:rPr>
        <w:t xml:space="preserve">Table </w:t>
      </w:r>
      <w:r w:rsidR="008A2763" w:rsidRPr="008029B2">
        <w:rPr>
          <w:shd w:val="clear" w:color="auto" w:fill="FFFFFF" w:themeFill="background1"/>
        </w:rPr>
        <w:fldChar w:fldCharType="begin"/>
      </w:r>
      <w:r w:rsidR="008A2763" w:rsidRPr="008029B2">
        <w:rPr>
          <w:shd w:val="clear" w:color="auto" w:fill="FFFFFF" w:themeFill="background1"/>
        </w:rPr>
        <w:instrText xml:space="preserve"> SEQ Table \* ARABIC </w:instrText>
      </w:r>
      <w:r w:rsidR="008A2763" w:rsidRPr="008029B2">
        <w:rPr>
          <w:shd w:val="clear" w:color="auto" w:fill="FFFFFF" w:themeFill="background1"/>
        </w:rPr>
        <w:fldChar w:fldCharType="separate"/>
      </w:r>
      <w:r w:rsidR="008A3BBD">
        <w:rPr>
          <w:noProof/>
          <w:shd w:val="clear" w:color="auto" w:fill="FFFFFF" w:themeFill="background1"/>
        </w:rPr>
        <w:t>10</w:t>
      </w:r>
      <w:r w:rsidR="008A2763" w:rsidRPr="008029B2">
        <w:rPr>
          <w:noProof/>
          <w:shd w:val="clear" w:color="auto" w:fill="FFFFFF" w:themeFill="background1"/>
        </w:rPr>
        <w:fldChar w:fldCharType="end"/>
      </w:r>
      <w:bookmarkEnd w:id="290"/>
      <w:r w:rsidRPr="008029B2">
        <w:rPr>
          <w:shd w:val="clear" w:color="auto" w:fill="FFFFFF" w:themeFill="background1"/>
        </w:rPr>
        <w:t>: Investment in Research and Development (R&amp;D)</w:t>
      </w:r>
      <w:bookmarkEnd w:id="291"/>
    </w:p>
    <w:tbl>
      <w:tblPr>
        <w:tblW w:w="9464" w:type="dxa"/>
        <w:tblLayout w:type="fixed"/>
        <w:tblLook w:val="04A0" w:firstRow="1" w:lastRow="0" w:firstColumn="1" w:lastColumn="0" w:noHBand="0" w:noVBand="1"/>
      </w:tblPr>
      <w:tblGrid>
        <w:gridCol w:w="2340"/>
        <w:gridCol w:w="1146"/>
        <w:gridCol w:w="1146"/>
        <w:gridCol w:w="1146"/>
        <w:gridCol w:w="1843"/>
        <w:gridCol w:w="1843"/>
      </w:tblGrid>
      <w:tr w:rsidR="00F970C1" w:rsidRPr="008029B2" w14:paraId="7E11C7D0" w14:textId="77777777" w:rsidTr="00F970C1">
        <w:trPr>
          <w:trHeight w:val="288"/>
        </w:trPr>
        <w:tc>
          <w:tcPr>
            <w:tcW w:w="2340" w:type="dxa"/>
            <w:tcBorders>
              <w:top w:val="single" w:sz="4" w:space="0" w:color="auto"/>
              <w:left w:val="nil"/>
              <w:bottom w:val="nil"/>
              <w:right w:val="single" w:sz="4" w:space="0" w:color="auto"/>
            </w:tcBorders>
            <w:shd w:val="clear" w:color="auto" w:fill="auto"/>
            <w:noWrap/>
            <w:vAlign w:val="bottom"/>
            <w:hideMark/>
          </w:tcPr>
          <w:p w14:paraId="75B8000B"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 </w:t>
            </w:r>
          </w:p>
        </w:tc>
        <w:tc>
          <w:tcPr>
            <w:tcW w:w="3438" w:type="dxa"/>
            <w:gridSpan w:val="3"/>
            <w:tcBorders>
              <w:top w:val="single" w:sz="4" w:space="0" w:color="auto"/>
              <w:left w:val="single" w:sz="4" w:space="0" w:color="auto"/>
              <w:bottom w:val="nil"/>
              <w:right w:val="single" w:sz="4" w:space="0" w:color="auto"/>
            </w:tcBorders>
            <w:shd w:val="clear" w:color="auto" w:fill="auto"/>
            <w:noWrap/>
            <w:vAlign w:val="bottom"/>
            <w:hideMark/>
          </w:tcPr>
          <w:p w14:paraId="2EE6AF31" w14:textId="77777777" w:rsidR="00F970C1" w:rsidRPr="008029B2" w:rsidRDefault="00F970C1" w:rsidP="00D727BF">
            <w:pPr>
              <w:tabs>
                <w:tab w:val="left" w:pos="720"/>
              </w:tabs>
              <w:spacing w:before="60" w:after="0"/>
              <w:ind w:left="14" w:hanging="14"/>
              <w:jc w:val="center"/>
              <w:rPr>
                <w:rFonts w:ascii="Trebuchet MS" w:eastAsia="Times New Roman" w:hAnsi="Trebuchet MS" w:cs="Times New Roman"/>
                <w:b/>
                <w:bCs/>
                <w:color w:val="000000"/>
                <w:sz w:val="20"/>
                <w:szCs w:val="20"/>
                <w:shd w:val="clear" w:color="auto" w:fill="FFFFFF" w:themeFill="background1"/>
              </w:rPr>
            </w:pPr>
            <w:r w:rsidRPr="008029B2">
              <w:rPr>
                <w:rFonts w:ascii="Trebuchet MS" w:eastAsia="Times New Roman" w:hAnsi="Trebuchet MS" w:cs="Times New Roman"/>
                <w:b/>
                <w:bCs/>
                <w:color w:val="000000"/>
                <w:sz w:val="20"/>
                <w:szCs w:val="20"/>
                <w:shd w:val="clear" w:color="auto" w:fill="FFFFFF" w:themeFill="background1"/>
              </w:rPr>
              <w:t xml:space="preserve">R&amp;D Incidence </w:t>
            </w:r>
          </w:p>
          <w:p w14:paraId="62DBB4C1" w14:textId="77777777" w:rsidR="00F970C1" w:rsidRPr="008029B2" w:rsidRDefault="00F970C1" w:rsidP="00D727BF">
            <w:pPr>
              <w:tabs>
                <w:tab w:val="left" w:pos="720"/>
              </w:tabs>
              <w:spacing w:before="60" w:after="0"/>
              <w:ind w:left="14" w:hanging="14"/>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 of all firms</w:t>
            </w:r>
          </w:p>
        </w:tc>
        <w:tc>
          <w:tcPr>
            <w:tcW w:w="1843" w:type="dxa"/>
            <w:tcBorders>
              <w:top w:val="single" w:sz="4" w:space="0" w:color="auto"/>
              <w:left w:val="single" w:sz="4" w:space="0" w:color="auto"/>
              <w:bottom w:val="nil"/>
              <w:right w:val="nil"/>
            </w:tcBorders>
            <w:shd w:val="clear" w:color="auto" w:fill="auto"/>
            <w:noWrap/>
            <w:vAlign w:val="bottom"/>
            <w:hideMark/>
          </w:tcPr>
          <w:p w14:paraId="21B234AB" w14:textId="77777777" w:rsidR="00F970C1" w:rsidRPr="008029B2" w:rsidRDefault="00F970C1" w:rsidP="00D727BF">
            <w:pPr>
              <w:tabs>
                <w:tab w:val="left" w:pos="720"/>
              </w:tabs>
              <w:spacing w:before="60" w:after="0"/>
              <w:ind w:left="14" w:hanging="14"/>
              <w:jc w:val="center"/>
              <w:rPr>
                <w:rFonts w:ascii="Trebuchet MS" w:eastAsia="Times New Roman" w:hAnsi="Trebuchet MS" w:cs="Times New Roman"/>
                <w:b/>
                <w:bCs/>
                <w:color w:val="000000"/>
                <w:sz w:val="20"/>
                <w:szCs w:val="20"/>
                <w:shd w:val="clear" w:color="auto" w:fill="FFFFFF" w:themeFill="background1"/>
              </w:rPr>
            </w:pPr>
            <w:r w:rsidRPr="008029B2">
              <w:rPr>
                <w:rFonts w:ascii="Trebuchet MS" w:eastAsia="Times New Roman" w:hAnsi="Trebuchet MS" w:cs="Times New Roman"/>
                <w:b/>
                <w:bCs/>
                <w:color w:val="000000"/>
                <w:sz w:val="20"/>
                <w:szCs w:val="20"/>
                <w:shd w:val="clear" w:color="auto" w:fill="FFFFFF" w:themeFill="background1"/>
              </w:rPr>
              <w:t>R&amp;D Intensity</w:t>
            </w:r>
          </w:p>
        </w:tc>
        <w:tc>
          <w:tcPr>
            <w:tcW w:w="1843" w:type="dxa"/>
            <w:tcBorders>
              <w:top w:val="single" w:sz="4" w:space="0" w:color="auto"/>
              <w:left w:val="nil"/>
              <w:bottom w:val="nil"/>
              <w:right w:val="nil"/>
            </w:tcBorders>
            <w:shd w:val="clear" w:color="auto" w:fill="auto"/>
            <w:noWrap/>
            <w:vAlign w:val="bottom"/>
            <w:hideMark/>
          </w:tcPr>
          <w:p w14:paraId="4C9B54D2" w14:textId="77777777" w:rsidR="00F970C1" w:rsidRPr="008029B2" w:rsidRDefault="00F970C1" w:rsidP="00D727BF">
            <w:pPr>
              <w:tabs>
                <w:tab w:val="left" w:pos="720"/>
              </w:tabs>
              <w:spacing w:before="60" w:after="0"/>
              <w:ind w:left="14" w:hanging="14"/>
              <w:jc w:val="center"/>
              <w:rPr>
                <w:rFonts w:ascii="Trebuchet MS" w:eastAsia="Times New Roman" w:hAnsi="Trebuchet MS" w:cs="Times New Roman"/>
                <w:b/>
                <w:bCs/>
                <w:color w:val="000000"/>
                <w:sz w:val="20"/>
                <w:szCs w:val="20"/>
                <w:shd w:val="clear" w:color="auto" w:fill="FFFFFF" w:themeFill="background1"/>
              </w:rPr>
            </w:pPr>
            <w:r w:rsidRPr="008029B2">
              <w:rPr>
                <w:rFonts w:ascii="Trebuchet MS" w:eastAsia="Times New Roman" w:hAnsi="Trebuchet MS" w:cs="Times New Roman"/>
                <w:b/>
                <w:bCs/>
                <w:color w:val="000000"/>
                <w:sz w:val="20"/>
                <w:szCs w:val="20"/>
                <w:shd w:val="clear" w:color="auto" w:fill="FFFFFF" w:themeFill="background1"/>
              </w:rPr>
              <w:t>R&amp;D Concentration</w:t>
            </w:r>
          </w:p>
        </w:tc>
      </w:tr>
      <w:tr w:rsidR="00F970C1" w:rsidRPr="008029B2" w14:paraId="53AF2BB5" w14:textId="77777777" w:rsidTr="00F970C1">
        <w:trPr>
          <w:trHeight w:val="288"/>
        </w:trPr>
        <w:tc>
          <w:tcPr>
            <w:tcW w:w="2340" w:type="dxa"/>
            <w:tcBorders>
              <w:top w:val="nil"/>
              <w:left w:val="nil"/>
              <w:bottom w:val="single" w:sz="4" w:space="0" w:color="auto"/>
              <w:right w:val="single" w:sz="4" w:space="0" w:color="auto"/>
            </w:tcBorders>
            <w:shd w:val="clear" w:color="auto" w:fill="auto"/>
            <w:noWrap/>
            <w:vAlign w:val="bottom"/>
            <w:hideMark/>
          </w:tcPr>
          <w:p w14:paraId="0B2B7A5D"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 </w:t>
            </w:r>
          </w:p>
        </w:tc>
        <w:tc>
          <w:tcPr>
            <w:tcW w:w="1146" w:type="dxa"/>
            <w:tcBorders>
              <w:top w:val="nil"/>
              <w:left w:val="single" w:sz="4" w:space="0" w:color="auto"/>
              <w:bottom w:val="single" w:sz="4" w:space="0" w:color="auto"/>
              <w:right w:val="nil"/>
            </w:tcBorders>
            <w:shd w:val="clear" w:color="auto" w:fill="auto"/>
            <w:noWrap/>
            <w:vAlign w:val="bottom"/>
            <w:hideMark/>
          </w:tcPr>
          <w:p w14:paraId="1E0208BF"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Overall</w:t>
            </w:r>
          </w:p>
        </w:tc>
        <w:tc>
          <w:tcPr>
            <w:tcW w:w="1146" w:type="dxa"/>
            <w:tcBorders>
              <w:top w:val="nil"/>
              <w:left w:val="nil"/>
              <w:bottom w:val="single" w:sz="4" w:space="0" w:color="auto"/>
              <w:right w:val="nil"/>
            </w:tcBorders>
            <w:shd w:val="clear" w:color="auto" w:fill="auto"/>
            <w:noWrap/>
            <w:vAlign w:val="bottom"/>
            <w:hideMark/>
          </w:tcPr>
          <w:p w14:paraId="4F163B63"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Internal</w:t>
            </w:r>
          </w:p>
        </w:tc>
        <w:tc>
          <w:tcPr>
            <w:tcW w:w="1146" w:type="dxa"/>
            <w:tcBorders>
              <w:top w:val="nil"/>
              <w:left w:val="nil"/>
              <w:bottom w:val="single" w:sz="4" w:space="0" w:color="auto"/>
              <w:right w:val="single" w:sz="4" w:space="0" w:color="auto"/>
            </w:tcBorders>
            <w:shd w:val="clear" w:color="auto" w:fill="auto"/>
            <w:noWrap/>
            <w:vAlign w:val="bottom"/>
            <w:hideMark/>
          </w:tcPr>
          <w:p w14:paraId="22F1210E"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External</w:t>
            </w:r>
          </w:p>
        </w:tc>
        <w:tc>
          <w:tcPr>
            <w:tcW w:w="1843" w:type="dxa"/>
            <w:tcBorders>
              <w:top w:val="nil"/>
              <w:left w:val="single" w:sz="4" w:space="0" w:color="auto"/>
              <w:bottom w:val="single" w:sz="4" w:space="0" w:color="auto"/>
              <w:right w:val="nil"/>
            </w:tcBorders>
            <w:shd w:val="clear" w:color="auto" w:fill="auto"/>
            <w:noWrap/>
            <w:vAlign w:val="bottom"/>
            <w:hideMark/>
          </w:tcPr>
          <w:p w14:paraId="178DD2A1" w14:textId="402A8EBF"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 xml:space="preserve">$ </w:t>
            </w:r>
            <w:r w:rsidR="001C079D" w:rsidRPr="008029B2">
              <w:rPr>
                <w:rFonts w:ascii="Trebuchet MS" w:eastAsia="Times New Roman" w:hAnsi="Trebuchet MS" w:cs="Times New Roman"/>
                <w:bCs/>
                <w:color w:val="000000"/>
                <w:sz w:val="20"/>
                <w:szCs w:val="20"/>
                <w:shd w:val="clear" w:color="auto" w:fill="FFFFFF" w:themeFill="background1"/>
              </w:rPr>
              <w:t>p</w:t>
            </w:r>
            <w:r w:rsidRPr="008029B2">
              <w:rPr>
                <w:rFonts w:ascii="Trebuchet MS" w:eastAsia="Times New Roman" w:hAnsi="Trebuchet MS" w:cs="Times New Roman"/>
                <w:bCs/>
                <w:color w:val="000000"/>
                <w:sz w:val="20"/>
                <w:szCs w:val="20"/>
                <w:shd w:val="clear" w:color="auto" w:fill="FFFFFF" w:themeFill="background1"/>
              </w:rPr>
              <w:t xml:space="preserve">er </w:t>
            </w:r>
            <w:r w:rsidR="001C079D" w:rsidRPr="008029B2">
              <w:rPr>
                <w:rFonts w:ascii="Trebuchet MS" w:eastAsia="Times New Roman" w:hAnsi="Trebuchet MS" w:cs="Times New Roman"/>
                <w:bCs/>
                <w:color w:val="000000"/>
                <w:sz w:val="20"/>
                <w:szCs w:val="20"/>
                <w:shd w:val="clear" w:color="auto" w:fill="FFFFFF" w:themeFill="background1"/>
              </w:rPr>
              <w:t>w</w:t>
            </w:r>
            <w:r w:rsidRPr="008029B2">
              <w:rPr>
                <w:rFonts w:ascii="Trebuchet MS" w:eastAsia="Times New Roman" w:hAnsi="Trebuchet MS" w:cs="Times New Roman"/>
                <w:bCs/>
                <w:color w:val="000000"/>
                <w:sz w:val="20"/>
                <w:szCs w:val="20"/>
                <w:shd w:val="clear" w:color="auto" w:fill="FFFFFF" w:themeFill="background1"/>
              </w:rPr>
              <w:t>orker</w:t>
            </w:r>
          </w:p>
        </w:tc>
        <w:tc>
          <w:tcPr>
            <w:tcW w:w="1843" w:type="dxa"/>
            <w:tcBorders>
              <w:top w:val="nil"/>
              <w:left w:val="nil"/>
              <w:bottom w:val="single" w:sz="4" w:space="0" w:color="auto"/>
              <w:right w:val="nil"/>
            </w:tcBorders>
            <w:shd w:val="clear" w:color="auto" w:fill="auto"/>
            <w:noWrap/>
            <w:vAlign w:val="bottom"/>
            <w:hideMark/>
          </w:tcPr>
          <w:p w14:paraId="36D63B56"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HHI</w:t>
            </w:r>
            <w:r w:rsidRPr="008029B2">
              <w:rPr>
                <w:rFonts w:ascii="Trebuchet MS" w:eastAsia="Times New Roman" w:hAnsi="Trebuchet MS" w:cs="Times New Roman"/>
                <w:bCs/>
                <w:color w:val="000000"/>
                <w:sz w:val="20"/>
                <w:szCs w:val="20"/>
                <w:shd w:val="clear" w:color="auto" w:fill="FFFFFF" w:themeFill="background1"/>
                <w:vertAlign w:val="superscript"/>
              </w:rPr>
              <w:t>b</w:t>
            </w:r>
          </w:p>
        </w:tc>
      </w:tr>
      <w:tr w:rsidR="00F970C1" w:rsidRPr="008029B2" w14:paraId="494DFD66" w14:textId="77777777" w:rsidTr="00F970C1">
        <w:trPr>
          <w:trHeight w:val="288"/>
        </w:trPr>
        <w:tc>
          <w:tcPr>
            <w:tcW w:w="2340" w:type="dxa"/>
            <w:tcBorders>
              <w:top w:val="nil"/>
              <w:left w:val="nil"/>
              <w:bottom w:val="nil"/>
              <w:right w:val="single" w:sz="4" w:space="0" w:color="auto"/>
            </w:tcBorders>
            <w:shd w:val="clear" w:color="auto" w:fill="F2F2F2" w:themeFill="background1" w:themeFillShade="F2"/>
            <w:noWrap/>
            <w:vAlign w:val="bottom"/>
            <w:hideMark/>
          </w:tcPr>
          <w:p w14:paraId="022C93F4"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Nigeria</w:t>
            </w:r>
          </w:p>
        </w:tc>
        <w:tc>
          <w:tcPr>
            <w:tcW w:w="1146" w:type="dxa"/>
            <w:tcBorders>
              <w:top w:val="nil"/>
              <w:left w:val="single" w:sz="4" w:space="0" w:color="auto"/>
              <w:bottom w:val="nil"/>
              <w:right w:val="nil"/>
            </w:tcBorders>
            <w:shd w:val="clear" w:color="auto" w:fill="F2F2F2" w:themeFill="background1" w:themeFillShade="F2"/>
            <w:noWrap/>
            <w:vAlign w:val="center"/>
            <w:hideMark/>
          </w:tcPr>
          <w:p w14:paraId="033498EA" w14:textId="7FF82513" w:rsidR="00F970C1" w:rsidRPr="008029B2" w:rsidRDefault="00F970C1" w:rsidP="00D727BF">
            <w:pPr>
              <w:tabs>
                <w:tab w:val="left" w:pos="720"/>
              </w:tabs>
              <w:spacing w:after="0"/>
              <w:jc w:val="center"/>
              <w:rPr>
                <w:rFonts w:ascii="Trebuchet MS" w:hAnsi="Trebuchet MS"/>
                <w:bCs/>
                <w:iCs/>
                <w:color w:val="000000"/>
                <w:sz w:val="20"/>
                <w:szCs w:val="20"/>
                <w:shd w:val="clear" w:color="auto" w:fill="FFFFFF" w:themeFill="background1"/>
              </w:rPr>
            </w:pPr>
            <w:r w:rsidRPr="008029B2">
              <w:rPr>
                <w:rFonts w:ascii="Trebuchet MS" w:hAnsi="Trebuchet MS"/>
                <w:bCs/>
                <w:iCs/>
                <w:color w:val="000000"/>
                <w:sz w:val="20"/>
                <w:szCs w:val="20"/>
                <w:shd w:val="clear" w:color="auto" w:fill="FFFFFF" w:themeFill="background1"/>
              </w:rPr>
              <w:t>10.5%</w:t>
            </w:r>
          </w:p>
        </w:tc>
        <w:tc>
          <w:tcPr>
            <w:tcW w:w="1146" w:type="dxa"/>
            <w:tcBorders>
              <w:top w:val="nil"/>
              <w:left w:val="nil"/>
              <w:bottom w:val="nil"/>
              <w:right w:val="nil"/>
            </w:tcBorders>
            <w:shd w:val="clear" w:color="auto" w:fill="F2F2F2" w:themeFill="background1" w:themeFillShade="F2"/>
            <w:noWrap/>
            <w:vAlign w:val="center"/>
            <w:hideMark/>
          </w:tcPr>
          <w:p w14:paraId="13DAEF00" w14:textId="6DB351E5" w:rsidR="00F970C1" w:rsidRPr="008029B2" w:rsidRDefault="00F970C1" w:rsidP="00D727BF">
            <w:pPr>
              <w:tabs>
                <w:tab w:val="left" w:pos="720"/>
              </w:tabs>
              <w:spacing w:after="0"/>
              <w:jc w:val="center"/>
              <w:rPr>
                <w:rFonts w:ascii="Trebuchet MS" w:hAnsi="Trebuchet MS"/>
                <w:bCs/>
                <w:iCs/>
                <w:color w:val="000000"/>
                <w:sz w:val="20"/>
                <w:szCs w:val="20"/>
                <w:shd w:val="clear" w:color="auto" w:fill="FFFFFF" w:themeFill="background1"/>
              </w:rPr>
            </w:pPr>
            <w:r w:rsidRPr="008029B2">
              <w:rPr>
                <w:rFonts w:ascii="Trebuchet MS" w:hAnsi="Trebuchet MS"/>
                <w:bCs/>
                <w:iCs/>
                <w:color w:val="000000"/>
                <w:sz w:val="20"/>
                <w:szCs w:val="20"/>
                <w:shd w:val="clear" w:color="auto" w:fill="FFFFFF" w:themeFill="background1"/>
              </w:rPr>
              <w:t>10.3%</w:t>
            </w:r>
          </w:p>
        </w:tc>
        <w:tc>
          <w:tcPr>
            <w:tcW w:w="1146" w:type="dxa"/>
            <w:tcBorders>
              <w:top w:val="nil"/>
              <w:left w:val="nil"/>
              <w:bottom w:val="nil"/>
              <w:right w:val="single" w:sz="4" w:space="0" w:color="auto"/>
            </w:tcBorders>
            <w:shd w:val="clear" w:color="auto" w:fill="F2F2F2" w:themeFill="background1" w:themeFillShade="F2"/>
            <w:noWrap/>
            <w:vAlign w:val="center"/>
            <w:hideMark/>
          </w:tcPr>
          <w:p w14:paraId="510FA0FF" w14:textId="1359B21C" w:rsidR="00F970C1" w:rsidRPr="008029B2" w:rsidRDefault="00F970C1" w:rsidP="00D727BF">
            <w:pPr>
              <w:tabs>
                <w:tab w:val="left" w:pos="720"/>
              </w:tabs>
              <w:spacing w:after="0"/>
              <w:jc w:val="center"/>
              <w:rPr>
                <w:rFonts w:ascii="Trebuchet MS" w:hAnsi="Trebuchet MS"/>
                <w:bCs/>
                <w:iCs/>
                <w:color w:val="000000"/>
                <w:sz w:val="20"/>
                <w:szCs w:val="20"/>
                <w:shd w:val="clear" w:color="auto" w:fill="FFFFFF" w:themeFill="background1"/>
              </w:rPr>
            </w:pPr>
            <w:r w:rsidRPr="008029B2">
              <w:rPr>
                <w:rFonts w:ascii="Trebuchet MS" w:hAnsi="Trebuchet MS"/>
                <w:bCs/>
                <w:iCs/>
                <w:color w:val="000000"/>
                <w:sz w:val="20"/>
                <w:szCs w:val="20"/>
                <w:shd w:val="clear" w:color="auto" w:fill="FFFFFF" w:themeFill="background1"/>
              </w:rPr>
              <w:t>3.0%</w:t>
            </w:r>
          </w:p>
        </w:tc>
        <w:tc>
          <w:tcPr>
            <w:tcW w:w="1843" w:type="dxa"/>
            <w:tcBorders>
              <w:top w:val="nil"/>
              <w:left w:val="single" w:sz="4" w:space="0" w:color="auto"/>
              <w:bottom w:val="nil"/>
              <w:right w:val="nil"/>
            </w:tcBorders>
            <w:shd w:val="clear" w:color="auto" w:fill="F2F2F2" w:themeFill="background1" w:themeFillShade="F2"/>
            <w:noWrap/>
            <w:vAlign w:val="center"/>
            <w:hideMark/>
          </w:tcPr>
          <w:p w14:paraId="5FA02C39" w14:textId="77777777" w:rsidR="00F970C1" w:rsidRPr="008029B2" w:rsidRDefault="00F970C1" w:rsidP="00D727BF">
            <w:pPr>
              <w:tabs>
                <w:tab w:val="left" w:pos="720"/>
              </w:tabs>
              <w:spacing w:after="0"/>
              <w:jc w:val="center"/>
              <w:rPr>
                <w:rFonts w:ascii="Trebuchet MS" w:hAnsi="Trebuchet MS"/>
                <w:bCs/>
                <w:iCs/>
                <w:color w:val="000000"/>
                <w:sz w:val="20"/>
                <w:szCs w:val="20"/>
                <w:shd w:val="clear" w:color="auto" w:fill="FFFFFF" w:themeFill="background1"/>
              </w:rPr>
            </w:pPr>
            <w:r w:rsidRPr="008029B2">
              <w:rPr>
                <w:rFonts w:ascii="Trebuchet MS" w:hAnsi="Trebuchet MS"/>
                <w:bCs/>
                <w:iCs/>
                <w:color w:val="000000"/>
                <w:sz w:val="20"/>
                <w:szCs w:val="20"/>
                <w:shd w:val="clear" w:color="auto" w:fill="FFFFFF" w:themeFill="background1"/>
              </w:rPr>
              <w:t>359</w:t>
            </w:r>
          </w:p>
        </w:tc>
        <w:tc>
          <w:tcPr>
            <w:tcW w:w="1843" w:type="dxa"/>
            <w:tcBorders>
              <w:top w:val="nil"/>
              <w:left w:val="nil"/>
              <w:bottom w:val="nil"/>
              <w:right w:val="nil"/>
            </w:tcBorders>
            <w:shd w:val="clear" w:color="auto" w:fill="F2F2F2" w:themeFill="background1" w:themeFillShade="F2"/>
            <w:noWrap/>
            <w:vAlign w:val="center"/>
            <w:hideMark/>
          </w:tcPr>
          <w:p w14:paraId="1ECD6951" w14:textId="77777777" w:rsidR="00F970C1" w:rsidRPr="008029B2" w:rsidRDefault="00F970C1" w:rsidP="00D727BF">
            <w:pPr>
              <w:tabs>
                <w:tab w:val="left" w:pos="720"/>
              </w:tabs>
              <w:spacing w:after="0"/>
              <w:jc w:val="center"/>
              <w:rPr>
                <w:rFonts w:ascii="Trebuchet MS" w:hAnsi="Trebuchet MS"/>
                <w:bCs/>
                <w:iCs/>
                <w:color w:val="000000"/>
                <w:sz w:val="20"/>
                <w:szCs w:val="20"/>
                <w:shd w:val="clear" w:color="auto" w:fill="FFFFFF" w:themeFill="background1"/>
              </w:rPr>
            </w:pPr>
            <w:r w:rsidRPr="008029B2">
              <w:rPr>
                <w:rFonts w:ascii="Trebuchet MS" w:hAnsi="Trebuchet MS"/>
                <w:bCs/>
                <w:iCs/>
                <w:color w:val="000000"/>
                <w:sz w:val="20"/>
                <w:szCs w:val="20"/>
                <w:shd w:val="clear" w:color="auto" w:fill="FFFFFF" w:themeFill="background1"/>
              </w:rPr>
              <w:t>0.29</w:t>
            </w:r>
          </w:p>
        </w:tc>
      </w:tr>
      <w:tr w:rsidR="00F970C1" w:rsidRPr="008029B2" w14:paraId="3DD1628F" w14:textId="77777777" w:rsidTr="00F970C1">
        <w:trPr>
          <w:trHeight w:val="288"/>
        </w:trPr>
        <w:tc>
          <w:tcPr>
            <w:tcW w:w="2340" w:type="dxa"/>
            <w:tcBorders>
              <w:top w:val="nil"/>
              <w:left w:val="nil"/>
              <w:bottom w:val="nil"/>
              <w:right w:val="single" w:sz="4" w:space="0" w:color="auto"/>
            </w:tcBorders>
            <w:shd w:val="clear" w:color="auto" w:fill="auto"/>
            <w:noWrap/>
            <w:vAlign w:val="bottom"/>
            <w:hideMark/>
          </w:tcPr>
          <w:p w14:paraId="4FFF1C01"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India</w:t>
            </w:r>
          </w:p>
        </w:tc>
        <w:tc>
          <w:tcPr>
            <w:tcW w:w="1146" w:type="dxa"/>
            <w:tcBorders>
              <w:top w:val="nil"/>
              <w:left w:val="single" w:sz="4" w:space="0" w:color="auto"/>
              <w:bottom w:val="nil"/>
              <w:right w:val="nil"/>
            </w:tcBorders>
            <w:shd w:val="clear" w:color="auto" w:fill="auto"/>
            <w:noWrap/>
            <w:vAlign w:val="center"/>
            <w:hideMark/>
          </w:tcPr>
          <w:p w14:paraId="08E22610" w14:textId="73128FA5"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56.2%</w:t>
            </w:r>
          </w:p>
        </w:tc>
        <w:tc>
          <w:tcPr>
            <w:tcW w:w="1146" w:type="dxa"/>
            <w:tcBorders>
              <w:top w:val="nil"/>
              <w:left w:val="nil"/>
              <w:bottom w:val="nil"/>
              <w:right w:val="nil"/>
            </w:tcBorders>
            <w:shd w:val="clear" w:color="auto" w:fill="auto"/>
            <w:noWrap/>
            <w:vAlign w:val="center"/>
            <w:hideMark/>
          </w:tcPr>
          <w:p w14:paraId="66DAE32A" w14:textId="2A1DA4FA"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53.0%</w:t>
            </w:r>
          </w:p>
        </w:tc>
        <w:tc>
          <w:tcPr>
            <w:tcW w:w="1146" w:type="dxa"/>
            <w:tcBorders>
              <w:top w:val="nil"/>
              <w:left w:val="nil"/>
              <w:bottom w:val="nil"/>
              <w:right w:val="single" w:sz="4" w:space="0" w:color="auto"/>
            </w:tcBorders>
            <w:shd w:val="clear" w:color="auto" w:fill="auto"/>
            <w:noWrap/>
            <w:vAlign w:val="center"/>
            <w:hideMark/>
          </w:tcPr>
          <w:p w14:paraId="7649BAAA" w14:textId="4E4EE436"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7.1%</w:t>
            </w:r>
          </w:p>
        </w:tc>
        <w:tc>
          <w:tcPr>
            <w:tcW w:w="1843" w:type="dxa"/>
            <w:tcBorders>
              <w:top w:val="nil"/>
              <w:left w:val="single" w:sz="4" w:space="0" w:color="auto"/>
              <w:bottom w:val="nil"/>
              <w:right w:val="nil"/>
            </w:tcBorders>
            <w:shd w:val="clear" w:color="auto" w:fill="auto"/>
            <w:noWrap/>
            <w:vAlign w:val="center"/>
            <w:hideMark/>
          </w:tcPr>
          <w:p w14:paraId="058B07FE"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48</w:t>
            </w:r>
          </w:p>
        </w:tc>
        <w:tc>
          <w:tcPr>
            <w:tcW w:w="1843" w:type="dxa"/>
            <w:tcBorders>
              <w:top w:val="nil"/>
              <w:left w:val="nil"/>
              <w:bottom w:val="nil"/>
              <w:right w:val="nil"/>
            </w:tcBorders>
            <w:shd w:val="clear" w:color="auto" w:fill="auto"/>
            <w:noWrap/>
            <w:vAlign w:val="center"/>
            <w:hideMark/>
          </w:tcPr>
          <w:p w14:paraId="41BE550B"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0.07</w:t>
            </w:r>
          </w:p>
        </w:tc>
      </w:tr>
      <w:tr w:rsidR="00F970C1" w:rsidRPr="008029B2" w14:paraId="7867B230" w14:textId="77777777" w:rsidTr="00F970C1">
        <w:trPr>
          <w:trHeight w:val="288"/>
        </w:trPr>
        <w:tc>
          <w:tcPr>
            <w:tcW w:w="2340" w:type="dxa"/>
            <w:tcBorders>
              <w:top w:val="nil"/>
              <w:left w:val="nil"/>
              <w:bottom w:val="nil"/>
              <w:right w:val="single" w:sz="4" w:space="0" w:color="auto"/>
            </w:tcBorders>
            <w:shd w:val="clear" w:color="auto" w:fill="auto"/>
            <w:noWrap/>
            <w:vAlign w:val="bottom"/>
            <w:hideMark/>
          </w:tcPr>
          <w:p w14:paraId="24BEE071"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Kenya</w:t>
            </w:r>
          </w:p>
        </w:tc>
        <w:tc>
          <w:tcPr>
            <w:tcW w:w="1146" w:type="dxa"/>
            <w:tcBorders>
              <w:top w:val="nil"/>
              <w:left w:val="single" w:sz="4" w:space="0" w:color="auto"/>
              <w:bottom w:val="nil"/>
              <w:right w:val="nil"/>
            </w:tcBorders>
            <w:shd w:val="clear" w:color="auto" w:fill="auto"/>
            <w:noWrap/>
            <w:vAlign w:val="center"/>
            <w:hideMark/>
          </w:tcPr>
          <w:p w14:paraId="49B51662" w14:textId="4395B9D8"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22.8%</w:t>
            </w:r>
          </w:p>
        </w:tc>
        <w:tc>
          <w:tcPr>
            <w:tcW w:w="1146" w:type="dxa"/>
            <w:tcBorders>
              <w:top w:val="nil"/>
              <w:left w:val="nil"/>
              <w:bottom w:val="nil"/>
              <w:right w:val="nil"/>
            </w:tcBorders>
            <w:shd w:val="clear" w:color="auto" w:fill="auto"/>
            <w:noWrap/>
            <w:vAlign w:val="center"/>
            <w:hideMark/>
          </w:tcPr>
          <w:p w14:paraId="43288472"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22.1%</w:t>
            </w:r>
          </w:p>
        </w:tc>
        <w:tc>
          <w:tcPr>
            <w:tcW w:w="1146" w:type="dxa"/>
            <w:tcBorders>
              <w:top w:val="nil"/>
              <w:left w:val="nil"/>
              <w:bottom w:val="nil"/>
              <w:right w:val="single" w:sz="4" w:space="0" w:color="auto"/>
            </w:tcBorders>
            <w:shd w:val="clear" w:color="auto" w:fill="auto"/>
            <w:noWrap/>
            <w:vAlign w:val="center"/>
            <w:hideMark/>
          </w:tcPr>
          <w:p w14:paraId="046DD0E6" w14:textId="62075F38"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4.5%</w:t>
            </w:r>
          </w:p>
        </w:tc>
        <w:tc>
          <w:tcPr>
            <w:tcW w:w="1843" w:type="dxa"/>
            <w:tcBorders>
              <w:top w:val="nil"/>
              <w:left w:val="single" w:sz="4" w:space="0" w:color="auto"/>
              <w:bottom w:val="nil"/>
              <w:right w:val="nil"/>
            </w:tcBorders>
            <w:shd w:val="clear" w:color="auto" w:fill="auto"/>
            <w:noWrap/>
            <w:vAlign w:val="center"/>
            <w:hideMark/>
          </w:tcPr>
          <w:p w14:paraId="03F3C5F9"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234</w:t>
            </w:r>
          </w:p>
        </w:tc>
        <w:tc>
          <w:tcPr>
            <w:tcW w:w="1843" w:type="dxa"/>
            <w:tcBorders>
              <w:top w:val="nil"/>
              <w:left w:val="nil"/>
              <w:bottom w:val="nil"/>
              <w:right w:val="nil"/>
            </w:tcBorders>
            <w:shd w:val="clear" w:color="auto" w:fill="auto"/>
            <w:noWrap/>
            <w:vAlign w:val="center"/>
            <w:hideMark/>
          </w:tcPr>
          <w:p w14:paraId="39FEA0B2"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0.69</w:t>
            </w:r>
          </w:p>
        </w:tc>
      </w:tr>
      <w:tr w:rsidR="00F970C1" w:rsidRPr="008029B2" w14:paraId="5CF2F4B2" w14:textId="77777777" w:rsidTr="00F970C1">
        <w:trPr>
          <w:trHeight w:val="288"/>
        </w:trPr>
        <w:tc>
          <w:tcPr>
            <w:tcW w:w="2340" w:type="dxa"/>
            <w:tcBorders>
              <w:top w:val="nil"/>
              <w:left w:val="nil"/>
              <w:bottom w:val="nil"/>
              <w:right w:val="single" w:sz="4" w:space="0" w:color="auto"/>
            </w:tcBorders>
            <w:shd w:val="clear" w:color="auto" w:fill="auto"/>
            <w:noWrap/>
            <w:vAlign w:val="bottom"/>
            <w:hideMark/>
          </w:tcPr>
          <w:p w14:paraId="3D2BE05C"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Ghana</w:t>
            </w:r>
          </w:p>
        </w:tc>
        <w:tc>
          <w:tcPr>
            <w:tcW w:w="1146" w:type="dxa"/>
            <w:tcBorders>
              <w:top w:val="nil"/>
              <w:left w:val="single" w:sz="4" w:space="0" w:color="auto"/>
              <w:bottom w:val="nil"/>
              <w:right w:val="nil"/>
            </w:tcBorders>
            <w:shd w:val="clear" w:color="auto" w:fill="auto"/>
            <w:noWrap/>
            <w:vAlign w:val="center"/>
            <w:hideMark/>
          </w:tcPr>
          <w:p w14:paraId="574B0C40" w14:textId="4FDCD9AF"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15.5%</w:t>
            </w:r>
          </w:p>
        </w:tc>
        <w:tc>
          <w:tcPr>
            <w:tcW w:w="1146" w:type="dxa"/>
            <w:tcBorders>
              <w:top w:val="nil"/>
              <w:left w:val="nil"/>
              <w:bottom w:val="nil"/>
              <w:right w:val="nil"/>
            </w:tcBorders>
            <w:shd w:val="clear" w:color="auto" w:fill="auto"/>
            <w:noWrap/>
            <w:vAlign w:val="center"/>
            <w:hideMark/>
          </w:tcPr>
          <w:p w14:paraId="7521E37D" w14:textId="6697EF74"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14.2%</w:t>
            </w:r>
          </w:p>
        </w:tc>
        <w:tc>
          <w:tcPr>
            <w:tcW w:w="1146" w:type="dxa"/>
            <w:tcBorders>
              <w:top w:val="nil"/>
              <w:left w:val="nil"/>
              <w:bottom w:val="nil"/>
              <w:right w:val="single" w:sz="4" w:space="0" w:color="auto"/>
            </w:tcBorders>
            <w:shd w:val="clear" w:color="auto" w:fill="auto"/>
            <w:noWrap/>
            <w:vAlign w:val="center"/>
            <w:hideMark/>
          </w:tcPr>
          <w:p w14:paraId="3021365C" w14:textId="6DCA3005"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3.4%</w:t>
            </w:r>
          </w:p>
        </w:tc>
        <w:tc>
          <w:tcPr>
            <w:tcW w:w="1843" w:type="dxa"/>
            <w:tcBorders>
              <w:top w:val="nil"/>
              <w:left w:val="single" w:sz="4" w:space="0" w:color="auto"/>
              <w:bottom w:val="nil"/>
              <w:right w:val="nil"/>
            </w:tcBorders>
            <w:shd w:val="clear" w:color="auto" w:fill="auto"/>
            <w:noWrap/>
            <w:vAlign w:val="center"/>
            <w:hideMark/>
          </w:tcPr>
          <w:p w14:paraId="052F3C52"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602</w:t>
            </w:r>
          </w:p>
        </w:tc>
        <w:tc>
          <w:tcPr>
            <w:tcW w:w="1843" w:type="dxa"/>
            <w:tcBorders>
              <w:top w:val="nil"/>
              <w:left w:val="nil"/>
              <w:bottom w:val="nil"/>
              <w:right w:val="nil"/>
            </w:tcBorders>
            <w:shd w:val="clear" w:color="auto" w:fill="auto"/>
            <w:noWrap/>
            <w:vAlign w:val="center"/>
            <w:hideMark/>
          </w:tcPr>
          <w:p w14:paraId="0029C18D"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0.55</w:t>
            </w:r>
          </w:p>
        </w:tc>
      </w:tr>
      <w:tr w:rsidR="00F970C1" w:rsidRPr="008029B2" w14:paraId="04BA486C" w14:textId="77777777" w:rsidTr="00F970C1">
        <w:trPr>
          <w:trHeight w:val="288"/>
        </w:trPr>
        <w:tc>
          <w:tcPr>
            <w:tcW w:w="2340" w:type="dxa"/>
            <w:tcBorders>
              <w:top w:val="nil"/>
              <w:left w:val="nil"/>
              <w:bottom w:val="nil"/>
              <w:right w:val="single" w:sz="4" w:space="0" w:color="auto"/>
            </w:tcBorders>
            <w:shd w:val="clear" w:color="auto" w:fill="auto"/>
            <w:noWrap/>
            <w:vAlign w:val="bottom"/>
            <w:hideMark/>
          </w:tcPr>
          <w:p w14:paraId="6FA22C86"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Russian Federation</w:t>
            </w:r>
          </w:p>
        </w:tc>
        <w:tc>
          <w:tcPr>
            <w:tcW w:w="1146" w:type="dxa"/>
            <w:tcBorders>
              <w:top w:val="nil"/>
              <w:left w:val="single" w:sz="4" w:space="0" w:color="auto"/>
              <w:bottom w:val="nil"/>
              <w:right w:val="nil"/>
            </w:tcBorders>
            <w:shd w:val="clear" w:color="auto" w:fill="auto"/>
            <w:noWrap/>
            <w:vAlign w:val="center"/>
            <w:hideMark/>
          </w:tcPr>
          <w:p w14:paraId="3B93136E" w14:textId="00A12BD4"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12.9%</w:t>
            </w:r>
          </w:p>
        </w:tc>
        <w:tc>
          <w:tcPr>
            <w:tcW w:w="1146" w:type="dxa"/>
            <w:tcBorders>
              <w:top w:val="nil"/>
              <w:left w:val="nil"/>
              <w:bottom w:val="nil"/>
              <w:right w:val="nil"/>
            </w:tcBorders>
            <w:shd w:val="clear" w:color="auto" w:fill="auto"/>
            <w:noWrap/>
            <w:vAlign w:val="center"/>
            <w:hideMark/>
          </w:tcPr>
          <w:p w14:paraId="145D3B74" w14:textId="421B08CE"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11.9%</w:t>
            </w:r>
          </w:p>
        </w:tc>
        <w:tc>
          <w:tcPr>
            <w:tcW w:w="1146" w:type="dxa"/>
            <w:tcBorders>
              <w:top w:val="nil"/>
              <w:left w:val="nil"/>
              <w:bottom w:val="nil"/>
              <w:right w:val="single" w:sz="4" w:space="0" w:color="auto"/>
            </w:tcBorders>
            <w:shd w:val="clear" w:color="auto" w:fill="auto"/>
            <w:noWrap/>
            <w:vAlign w:val="center"/>
            <w:hideMark/>
          </w:tcPr>
          <w:p w14:paraId="57BE9879" w14:textId="222DA7CC"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4.5%</w:t>
            </w:r>
          </w:p>
        </w:tc>
        <w:tc>
          <w:tcPr>
            <w:tcW w:w="1843" w:type="dxa"/>
            <w:tcBorders>
              <w:top w:val="nil"/>
              <w:left w:val="single" w:sz="4" w:space="0" w:color="auto"/>
              <w:bottom w:val="nil"/>
              <w:right w:val="nil"/>
            </w:tcBorders>
            <w:shd w:val="clear" w:color="auto" w:fill="auto"/>
            <w:noWrap/>
            <w:vAlign w:val="center"/>
            <w:hideMark/>
          </w:tcPr>
          <w:p w14:paraId="45EC30CD"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2755</w:t>
            </w:r>
          </w:p>
        </w:tc>
        <w:tc>
          <w:tcPr>
            <w:tcW w:w="1843" w:type="dxa"/>
            <w:tcBorders>
              <w:top w:val="nil"/>
              <w:left w:val="nil"/>
              <w:bottom w:val="nil"/>
              <w:right w:val="nil"/>
            </w:tcBorders>
            <w:shd w:val="clear" w:color="auto" w:fill="auto"/>
            <w:noWrap/>
            <w:vAlign w:val="center"/>
            <w:hideMark/>
          </w:tcPr>
          <w:p w14:paraId="1118EFF5"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0.27</w:t>
            </w:r>
          </w:p>
        </w:tc>
      </w:tr>
      <w:tr w:rsidR="00F970C1" w:rsidRPr="008029B2" w14:paraId="7C41A3A2" w14:textId="77777777" w:rsidTr="00F970C1">
        <w:trPr>
          <w:trHeight w:val="288"/>
        </w:trPr>
        <w:tc>
          <w:tcPr>
            <w:tcW w:w="2340" w:type="dxa"/>
            <w:tcBorders>
              <w:top w:val="nil"/>
              <w:left w:val="nil"/>
              <w:bottom w:val="single" w:sz="4" w:space="0" w:color="auto"/>
              <w:right w:val="single" w:sz="4" w:space="0" w:color="auto"/>
            </w:tcBorders>
            <w:shd w:val="clear" w:color="auto" w:fill="auto"/>
            <w:noWrap/>
            <w:vAlign w:val="bottom"/>
            <w:hideMark/>
          </w:tcPr>
          <w:p w14:paraId="79791678"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vertAlign w:val="superscript"/>
              </w:rPr>
            </w:pPr>
            <w:r w:rsidRPr="008029B2">
              <w:rPr>
                <w:rFonts w:ascii="Trebuchet MS" w:eastAsia="Times New Roman" w:hAnsi="Trebuchet MS" w:cs="Times New Roman"/>
                <w:color w:val="000000"/>
                <w:sz w:val="20"/>
                <w:szCs w:val="20"/>
                <w:shd w:val="clear" w:color="auto" w:fill="FFFFFF" w:themeFill="background1"/>
              </w:rPr>
              <w:t xml:space="preserve">Africa </w:t>
            </w:r>
            <w:r w:rsidRPr="008029B2">
              <w:rPr>
                <w:rFonts w:ascii="Trebuchet MS" w:eastAsia="Times New Roman" w:hAnsi="Trebuchet MS" w:cs="Times New Roman"/>
                <w:color w:val="000000"/>
                <w:sz w:val="20"/>
                <w:szCs w:val="20"/>
                <w:shd w:val="clear" w:color="auto" w:fill="FFFFFF" w:themeFill="background1"/>
                <w:vertAlign w:val="superscript"/>
              </w:rPr>
              <w:t>a</w:t>
            </w:r>
          </w:p>
        </w:tc>
        <w:tc>
          <w:tcPr>
            <w:tcW w:w="1146" w:type="dxa"/>
            <w:tcBorders>
              <w:top w:val="nil"/>
              <w:left w:val="single" w:sz="4" w:space="0" w:color="auto"/>
              <w:bottom w:val="single" w:sz="4" w:space="0" w:color="auto"/>
              <w:right w:val="nil"/>
            </w:tcBorders>
            <w:shd w:val="clear" w:color="auto" w:fill="auto"/>
            <w:noWrap/>
            <w:vAlign w:val="center"/>
            <w:hideMark/>
          </w:tcPr>
          <w:p w14:paraId="3560057C" w14:textId="4C8AFDB2"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18.4%</w:t>
            </w:r>
          </w:p>
        </w:tc>
        <w:tc>
          <w:tcPr>
            <w:tcW w:w="1146" w:type="dxa"/>
            <w:tcBorders>
              <w:top w:val="nil"/>
              <w:left w:val="nil"/>
              <w:bottom w:val="single" w:sz="4" w:space="0" w:color="auto"/>
              <w:right w:val="nil"/>
            </w:tcBorders>
            <w:shd w:val="clear" w:color="auto" w:fill="auto"/>
            <w:noWrap/>
            <w:vAlign w:val="center"/>
            <w:hideMark/>
          </w:tcPr>
          <w:p w14:paraId="3FBF44AF" w14:textId="0B338589"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16.2%</w:t>
            </w:r>
          </w:p>
        </w:tc>
        <w:tc>
          <w:tcPr>
            <w:tcW w:w="1146" w:type="dxa"/>
            <w:tcBorders>
              <w:top w:val="nil"/>
              <w:left w:val="nil"/>
              <w:bottom w:val="single" w:sz="4" w:space="0" w:color="auto"/>
              <w:right w:val="single" w:sz="4" w:space="0" w:color="auto"/>
            </w:tcBorders>
            <w:shd w:val="clear" w:color="auto" w:fill="auto"/>
            <w:noWrap/>
            <w:vAlign w:val="center"/>
            <w:hideMark/>
          </w:tcPr>
          <w:p w14:paraId="27BAB0DD" w14:textId="52969383"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6.9%</w:t>
            </w:r>
          </w:p>
        </w:tc>
        <w:tc>
          <w:tcPr>
            <w:tcW w:w="1843" w:type="dxa"/>
            <w:tcBorders>
              <w:top w:val="nil"/>
              <w:left w:val="single" w:sz="4" w:space="0" w:color="auto"/>
              <w:bottom w:val="single" w:sz="4" w:space="0" w:color="auto"/>
              <w:right w:val="nil"/>
            </w:tcBorders>
            <w:shd w:val="clear" w:color="auto" w:fill="auto"/>
            <w:noWrap/>
            <w:vAlign w:val="center"/>
            <w:hideMark/>
          </w:tcPr>
          <w:p w14:paraId="401FC61B"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242</w:t>
            </w:r>
          </w:p>
        </w:tc>
        <w:tc>
          <w:tcPr>
            <w:tcW w:w="1843" w:type="dxa"/>
            <w:tcBorders>
              <w:top w:val="nil"/>
              <w:left w:val="nil"/>
              <w:bottom w:val="single" w:sz="4" w:space="0" w:color="auto"/>
              <w:right w:val="nil"/>
            </w:tcBorders>
            <w:shd w:val="clear" w:color="auto" w:fill="auto"/>
            <w:noWrap/>
            <w:vAlign w:val="center"/>
            <w:hideMark/>
          </w:tcPr>
          <w:p w14:paraId="1DFFE003" w14:textId="77777777" w:rsidR="00F970C1" w:rsidRPr="008029B2" w:rsidRDefault="00F970C1" w:rsidP="00D727BF">
            <w:pPr>
              <w:tabs>
                <w:tab w:val="left" w:pos="720"/>
              </w:tabs>
              <w:spacing w:after="0"/>
              <w:jc w:val="center"/>
              <w:rPr>
                <w:rFonts w:ascii="Trebuchet MS" w:hAnsi="Trebuchet MS"/>
                <w:color w:val="000000"/>
                <w:sz w:val="20"/>
                <w:szCs w:val="20"/>
                <w:shd w:val="clear" w:color="auto" w:fill="FFFFFF" w:themeFill="background1"/>
              </w:rPr>
            </w:pPr>
            <w:r w:rsidRPr="008029B2">
              <w:rPr>
                <w:rFonts w:ascii="Trebuchet MS" w:hAnsi="Trebuchet MS"/>
                <w:color w:val="000000"/>
                <w:sz w:val="20"/>
                <w:szCs w:val="20"/>
                <w:shd w:val="clear" w:color="auto" w:fill="FFFFFF" w:themeFill="background1"/>
              </w:rPr>
              <w:t>0.27</w:t>
            </w:r>
          </w:p>
        </w:tc>
      </w:tr>
    </w:tbl>
    <w:p w14:paraId="7D2F882A" w14:textId="7A424CBB" w:rsidR="00F970C1" w:rsidRPr="008029B2" w:rsidRDefault="00F970C1" w:rsidP="00D727BF">
      <w:pPr>
        <w:tabs>
          <w:tab w:val="left" w:pos="720"/>
        </w:tabs>
        <w:spacing w:after="120"/>
        <w:rPr>
          <w:rFonts w:eastAsia="Calibri" w:cs="Times New Roman"/>
          <w:sz w:val="18"/>
          <w:szCs w:val="18"/>
          <w:shd w:val="clear" w:color="auto" w:fill="FFFFFF" w:themeFill="background1"/>
        </w:rPr>
      </w:pPr>
      <w:r w:rsidRPr="008029B2">
        <w:rPr>
          <w:rFonts w:eastAsia="Calibri" w:cs="Times New Roman"/>
          <w:sz w:val="18"/>
          <w:szCs w:val="18"/>
          <w:shd w:val="clear" w:color="auto" w:fill="FFFFFF" w:themeFill="background1"/>
        </w:rPr>
        <w:t>Source: Authors</w:t>
      </w:r>
      <w:r w:rsidR="00863D16">
        <w:rPr>
          <w:rFonts w:eastAsia="Calibri" w:cs="Times New Roman"/>
          <w:sz w:val="18"/>
          <w:szCs w:val="18"/>
          <w:shd w:val="clear" w:color="auto" w:fill="FFFFFF" w:themeFill="background1"/>
        </w:rPr>
        <w:t>’</w:t>
      </w:r>
      <w:r w:rsidR="0020780A" w:rsidRPr="008029B2">
        <w:rPr>
          <w:rFonts w:eastAsia="Calibri" w:cs="Times New Roman"/>
          <w:sz w:val="18"/>
          <w:szCs w:val="18"/>
          <w:shd w:val="clear" w:color="auto" w:fill="FFFFFF" w:themeFill="background1"/>
        </w:rPr>
        <w:t xml:space="preserve"> calculations based on </w:t>
      </w:r>
      <w:r w:rsidRPr="008029B2">
        <w:rPr>
          <w:rFonts w:eastAsia="Calibri" w:cs="Times New Roman"/>
          <w:sz w:val="18"/>
          <w:szCs w:val="18"/>
          <w:shd w:val="clear" w:color="auto" w:fill="FFFFFF" w:themeFill="background1"/>
        </w:rPr>
        <w:t>Enterprise Survey</w:t>
      </w:r>
      <w:r w:rsidR="00B83265" w:rsidRPr="008029B2">
        <w:rPr>
          <w:rFonts w:eastAsia="Calibri" w:cs="Times New Roman"/>
          <w:sz w:val="18"/>
          <w:szCs w:val="18"/>
          <w:shd w:val="clear" w:color="auto" w:fill="FFFFFF" w:themeFill="background1"/>
        </w:rPr>
        <w:t xml:space="preserve"> 2014</w:t>
      </w:r>
      <w:r w:rsidR="003C45B2">
        <w:rPr>
          <w:rFonts w:ascii="Calibri" w:eastAsia="Calibri" w:hAnsi="Calibri" w:cs="Times New Roman"/>
          <w:sz w:val="18"/>
          <w:szCs w:val="18"/>
          <w:shd w:val="clear" w:color="auto" w:fill="FFFFFF" w:themeFill="background1"/>
        </w:rPr>
        <w:t>‒</w:t>
      </w:r>
      <w:r w:rsidR="00B83265" w:rsidRPr="008029B2">
        <w:rPr>
          <w:rFonts w:eastAsia="Calibri" w:cs="Times New Roman"/>
          <w:sz w:val="18"/>
          <w:szCs w:val="18"/>
          <w:shd w:val="clear" w:color="auto" w:fill="FFFFFF" w:themeFill="background1"/>
        </w:rPr>
        <w:t>15</w:t>
      </w:r>
    </w:p>
    <w:p w14:paraId="2387BF73" w14:textId="00635CB6" w:rsidR="00F970C1" w:rsidRPr="008029B2" w:rsidRDefault="00F970C1" w:rsidP="00D727BF">
      <w:pPr>
        <w:tabs>
          <w:tab w:val="left" w:pos="720"/>
        </w:tabs>
        <w:spacing w:after="0"/>
        <w:ind w:left="14" w:hanging="14"/>
        <w:rPr>
          <w:sz w:val="18"/>
          <w:szCs w:val="18"/>
          <w:shd w:val="clear" w:color="auto" w:fill="FFFFFF" w:themeFill="background1"/>
        </w:rPr>
      </w:pPr>
      <w:r w:rsidRPr="008029B2">
        <w:rPr>
          <w:sz w:val="18"/>
          <w:szCs w:val="18"/>
          <w:shd w:val="clear" w:color="auto" w:fill="FFFFFF" w:themeFill="background1"/>
          <w:vertAlign w:val="superscript"/>
        </w:rPr>
        <w:t>a</w:t>
      </w:r>
      <w:r w:rsidRPr="008029B2">
        <w:rPr>
          <w:sz w:val="18"/>
          <w:szCs w:val="18"/>
          <w:shd w:val="clear" w:color="auto" w:fill="FFFFFF" w:themeFill="background1"/>
        </w:rPr>
        <w:t xml:space="preserve"> Africa average, excluding Nigeria and including DRC, Ghana, Kenya, Namibia, South Sudan, Sudan, Tanzania, Uganda</w:t>
      </w:r>
      <w:r w:rsidR="003C45B2">
        <w:rPr>
          <w:sz w:val="18"/>
          <w:szCs w:val="18"/>
          <w:shd w:val="clear" w:color="auto" w:fill="FFFFFF" w:themeFill="background1"/>
        </w:rPr>
        <w:t>,</w:t>
      </w:r>
      <w:r w:rsidRPr="008029B2">
        <w:rPr>
          <w:sz w:val="18"/>
          <w:szCs w:val="18"/>
          <w:shd w:val="clear" w:color="auto" w:fill="FFFFFF" w:themeFill="background1"/>
        </w:rPr>
        <w:t xml:space="preserve"> and Zambia. Source: </w:t>
      </w:r>
      <w:r w:rsidR="0020780A" w:rsidRPr="008029B2">
        <w:rPr>
          <w:sz w:val="18"/>
          <w:szCs w:val="18"/>
          <w:shd w:val="clear" w:color="auto" w:fill="FFFFFF" w:themeFill="background1"/>
        </w:rPr>
        <w:t>Authors</w:t>
      </w:r>
      <w:r w:rsidR="00863D16">
        <w:rPr>
          <w:sz w:val="18"/>
          <w:szCs w:val="18"/>
          <w:shd w:val="clear" w:color="auto" w:fill="FFFFFF" w:themeFill="background1"/>
        </w:rPr>
        <w:t>’</w:t>
      </w:r>
      <w:r w:rsidR="0020780A" w:rsidRPr="008029B2">
        <w:rPr>
          <w:sz w:val="18"/>
          <w:szCs w:val="18"/>
          <w:shd w:val="clear" w:color="auto" w:fill="FFFFFF" w:themeFill="background1"/>
        </w:rPr>
        <w:t xml:space="preserve"> calculations based on countries</w:t>
      </w:r>
      <w:r w:rsidR="00863D16">
        <w:rPr>
          <w:sz w:val="18"/>
          <w:szCs w:val="18"/>
          <w:shd w:val="clear" w:color="auto" w:fill="FFFFFF" w:themeFill="background1"/>
        </w:rPr>
        <w:t>’</w:t>
      </w:r>
      <w:r w:rsidR="0020780A" w:rsidRPr="008029B2">
        <w:rPr>
          <w:sz w:val="18"/>
          <w:szCs w:val="18"/>
          <w:shd w:val="clear" w:color="auto" w:fill="FFFFFF" w:themeFill="background1"/>
        </w:rPr>
        <w:t xml:space="preserve"> </w:t>
      </w:r>
      <w:r w:rsidR="00C32950">
        <w:rPr>
          <w:sz w:val="18"/>
          <w:szCs w:val="18"/>
          <w:shd w:val="clear" w:color="auto" w:fill="FFFFFF" w:themeFill="background1"/>
        </w:rPr>
        <w:t>enterprise surveys</w:t>
      </w:r>
      <w:r w:rsidR="0020780A" w:rsidRPr="008029B2">
        <w:rPr>
          <w:sz w:val="18"/>
          <w:szCs w:val="18"/>
          <w:shd w:val="clear" w:color="auto" w:fill="FFFFFF" w:themeFill="background1"/>
        </w:rPr>
        <w:t xml:space="preserve">. </w:t>
      </w:r>
    </w:p>
    <w:p w14:paraId="29C872EC" w14:textId="77777777" w:rsidR="00F970C1" w:rsidRPr="008029B2" w:rsidRDefault="00F970C1" w:rsidP="00D727BF">
      <w:pPr>
        <w:tabs>
          <w:tab w:val="left" w:pos="720"/>
        </w:tabs>
        <w:spacing w:after="0"/>
        <w:ind w:left="14" w:hanging="14"/>
        <w:rPr>
          <w:rFonts w:cs="Times New Roman"/>
          <w:bCs/>
          <w:color w:val="222222"/>
          <w:sz w:val="18"/>
          <w:szCs w:val="18"/>
          <w:shd w:val="clear" w:color="auto" w:fill="FFFFFF" w:themeFill="background1"/>
          <w:lang w:val="en"/>
        </w:rPr>
      </w:pPr>
      <w:r w:rsidRPr="008029B2">
        <w:rPr>
          <w:sz w:val="18"/>
          <w:szCs w:val="18"/>
          <w:shd w:val="clear" w:color="auto" w:fill="FFFFFF" w:themeFill="background1"/>
          <w:vertAlign w:val="superscript"/>
        </w:rPr>
        <w:t>b</w:t>
      </w:r>
      <w:r w:rsidRPr="008029B2">
        <w:rPr>
          <w:sz w:val="18"/>
          <w:szCs w:val="18"/>
          <w:shd w:val="clear" w:color="auto" w:fill="FFFFFF" w:themeFill="background1"/>
        </w:rPr>
        <w:t xml:space="preserve"> </w:t>
      </w:r>
      <w:r w:rsidRPr="008029B2">
        <w:rPr>
          <w:rFonts w:cs="Times New Roman"/>
          <w:bCs/>
          <w:color w:val="222222"/>
          <w:sz w:val="18"/>
          <w:szCs w:val="18"/>
          <w:shd w:val="clear" w:color="auto" w:fill="FFFFFF" w:themeFill="background1"/>
          <w:lang w:val="en"/>
        </w:rPr>
        <w:t>Herfindahl-Hirschman Index</w:t>
      </w:r>
      <w:r w:rsidR="0020780A" w:rsidRPr="008029B2">
        <w:rPr>
          <w:rFonts w:cs="Times New Roman"/>
          <w:bCs/>
          <w:color w:val="222222"/>
          <w:sz w:val="18"/>
          <w:szCs w:val="18"/>
          <w:shd w:val="clear" w:color="auto" w:fill="FFFFFF" w:themeFill="background1"/>
          <w:lang w:val="en"/>
        </w:rPr>
        <w:t>.</w:t>
      </w:r>
    </w:p>
    <w:p w14:paraId="09EDA0E7" w14:textId="77777777" w:rsidR="00F970C1" w:rsidRPr="008029B2" w:rsidRDefault="00F970C1" w:rsidP="00D727BF">
      <w:pPr>
        <w:tabs>
          <w:tab w:val="left" w:pos="720"/>
        </w:tabs>
        <w:spacing w:before="60" w:after="0"/>
        <w:ind w:left="14" w:hanging="14"/>
        <w:rPr>
          <w:rFonts w:cs="Times New Roman"/>
          <w:szCs w:val="24"/>
          <w:shd w:val="clear" w:color="auto" w:fill="FFFFFF" w:themeFill="background1"/>
        </w:rPr>
      </w:pPr>
    </w:p>
    <w:p w14:paraId="7C42773C" w14:textId="30582346" w:rsidR="00F970C1" w:rsidRPr="008029B2" w:rsidRDefault="00F060B0" w:rsidP="00D727BF">
      <w:pPr>
        <w:pStyle w:val="ParagraphNumbering"/>
        <w:numPr>
          <w:ilvl w:val="0"/>
          <w:numId w:val="0"/>
        </w:numPr>
        <w:tabs>
          <w:tab w:val="left" w:pos="720"/>
        </w:tabs>
        <w:rPr>
          <w:shd w:val="clear" w:color="auto" w:fill="FFFFFF" w:themeFill="background1"/>
        </w:rPr>
      </w:pPr>
      <w:r>
        <w:rPr>
          <w:b/>
          <w:shd w:val="clear" w:color="auto" w:fill="FFFFFF" w:themeFill="background1"/>
        </w:rPr>
        <w:tab/>
      </w:r>
      <w:r w:rsidR="00F970C1" w:rsidRPr="008029B2">
        <w:rPr>
          <w:b/>
          <w:shd w:val="clear" w:color="auto" w:fill="FFFFFF" w:themeFill="background1"/>
        </w:rPr>
        <w:t>Nigerian firms also engage less in other types of knowledge activities</w:t>
      </w:r>
      <w:r w:rsidR="00C86411" w:rsidRPr="008029B2">
        <w:rPr>
          <w:b/>
          <w:shd w:val="clear" w:color="auto" w:fill="FFFFFF" w:themeFill="background1"/>
        </w:rPr>
        <w:t>,</w:t>
      </w:r>
      <w:r w:rsidR="00F970C1" w:rsidRPr="008029B2">
        <w:rPr>
          <w:b/>
          <w:shd w:val="clear" w:color="auto" w:fill="FFFFFF" w:themeFill="background1"/>
        </w:rPr>
        <w:t xml:space="preserve"> with the exception of acquisition of intellectual property.</w:t>
      </w:r>
      <w:r w:rsidR="00F970C1" w:rsidRPr="008029B2">
        <w:rPr>
          <w:shd w:val="clear" w:color="auto" w:fill="FFFFFF" w:themeFill="background1"/>
        </w:rPr>
        <w:t xml:space="preserve"> </w:t>
      </w:r>
      <w:r w:rsidR="00D948C5" w:rsidRPr="008029B2">
        <w:rPr>
          <w:shd w:val="clear" w:color="auto" w:fill="FFFFFF" w:themeFill="background1"/>
        </w:rPr>
        <w:fldChar w:fldCharType="begin"/>
      </w:r>
      <w:r w:rsidR="00D948C5" w:rsidRPr="008029B2">
        <w:rPr>
          <w:shd w:val="clear" w:color="auto" w:fill="FFFFFF" w:themeFill="background1"/>
        </w:rPr>
        <w:instrText xml:space="preserve"> REF _Ref431671294 \h </w:instrText>
      </w:r>
      <w:r w:rsidR="00D948C5" w:rsidRPr="008029B2">
        <w:rPr>
          <w:shd w:val="clear" w:color="auto" w:fill="FFFFFF" w:themeFill="background1"/>
        </w:rPr>
      </w:r>
      <w:r w:rsidR="00D948C5" w:rsidRPr="008029B2">
        <w:rPr>
          <w:shd w:val="clear" w:color="auto" w:fill="FFFFFF" w:themeFill="background1"/>
        </w:rPr>
        <w:fldChar w:fldCharType="separate"/>
      </w:r>
      <w:r w:rsidR="008A3BBD" w:rsidRPr="008029B2">
        <w:rPr>
          <w:shd w:val="clear" w:color="auto" w:fill="FFFFFF" w:themeFill="background1"/>
        </w:rPr>
        <w:t xml:space="preserve">Table </w:t>
      </w:r>
      <w:r w:rsidR="008A3BBD">
        <w:rPr>
          <w:noProof/>
          <w:shd w:val="clear" w:color="auto" w:fill="FFFFFF" w:themeFill="background1"/>
        </w:rPr>
        <w:t>11</w:t>
      </w:r>
      <w:r w:rsidR="00D948C5" w:rsidRPr="008029B2">
        <w:rPr>
          <w:shd w:val="clear" w:color="auto" w:fill="FFFFFF" w:themeFill="background1"/>
        </w:rPr>
        <w:fldChar w:fldCharType="end"/>
      </w:r>
      <w:r w:rsidR="00D948C5" w:rsidRPr="008029B2">
        <w:rPr>
          <w:shd w:val="clear" w:color="auto" w:fill="FFFFFF" w:themeFill="background1"/>
        </w:rPr>
        <w:t xml:space="preserve"> </w:t>
      </w:r>
      <w:r w:rsidR="00F970C1" w:rsidRPr="008029B2">
        <w:rPr>
          <w:shd w:val="clear" w:color="auto" w:fill="FFFFFF" w:themeFill="background1"/>
        </w:rPr>
        <w:t>shows the incidence and intensity of firms</w:t>
      </w:r>
      <w:r w:rsidR="00863D16">
        <w:rPr>
          <w:shd w:val="clear" w:color="auto" w:fill="FFFFFF" w:themeFill="background1"/>
        </w:rPr>
        <w:t>’</w:t>
      </w:r>
      <w:r w:rsidR="00F970C1" w:rsidRPr="008029B2">
        <w:rPr>
          <w:shd w:val="clear" w:color="auto" w:fill="FFFFFF" w:themeFill="background1"/>
        </w:rPr>
        <w:t xml:space="preserve"> investments in equipment</w:t>
      </w:r>
      <w:r w:rsidR="00C86411" w:rsidRPr="008029B2">
        <w:rPr>
          <w:shd w:val="clear" w:color="auto" w:fill="FFFFFF" w:themeFill="background1"/>
        </w:rPr>
        <w:t>,</w:t>
      </w:r>
      <w:r w:rsidR="00F970C1" w:rsidRPr="008029B2">
        <w:rPr>
          <w:shd w:val="clear" w:color="auto" w:fill="FFFFFF" w:themeFill="background1"/>
        </w:rPr>
        <w:t xml:space="preserve"> training</w:t>
      </w:r>
      <w:r w:rsidR="00C86411" w:rsidRPr="008029B2">
        <w:rPr>
          <w:shd w:val="clear" w:color="auto" w:fill="FFFFFF" w:themeFill="background1"/>
        </w:rPr>
        <w:t>,</w:t>
      </w:r>
      <w:r w:rsidR="00F970C1" w:rsidRPr="008029B2">
        <w:rPr>
          <w:shd w:val="clear" w:color="auto" w:fill="FFFFFF" w:themeFill="background1"/>
        </w:rPr>
        <w:t xml:space="preserve"> and purchase of intellectual property such as patents </w:t>
      </w:r>
      <w:r w:rsidR="00591590" w:rsidRPr="008029B2">
        <w:rPr>
          <w:shd w:val="clear" w:color="auto" w:fill="FFFFFF" w:themeFill="background1"/>
        </w:rPr>
        <w:t>and</w:t>
      </w:r>
      <w:r w:rsidR="00F970C1" w:rsidRPr="008029B2">
        <w:rPr>
          <w:shd w:val="clear" w:color="auto" w:fill="FFFFFF" w:themeFill="background1"/>
        </w:rPr>
        <w:t xml:space="preserve"> trademarks. </w:t>
      </w:r>
      <w:r w:rsidR="00C86411" w:rsidRPr="008029B2">
        <w:rPr>
          <w:shd w:val="clear" w:color="auto" w:fill="FFFFFF" w:themeFill="background1"/>
        </w:rPr>
        <w:t>I</w:t>
      </w:r>
      <w:r w:rsidR="00F970C1" w:rsidRPr="008029B2">
        <w:rPr>
          <w:shd w:val="clear" w:color="auto" w:fill="FFFFFF" w:themeFill="background1"/>
        </w:rPr>
        <w:t>nvestment</w:t>
      </w:r>
      <w:r w:rsidR="00C86411" w:rsidRPr="008029B2">
        <w:rPr>
          <w:shd w:val="clear" w:color="auto" w:fill="FFFFFF" w:themeFill="background1"/>
        </w:rPr>
        <w:t>s</w:t>
      </w:r>
      <w:r w:rsidR="00F970C1" w:rsidRPr="008029B2">
        <w:rPr>
          <w:shd w:val="clear" w:color="auto" w:fill="FFFFFF" w:themeFill="background1"/>
        </w:rPr>
        <w:t xml:space="preserve"> </w:t>
      </w:r>
      <w:r w:rsidR="00C86411" w:rsidRPr="008029B2">
        <w:rPr>
          <w:shd w:val="clear" w:color="auto" w:fill="FFFFFF" w:themeFill="background1"/>
        </w:rPr>
        <w:t xml:space="preserve">in both </w:t>
      </w:r>
      <w:r w:rsidR="00F970C1" w:rsidRPr="008029B2">
        <w:rPr>
          <w:shd w:val="clear" w:color="auto" w:fill="FFFFFF" w:themeFill="background1"/>
        </w:rPr>
        <w:t xml:space="preserve">training and equipment are less common among Nigerian firms than </w:t>
      </w:r>
      <w:r w:rsidR="00C86411" w:rsidRPr="008029B2">
        <w:rPr>
          <w:shd w:val="clear" w:color="auto" w:fill="FFFFFF" w:themeFill="background1"/>
        </w:rPr>
        <w:t xml:space="preserve">among </w:t>
      </w:r>
      <w:r w:rsidR="00F970C1" w:rsidRPr="008029B2">
        <w:rPr>
          <w:shd w:val="clear" w:color="auto" w:fill="FFFFFF" w:themeFill="background1"/>
        </w:rPr>
        <w:t xml:space="preserve">firms in </w:t>
      </w:r>
      <w:r w:rsidR="00C86411" w:rsidRPr="008029B2">
        <w:rPr>
          <w:shd w:val="clear" w:color="auto" w:fill="FFFFFF" w:themeFill="background1"/>
        </w:rPr>
        <w:t xml:space="preserve">comparator </w:t>
      </w:r>
      <w:r w:rsidR="00F970C1" w:rsidRPr="008029B2">
        <w:rPr>
          <w:shd w:val="clear" w:color="auto" w:fill="FFFFFF" w:themeFill="background1"/>
        </w:rPr>
        <w:t xml:space="preserve">countries, including the average for Africa. </w:t>
      </w:r>
      <w:r w:rsidR="00C86411" w:rsidRPr="008029B2">
        <w:rPr>
          <w:shd w:val="clear" w:color="auto" w:fill="FFFFFF" w:themeFill="background1"/>
        </w:rPr>
        <w:t>For</w:t>
      </w:r>
      <w:r w:rsidR="00F970C1" w:rsidRPr="008029B2">
        <w:rPr>
          <w:shd w:val="clear" w:color="auto" w:fill="FFFFFF" w:themeFill="background1"/>
        </w:rPr>
        <w:t xml:space="preserve"> equipment, the average for Africa is almost </w:t>
      </w:r>
      <w:r w:rsidR="003C45B2">
        <w:rPr>
          <w:shd w:val="clear" w:color="auto" w:fill="FFFFFF" w:themeFill="background1"/>
        </w:rPr>
        <w:t>twenty</w:t>
      </w:r>
      <w:r w:rsidR="003C45B2" w:rsidRPr="008029B2">
        <w:rPr>
          <w:shd w:val="clear" w:color="auto" w:fill="FFFFFF" w:themeFill="background1"/>
        </w:rPr>
        <w:t xml:space="preserve"> </w:t>
      </w:r>
      <w:r w:rsidR="00F970C1" w:rsidRPr="008029B2">
        <w:rPr>
          <w:shd w:val="clear" w:color="auto" w:fill="FFFFFF" w:themeFill="background1"/>
        </w:rPr>
        <w:t>points above Nigeria</w:t>
      </w:r>
      <w:r w:rsidR="003C45B2">
        <w:rPr>
          <w:shd w:val="clear" w:color="auto" w:fill="FFFFFF" w:themeFill="background1"/>
        </w:rPr>
        <w:t>,</w:t>
      </w:r>
      <w:r w:rsidR="00F970C1" w:rsidRPr="008029B2">
        <w:rPr>
          <w:shd w:val="clear" w:color="auto" w:fill="FFFFFF" w:themeFill="background1"/>
        </w:rPr>
        <w:t xml:space="preserve"> and </w:t>
      </w:r>
      <w:r w:rsidR="00C86411" w:rsidRPr="008029B2">
        <w:rPr>
          <w:shd w:val="clear" w:color="auto" w:fill="FFFFFF" w:themeFill="background1"/>
        </w:rPr>
        <w:t xml:space="preserve">for </w:t>
      </w:r>
      <w:r w:rsidR="00F970C1" w:rsidRPr="008029B2">
        <w:rPr>
          <w:shd w:val="clear" w:color="auto" w:fill="FFFFFF" w:themeFill="background1"/>
        </w:rPr>
        <w:t xml:space="preserve">training, </w:t>
      </w:r>
      <w:r w:rsidR="00C86411" w:rsidRPr="008029B2">
        <w:rPr>
          <w:shd w:val="clear" w:color="auto" w:fill="FFFFFF" w:themeFill="background1"/>
        </w:rPr>
        <w:t>the Africa</w:t>
      </w:r>
      <w:r w:rsidR="00F878E5" w:rsidRPr="008029B2">
        <w:rPr>
          <w:shd w:val="clear" w:color="auto" w:fill="FFFFFF" w:themeFill="background1"/>
        </w:rPr>
        <w:t>n</w:t>
      </w:r>
      <w:r w:rsidR="00C86411" w:rsidRPr="008029B2">
        <w:rPr>
          <w:shd w:val="clear" w:color="auto" w:fill="FFFFFF" w:themeFill="background1"/>
        </w:rPr>
        <w:t xml:space="preserve"> average is double that of </w:t>
      </w:r>
      <w:r w:rsidR="00F970C1" w:rsidRPr="008029B2">
        <w:rPr>
          <w:shd w:val="clear" w:color="auto" w:fill="FFFFFF" w:themeFill="background1"/>
        </w:rPr>
        <w:t>Nigeria</w:t>
      </w:r>
      <w:r w:rsidR="00C86411" w:rsidRPr="008029B2">
        <w:rPr>
          <w:shd w:val="clear" w:color="auto" w:fill="FFFFFF" w:themeFill="background1"/>
        </w:rPr>
        <w:t>n firms</w:t>
      </w:r>
      <w:r w:rsidR="00F970C1" w:rsidRPr="008029B2">
        <w:rPr>
          <w:shd w:val="clear" w:color="auto" w:fill="FFFFFF" w:themeFill="background1"/>
        </w:rPr>
        <w:t>. The gap with India is even larger.</w:t>
      </w:r>
      <w:r w:rsidR="005F06ED" w:rsidRPr="008029B2">
        <w:rPr>
          <w:shd w:val="clear" w:color="auto" w:fill="FFFFFF" w:themeFill="background1"/>
        </w:rPr>
        <w:t xml:space="preserve"> </w:t>
      </w:r>
    </w:p>
    <w:p w14:paraId="1CE53747" w14:textId="30E36F90" w:rsidR="00C86411" w:rsidRPr="008029B2" w:rsidRDefault="00C86411" w:rsidP="00D727BF">
      <w:pPr>
        <w:tabs>
          <w:tab w:val="left" w:pos="720"/>
        </w:tabs>
        <w:spacing w:after="0"/>
        <w:rPr>
          <w:rFonts w:ascii="Trebuchet MS" w:eastAsia="Calibri" w:hAnsi="Trebuchet MS" w:cs="Times New Roman"/>
          <w:b/>
          <w:bCs/>
          <w:color w:val="0B73B6" w:themeColor="background2" w:themeShade="BF"/>
          <w:sz w:val="20"/>
          <w:szCs w:val="18"/>
          <w:shd w:val="clear" w:color="auto" w:fill="FFFFFF" w:themeFill="background1"/>
        </w:rPr>
      </w:pPr>
      <w:r w:rsidRPr="008029B2">
        <w:rPr>
          <w:shd w:val="clear" w:color="auto" w:fill="FFFFFF" w:themeFill="background1"/>
        </w:rPr>
        <w:br w:type="page"/>
      </w:r>
    </w:p>
    <w:p w14:paraId="208669A6" w14:textId="02B3C925" w:rsidR="00F970C1" w:rsidRPr="008029B2" w:rsidRDefault="00F970C1" w:rsidP="00D727BF">
      <w:pPr>
        <w:pStyle w:val="Caption"/>
        <w:keepNext/>
        <w:tabs>
          <w:tab w:val="left" w:pos="720"/>
        </w:tabs>
        <w:ind w:left="20" w:hanging="20"/>
        <w:jc w:val="center"/>
        <w:rPr>
          <w:shd w:val="clear" w:color="auto" w:fill="FFFFFF" w:themeFill="background1"/>
        </w:rPr>
      </w:pPr>
      <w:bookmarkStart w:id="292" w:name="_Ref431671294"/>
      <w:bookmarkStart w:id="293" w:name="_Toc445449532"/>
      <w:r w:rsidRPr="008029B2">
        <w:rPr>
          <w:shd w:val="clear" w:color="auto" w:fill="FFFFFF" w:themeFill="background1"/>
        </w:rPr>
        <w:lastRenderedPageBreak/>
        <w:t xml:space="preserve">Table </w:t>
      </w:r>
      <w:r w:rsidR="008A2763" w:rsidRPr="008029B2">
        <w:rPr>
          <w:shd w:val="clear" w:color="auto" w:fill="FFFFFF" w:themeFill="background1"/>
        </w:rPr>
        <w:fldChar w:fldCharType="begin"/>
      </w:r>
      <w:r w:rsidR="008A2763" w:rsidRPr="008029B2">
        <w:rPr>
          <w:shd w:val="clear" w:color="auto" w:fill="FFFFFF" w:themeFill="background1"/>
        </w:rPr>
        <w:instrText xml:space="preserve"> SEQ Table \* ARABIC </w:instrText>
      </w:r>
      <w:r w:rsidR="008A2763" w:rsidRPr="008029B2">
        <w:rPr>
          <w:shd w:val="clear" w:color="auto" w:fill="FFFFFF" w:themeFill="background1"/>
        </w:rPr>
        <w:fldChar w:fldCharType="separate"/>
      </w:r>
      <w:r w:rsidR="008A3BBD">
        <w:rPr>
          <w:noProof/>
          <w:shd w:val="clear" w:color="auto" w:fill="FFFFFF" w:themeFill="background1"/>
        </w:rPr>
        <w:t>11</w:t>
      </w:r>
      <w:r w:rsidR="008A2763" w:rsidRPr="008029B2">
        <w:rPr>
          <w:noProof/>
          <w:shd w:val="clear" w:color="auto" w:fill="FFFFFF" w:themeFill="background1"/>
        </w:rPr>
        <w:fldChar w:fldCharType="end"/>
      </w:r>
      <w:bookmarkEnd w:id="292"/>
      <w:r w:rsidRPr="008029B2">
        <w:rPr>
          <w:shd w:val="clear" w:color="auto" w:fill="FFFFFF" w:themeFill="background1"/>
        </w:rPr>
        <w:t>: Investment in Equipment, Training</w:t>
      </w:r>
      <w:r w:rsidR="008023A1">
        <w:rPr>
          <w:shd w:val="clear" w:color="auto" w:fill="FFFFFF" w:themeFill="background1"/>
        </w:rPr>
        <w:t>,</w:t>
      </w:r>
      <w:r w:rsidRPr="008029B2">
        <w:rPr>
          <w:shd w:val="clear" w:color="auto" w:fill="FFFFFF" w:themeFill="background1"/>
        </w:rPr>
        <w:t xml:space="preserve"> and Intellectual Property</w:t>
      </w:r>
      <w:bookmarkEnd w:id="293"/>
    </w:p>
    <w:tbl>
      <w:tblPr>
        <w:tblW w:w="9630" w:type="dxa"/>
        <w:tblLook w:val="04A0" w:firstRow="1" w:lastRow="0" w:firstColumn="1" w:lastColumn="0" w:noHBand="0" w:noVBand="1"/>
      </w:tblPr>
      <w:tblGrid>
        <w:gridCol w:w="960"/>
        <w:gridCol w:w="1650"/>
        <w:gridCol w:w="1710"/>
        <w:gridCol w:w="1509"/>
        <w:gridCol w:w="1731"/>
        <w:gridCol w:w="2070"/>
      </w:tblGrid>
      <w:tr w:rsidR="00F970C1" w:rsidRPr="008029B2" w14:paraId="4AA855C5" w14:textId="77777777" w:rsidTr="00F970C1">
        <w:trPr>
          <w:trHeight w:val="288"/>
        </w:trPr>
        <w:tc>
          <w:tcPr>
            <w:tcW w:w="960" w:type="dxa"/>
            <w:tcBorders>
              <w:top w:val="single" w:sz="4" w:space="0" w:color="auto"/>
              <w:left w:val="nil"/>
              <w:bottom w:val="nil"/>
              <w:right w:val="single" w:sz="4" w:space="0" w:color="auto"/>
            </w:tcBorders>
            <w:shd w:val="clear" w:color="auto" w:fill="auto"/>
            <w:noWrap/>
            <w:vAlign w:val="center"/>
            <w:hideMark/>
          </w:tcPr>
          <w:p w14:paraId="5F8FCA63"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
                <w:bCs/>
                <w:color w:val="000000"/>
                <w:sz w:val="20"/>
                <w:szCs w:val="20"/>
                <w:shd w:val="clear" w:color="auto" w:fill="FFFFFF" w:themeFill="background1"/>
              </w:rPr>
            </w:pPr>
          </w:p>
        </w:tc>
        <w:tc>
          <w:tcPr>
            <w:tcW w:w="3360" w:type="dxa"/>
            <w:gridSpan w:val="2"/>
            <w:tcBorders>
              <w:top w:val="single" w:sz="4" w:space="0" w:color="auto"/>
              <w:left w:val="single" w:sz="4" w:space="0" w:color="auto"/>
              <w:bottom w:val="nil"/>
              <w:right w:val="single" w:sz="4" w:space="0" w:color="auto"/>
            </w:tcBorders>
            <w:shd w:val="clear" w:color="auto" w:fill="auto"/>
            <w:noWrap/>
            <w:vAlign w:val="center"/>
            <w:hideMark/>
          </w:tcPr>
          <w:p w14:paraId="2A5423F0"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
                <w:bCs/>
                <w:color w:val="000000"/>
                <w:sz w:val="20"/>
                <w:szCs w:val="20"/>
                <w:shd w:val="clear" w:color="auto" w:fill="FFFFFF" w:themeFill="background1"/>
              </w:rPr>
            </w:pPr>
            <w:r w:rsidRPr="008029B2">
              <w:rPr>
                <w:rFonts w:ascii="Trebuchet MS" w:eastAsia="Times New Roman" w:hAnsi="Trebuchet MS" w:cs="Times New Roman"/>
                <w:b/>
                <w:bCs/>
                <w:color w:val="000000"/>
                <w:sz w:val="20"/>
                <w:szCs w:val="20"/>
                <w:shd w:val="clear" w:color="auto" w:fill="FFFFFF" w:themeFill="background1"/>
              </w:rPr>
              <w:t>Equipment expenditure</w:t>
            </w:r>
          </w:p>
        </w:tc>
        <w:tc>
          <w:tcPr>
            <w:tcW w:w="3240" w:type="dxa"/>
            <w:gridSpan w:val="2"/>
            <w:tcBorders>
              <w:top w:val="single" w:sz="4" w:space="0" w:color="auto"/>
              <w:left w:val="single" w:sz="4" w:space="0" w:color="auto"/>
              <w:bottom w:val="nil"/>
              <w:right w:val="single" w:sz="4" w:space="0" w:color="auto"/>
            </w:tcBorders>
            <w:shd w:val="clear" w:color="auto" w:fill="auto"/>
            <w:noWrap/>
            <w:vAlign w:val="center"/>
            <w:hideMark/>
          </w:tcPr>
          <w:p w14:paraId="78F37E35"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
                <w:bCs/>
                <w:color w:val="000000"/>
                <w:sz w:val="20"/>
                <w:szCs w:val="20"/>
                <w:shd w:val="clear" w:color="auto" w:fill="FFFFFF" w:themeFill="background1"/>
              </w:rPr>
            </w:pPr>
            <w:r w:rsidRPr="008029B2">
              <w:rPr>
                <w:rFonts w:ascii="Trebuchet MS" w:eastAsia="Times New Roman" w:hAnsi="Trebuchet MS" w:cs="Times New Roman"/>
                <w:b/>
                <w:bCs/>
                <w:color w:val="000000"/>
                <w:sz w:val="20"/>
                <w:szCs w:val="20"/>
                <w:shd w:val="clear" w:color="auto" w:fill="FFFFFF" w:themeFill="background1"/>
              </w:rPr>
              <w:t>Training expenditure</w:t>
            </w:r>
          </w:p>
        </w:tc>
        <w:tc>
          <w:tcPr>
            <w:tcW w:w="2070" w:type="dxa"/>
            <w:tcBorders>
              <w:top w:val="single" w:sz="4" w:space="0" w:color="auto"/>
              <w:left w:val="single" w:sz="4" w:space="0" w:color="auto"/>
              <w:bottom w:val="nil"/>
              <w:right w:val="nil"/>
            </w:tcBorders>
            <w:vAlign w:val="center"/>
          </w:tcPr>
          <w:p w14:paraId="303DB728"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
                <w:bCs/>
                <w:color w:val="000000"/>
                <w:sz w:val="20"/>
                <w:szCs w:val="20"/>
                <w:shd w:val="clear" w:color="auto" w:fill="FFFFFF" w:themeFill="background1"/>
              </w:rPr>
            </w:pPr>
            <w:r w:rsidRPr="008029B2">
              <w:rPr>
                <w:rFonts w:ascii="Trebuchet MS" w:eastAsia="Times New Roman" w:hAnsi="Trebuchet MS" w:cs="Times New Roman"/>
                <w:b/>
                <w:bCs/>
                <w:color w:val="000000"/>
                <w:sz w:val="20"/>
                <w:szCs w:val="20"/>
                <w:shd w:val="clear" w:color="auto" w:fill="FFFFFF" w:themeFill="background1"/>
              </w:rPr>
              <w:t>IP</w:t>
            </w:r>
          </w:p>
        </w:tc>
      </w:tr>
      <w:tr w:rsidR="00F970C1" w:rsidRPr="008029B2" w14:paraId="4F5FA923" w14:textId="77777777" w:rsidTr="00F970C1">
        <w:trPr>
          <w:trHeight w:val="288"/>
        </w:trPr>
        <w:tc>
          <w:tcPr>
            <w:tcW w:w="960" w:type="dxa"/>
            <w:tcBorders>
              <w:top w:val="nil"/>
              <w:left w:val="nil"/>
              <w:bottom w:val="single" w:sz="4" w:space="0" w:color="auto"/>
              <w:right w:val="single" w:sz="4" w:space="0" w:color="auto"/>
            </w:tcBorders>
            <w:shd w:val="clear" w:color="auto" w:fill="auto"/>
            <w:noWrap/>
            <w:vAlign w:val="center"/>
            <w:hideMark/>
          </w:tcPr>
          <w:p w14:paraId="36EF310C"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
                <w:bCs/>
                <w:color w:val="000000"/>
                <w:sz w:val="20"/>
                <w:szCs w:val="20"/>
                <w:shd w:val="clear" w:color="auto" w:fill="FFFFFF" w:themeFill="background1"/>
              </w:rPr>
            </w:pPr>
          </w:p>
        </w:tc>
        <w:tc>
          <w:tcPr>
            <w:tcW w:w="1650" w:type="dxa"/>
            <w:tcBorders>
              <w:top w:val="nil"/>
              <w:left w:val="single" w:sz="4" w:space="0" w:color="auto"/>
              <w:bottom w:val="single" w:sz="4" w:space="0" w:color="auto"/>
              <w:right w:val="nil"/>
            </w:tcBorders>
            <w:shd w:val="clear" w:color="auto" w:fill="auto"/>
            <w:noWrap/>
            <w:vAlign w:val="center"/>
            <w:hideMark/>
          </w:tcPr>
          <w:p w14:paraId="113961F8"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Incidence</w:t>
            </w:r>
          </w:p>
          <w:p w14:paraId="61701AF1"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 all firms)</w:t>
            </w:r>
          </w:p>
        </w:tc>
        <w:tc>
          <w:tcPr>
            <w:tcW w:w="1710" w:type="dxa"/>
            <w:tcBorders>
              <w:top w:val="nil"/>
              <w:left w:val="nil"/>
              <w:bottom w:val="single" w:sz="4" w:space="0" w:color="auto"/>
              <w:right w:val="single" w:sz="4" w:space="0" w:color="auto"/>
            </w:tcBorders>
            <w:shd w:val="clear" w:color="auto" w:fill="auto"/>
            <w:noWrap/>
            <w:vAlign w:val="center"/>
            <w:hideMark/>
          </w:tcPr>
          <w:p w14:paraId="24C68411"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Intensity</w:t>
            </w:r>
          </w:p>
          <w:p w14:paraId="6EC544F5" w14:textId="38542B41"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 xml:space="preserve">($ </w:t>
            </w:r>
            <w:r w:rsidR="00591590" w:rsidRPr="008029B2">
              <w:rPr>
                <w:rFonts w:ascii="Trebuchet MS" w:eastAsia="Times New Roman" w:hAnsi="Trebuchet MS" w:cs="Times New Roman"/>
                <w:bCs/>
                <w:color w:val="000000"/>
                <w:sz w:val="20"/>
                <w:szCs w:val="20"/>
                <w:shd w:val="clear" w:color="auto" w:fill="FFFFFF" w:themeFill="background1"/>
              </w:rPr>
              <w:t>p</w:t>
            </w:r>
            <w:r w:rsidRPr="008029B2">
              <w:rPr>
                <w:rFonts w:ascii="Trebuchet MS" w:eastAsia="Times New Roman" w:hAnsi="Trebuchet MS" w:cs="Times New Roman"/>
                <w:bCs/>
                <w:color w:val="000000"/>
                <w:sz w:val="20"/>
                <w:szCs w:val="20"/>
                <w:shd w:val="clear" w:color="auto" w:fill="FFFFFF" w:themeFill="background1"/>
              </w:rPr>
              <w:t xml:space="preserve">er </w:t>
            </w:r>
            <w:r w:rsidR="00591590" w:rsidRPr="008029B2">
              <w:rPr>
                <w:rFonts w:ascii="Trebuchet MS" w:eastAsia="Times New Roman" w:hAnsi="Trebuchet MS" w:cs="Times New Roman"/>
                <w:bCs/>
                <w:color w:val="000000"/>
                <w:sz w:val="20"/>
                <w:szCs w:val="20"/>
                <w:shd w:val="clear" w:color="auto" w:fill="FFFFFF" w:themeFill="background1"/>
              </w:rPr>
              <w:t>w</w:t>
            </w:r>
            <w:r w:rsidRPr="008029B2">
              <w:rPr>
                <w:rFonts w:ascii="Trebuchet MS" w:eastAsia="Times New Roman" w:hAnsi="Trebuchet MS" w:cs="Times New Roman"/>
                <w:bCs/>
                <w:color w:val="000000"/>
                <w:sz w:val="20"/>
                <w:szCs w:val="20"/>
                <w:shd w:val="clear" w:color="auto" w:fill="FFFFFF" w:themeFill="background1"/>
              </w:rPr>
              <w:t>orker)</w:t>
            </w:r>
          </w:p>
        </w:tc>
        <w:tc>
          <w:tcPr>
            <w:tcW w:w="1509" w:type="dxa"/>
            <w:tcBorders>
              <w:top w:val="nil"/>
              <w:left w:val="single" w:sz="4" w:space="0" w:color="auto"/>
              <w:bottom w:val="single" w:sz="4" w:space="0" w:color="auto"/>
              <w:right w:val="nil"/>
            </w:tcBorders>
            <w:shd w:val="clear" w:color="auto" w:fill="auto"/>
            <w:noWrap/>
            <w:vAlign w:val="center"/>
            <w:hideMark/>
          </w:tcPr>
          <w:p w14:paraId="20F36178"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Incidence</w:t>
            </w:r>
          </w:p>
          <w:p w14:paraId="33EEF2D0"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 all firms)</w:t>
            </w:r>
          </w:p>
        </w:tc>
        <w:tc>
          <w:tcPr>
            <w:tcW w:w="1731" w:type="dxa"/>
            <w:tcBorders>
              <w:top w:val="nil"/>
              <w:left w:val="nil"/>
              <w:bottom w:val="single" w:sz="4" w:space="0" w:color="auto"/>
              <w:right w:val="single" w:sz="4" w:space="0" w:color="auto"/>
            </w:tcBorders>
            <w:shd w:val="clear" w:color="auto" w:fill="auto"/>
            <w:noWrap/>
            <w:vAlign w:val="center"/>
            <w:hideMark/>
          </w:tcPr>
          <w:p w14:paraId="70E5F492"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Intensity</w:t>
            </w:r>
          </w:p>
          <w:p w14:paraId="40E46B2B" w14:textId="3DB7872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 xml:space="preserve">($ </w:t>
            </w:r>
            <w:r w:rsidR="00591590" w:rsidRPr="008029B2">
              <w:rPr>
                <w:rFonts w:ascii="Trebuchet MS" w:eastAsia="Times New Roman" w:hAnsi="Trebuchet MS" w:cs="Times New Roman"/>
                <w:bCs/>
                <w:color w:val="000000"/>
                <w:sz w:val="20"/>
                <w:szCs w:val="20"/>
                <w:shd w:val="clear" w:color="auto" w:fill="FFFFFF" w:themeFill="background1"/>
              </w:rPr>
              <w:t>p</w:t>
            </w:r>
            <w:r w:rsidRPr="008029B2">
              <w:rPr>
                <w:rFonts w:ascii="Trebuchet MS" w:eastAsia="Times New Roman" w:hAnsi="Trebuchet MS" w:cs="Times New Roman"/>
                <w:bCs/>
                <w:color w:val="000000"/>
                <w:sz w:val="20"/>
                <w:szCs w:val="20"/>
                <w:shd w:val="clear" w:color="auto" w:fill="FFFFFF" w:themeFill="background1"/>
              </w:rPr>
              <w:t xml:space="preserve">er </w:t>
            </w:r>
            <w:r w:rsidR="00591590" w:rsidRPr="008029B2">
              <w:rPr>
                <w:rFonts w:ascii="Trebuchet MS" w:eastAsia="Times New Roman" w:hAnsi="Trebuchet MS" w:cs="Times New Roman"/>
                <w:bCs/>
                <w:color w:val="000000"/>
                <w:sz w:val="20"/>
                <w:szCs w:val="20"/>
                <w:shd w:val="clear" w:color="auto" w:fill="FFFFFF" w:themeFill="background1"/>
              </w:rPr>
              <w:t>w</w:t>
            </w:r>
            <w:r w:rsidRPr="008029B2">
              <w:rPr>
                <w:rFonts w:ascii="Trebuchet MS" w:eastAsia="Times New Roman" w:hAnsi="Trebuchet MS" w:cs="Times New Roman"/>
                <w:bCs/>
                <w:color w:val="000000"/>
                <w:sz w:val="20"/>
                <w:szCs w:val="20"/>
                <w:shd w:val="clear" w:color="auto" w:fill="FFFFFF" w:themeFill="background1"/>
              </w:rPr>
              <w:t>orker)</w:t>
            </w:r>
          </w:p>
        </w:tc>
        <w:tc>
          <w:tcPr>
            <w:tcW w:w="2070" w:type="dxa"/>
            <w:tcBorders>
              <w:top w:val="nil"/>
              <w:left w:val="single" w:sz="4" w:space="0" w:color="auto"/>
              <w:bottom w:val="single" w:sz="4" w:space="0" w:color="auto"/>
              <w:right w:val="nil"/>
            </w:tcBorders>
            <w:vAlign w:val="center"/>
          </w:tcPr>
          <w:p w14:paraId="15F01A47"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Incidence</w:t>
            </w:r>
          </w:p>
          <w:p w14:paraId="372CDE79" w14:textId="77777777" w:rsidR="00F970C1" w:rsidRPr="008029B2" w:rsidRDefault="00F970C1" w:rsidP="00D727BF">
            <w:pPr>
              <w:tabs>
                <w:tab w:val="left" w:pos="720"/>
              </w:tabs>
              <w:spacing w:after="0"/>
              <w:ind w:left="20" w:hanging="20"/>
              <w:jc w:val="center"/>
              <w:rPr>
                <w:rFonts w:ascii="Trebuchet MS" w:eastAsia="Times New Roman" w:hAnsi="Trebuchet MS" w:cs="Times New Roman"/>
                <w:bCs/>
                <w:color w:val="000000"/>
                <w:sz w:val="20"/>
                <w:szCs w:val="20"/>
                <w:shd w:val="clear" w:color="auto" w:fill="FFFFFF" w:themeFill="background1"/>
              </w:rPr>
            </w:pPr>
            <w:r w:rsidRPr="008029B2">
              <w:rPr>
                <w:rFonts w:ascii="Trebuchet MS" w:eastAsia="Times New Roman" w:hAnsi="Trebuchet MS" w:cs="Times New Roman"/>
                <w:bCs/>
                <w:color w:val="000000"/>
                <w:sz w:val="20"/>
                <w:szCs w:val="20"/>
                <w:shd w:val="clear" w:color="auto" w:fill="FFFFFF" w:themeFill="background1"/>
              </w:rPr>
              <w:t>(% all firms)</w:t>
            </w:r>
          </w:p>
        </w:tc>
      </w:tr>
      <w:tr w:rsidR="00F970C1" w:rsidRPr="008029B2" w14:paraId="2DB6999B" w14:textId="77777777" w:rsidTr="00F970C1">
        <w:trPr>
          <w:trHeight w:val="288"/>
        </w:trPr>
        <w:tc>
          <w:tcPr>
            <w:tcW w:w="960" w:type="dxa"/>
            <w:tcBorders>
              <w:top w:val="nil"/>
              <w:left w:val="nil"/>
              <w:bottom w:val="nil"/>
              <w:right w:val="single" w:sz="4" w:space="0" w:color="auto"/>
            </w:tcBorders>
            <w:shd w:val="clear" w:color="auto" w:fill="F2F2F2" w:themeFill="background1" w:themeFillShade="F2"/>
            <w:noWrap/>
            <w:vAlign w:val="center"/>
            <w:hideMark/>
          </w:tcPr>
          <w:p w14:paraId="23E8941C"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Nigeria</w:t>
            </w:r>
          </w:p>
        </w:tc>
        <w:tc>
          <w:tcPr>
            <w:tcW w:w="1650" w:type="dxa"/>
            <w:tcBorders>
              <w:top w:val="nil"/>
              <w:left w:val="single" w:sz="4" w:space="0" w:color="auto"/>
              <w:bottom w:val="nil"/>
              <w:right w:val="nil"/>
            </w:tcBorders>
            <w:shd w:val="clear" w:color="auto" w:fill="F2F2F2" w:themeFill="background1" w:themeFillShade="F2"/>
            <w:noWrap/>
            <w:vAlign w:val="center"/>
            <w:hideMark/>
          </w:tcPr>
          <w:p w14:paraId="2C86BB55" w14:textId="404DF551"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12.9%</w:t>
            </w:r>
          </w:p>
        </w:tc>
        <w:tc>
          <w:tcPr>
            <w:tcW w:w="1710" w:type="dxa"/>
            <w:tcBorders>
              <w:top w:val="nil"/>
              <w:left w:val="nil"/>
              <w:bottom w:val="nil"/>
              <w:right w:val="single" w:sz="4" w:space="0" w:color="auto"/>
            </w:tcBorders>
            <w:shd w:val="clear" w:color="auto" w:fill="F2F2F2" w:themeFill="background1" w:themeFillShade="F2"/>
            <w:noWrap/>
            <w:vAlign w:val="center"/>
            <w:hideMark/>
          </w:tcPr>
          <w:p w14:paraId="47CD7875" w14:textId="777777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6246</w:t>
            </w:r>
          </w:p>
        </w:tc>
        <w:tc>
          <w:tcPr>
            <w:tcW w:w="1509" w:type="dxa"/>
            <w:tcBorders>
              <w:top w:val="nil"/>
              <w:left w:val="single" w:sz="4" w:space="0" w:color="auto"/>
              <w:bottom w:val="nil"/>
              <w:right w:val="nil"/>
            </w:tcBorders>
            <w:shd w:val="clear" w:color="auto" w:fill="F2F2F2" w:themeFill="background1" w:themeFillShade="F2"/>
            <w:noWrap/>
            <w:vAlign w:val="center"/>
            <w:hideMark/>
          </w:tcPr>
          <w:p w14:paraId="3092EC68" w14:textId="09C909CF"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8.6%</w:t>
            </w:r>
          </w:p>
        </w:tc>
        <w:tc>
          <w:tcPr>
            <w:tcW w:w="1731" w:type="dxa"/>
            <w:tcBorders>
              <w:top w:val="nil"/>
              <w:left w:val="nil"/>
              <w:bottom w:val="nil"/>
              <w:right w:val="single" w:sz="4" w:space="0" w:color="auto"/>
            </w:tcBorders>
            <w:shd w:val="clear" w:color="auto" w:fill="F2F2F2" w:themeFill="background1" w:themeFillShade="F2"/>
            <w:noWrap/>
            <w:vAlign w:val="center"/>
            <w:hideMark/>
          </w:tcPr>
          <w:p w14:paraId="0F842BB3" w14:textId="777777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281</w:t>
            </w:r>
          </w:p>
        </w:tc>
        <w:tc>
          <w:tcPr>
            <w:tcW w:w="2070" w:type="dxa"/>
            <w:tcBorders>
              <w:top w:val="nil"/>
              <w:left w:val="single" w:sz="4" w:space="0" w:color="auto"/>
              <w:bottom w:val="nil"/>
              <w:right w:val="nil"/>
            </w:tcBorders>
            <w:shd w:val="clear" w:color="auto" w:fill="F2F2F2" w:themeFill="background1" w:themeFillShade="F2"/>
            <w:vAlign w:val="center"/>
          </w:tcPr>
          <w:p w14:paraId="5C8D244E" w14:textId="0089F4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5.0%</w:t>
            </w:r>
          </w:p>
        </w:tc>
      </w:tr>
      <w:tr w:rsidR="00F970C1" w:rsidRPr="008029B2" w14:paraId="5D81B5BB" w14:textId="77777777" w:rsidTr="00F970C1">
        <w:trPr>
          <w:trHeight w:val="288"/>
        </w:trPr>
        <w:tc>
          <w:tcPr>
            <w:tcW w:w="960" w:type="dxa"/>
            <w:tcBorders>
              <w:top w:val="nil"/>
              <w:left w:val="nil"/>
              <w:bottom w:val="nil"/>
              <w:right w:val="single" w:sz="4" w:space="0" w:color="auto"/>
            </w:tcBorders>
            <w:shd w:val="clear" w:color="auto" w:fill="auto"/>
            <w:noWrap/>
            <w:vAlign w:val="center"/>
            <w:hideMark/>
          </w:tcPr>
          <w:p w14:paraId="512F9DE8"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India</w:t>
            </w:r>
          </w:p>
        </w:tc>
        <w:tc>
          <w:tcPr>
            <w:tcW w:w="1650" w:type="dxa"/>
            <w:tcBorders>
              <w:top w:val="nil"/>
              <w:left w:val="single" w:sz="4" w:space="0" w:color="auto"/>
              <w:bottom w:val="nil"/>
              <w:right w:val="nil"/>
            </w:tcBorders>
            <w:shd w:val="clear" w:color="auto" w:fill="auto"/>
            <w:noWrap/>
            <w:vAlign w:val="center"/>
            <w:hideMark/>
          </w:tcPr>
          <w:p w14:paraId="2AC9BBE1" w14:textId="4774176D"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68.0%</w:t>
            </w:r>
          </w:p>
        </w:tc>
        <w:tc>
          <w:tcPr>
            <w:tcW w:w="1710" w:type="dxa"/>
            <w:tcBorders>
              <w:top w:val="nil"/>
              <w:left w:val="nil"/>
              <w:bottom w:val="nil"/>
              <w:right w:val="single" w:sz="4" w:space="0" w:color="auto"/>
            </w:tcBorders>
            <w:shd w:val="clear" w:color="auto" w:fill="auto"/>
            <w:noWrap/>
            <w:vAlign w:val="center"/>
            <w:hideMark/>
          </w:tcPr>
          <w:p w14:paraId="18395E1D" w14:textId="777777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2327</w:t>
            </w:r>
          </w:p>
        </w:tc>
        <w:tc>
          <w:tcPr>
            <w:tcW w:w="1509" w:type="dxa"/>
            <w:tcBorders>
              <w:top w:val="nil"/>
              <w:left w:val="single" w:sz="4" w:space="0" w:color="auto"/>
              <w:bottom w:val="nil"/>
              <w:right w:val="nil"/>
            </w:tcBorders>
            <w:shd w:val="clear" w:color="auto" w:fill="auto"/>
            <w:noWrap/>
            <w:vAlign w:val="center"/>
            <w:hideMark/>
          </w:tcPr>
          <w:p w14:paraId="6BDC3AED" w14:textId="4BB39228"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43.3%</w:t>
            </w:r>
          </w:p>
        </w:tc>
        <w:tc>
          <w:tcPr>
            <w:tcW w:w="1731" w:type="dxa"/>
            <w:tcBorders>
              <w:top w:val="nil"/>
              <w:left w:val="nil"/>
              <w:bottom w:val="nil"/>
              <w:right w:val="single" w:sz="4" w:space="0" w:color="auto"/>
            </w:tcBorders>
            <w:shd w:val="clear" w:color="auto" w:fill="auto"/>
            <w:noWrap/>
            <w:vAlign w:val="center"/>
            <w:hideMark/>
          </w:tcPr>
          <w:p w14:paraId="7ACD7F5E" w14:textId="777777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57</w:t>
            </w:r>
          </w:p>
        </w:tc>
        <w:tc>
          <w:tcPr>
            <w:tcW w:w="2070" w:type="dxa"/>
            <w:tcBorders>
              <w:top w:val="nil"/>
              <w:left w:val="single" w:sz="4" w:space="0" w:color="auto"/>
              <w:bottom w:val="nil"/>
              <w:right w:val="nil"/>
            </w:tcBorders>
            <w:vAlign w:val="center"/>
          </w:tcPr>
          <w:p w14:paraId="389C414B" w14:textId="42FADA81"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4.1%</w:t>
            </w:r>
          </w:p>
        </w:tc>
      </w:tr>
      <w:tr w:rsidR="00F970C1" w:rsidRPr="008029B2" w14:paraId="107F9986" w14:textId="77777777" w:rsidTr="00F970C1">
        <w:trPr>
          <w:trHeight w:val="288"/>
        </w:trPr>
        <w:tc>
          <w:tcPr>
            <w:tcW w:w="960" w:type="dxa"/>
            <w:tcBorders>
              <w:top w:val="nil"/>
              <w:left w:val="nil"/>
              <w:bottom w:val="nil"/>
              <w:right w:val="single" w:sz="4" w:space="0" w:color="auto"/>
            </w:tcBorders>
            <w:shd w:val="clear" w:color="auto" w:fill="auto"/>
            <w:noWrap/>
            <w:vAlign w:val="center"/>
            <w:hideMark/>
          </w:tcPr>
          <w:p w14:paraId="5425BED1"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Kenya</w:t>
            </w:r>
          </w:p>
        </w:tc>
        <w:tc>
          <w:tcPr>
            <w:tcW w:w="1650" w:type="dxa"/>
            <w:tcBorders>
              <w:top w:val="nil"/>
              <w:left w:val="single" w:sz="4" w:space="0" w:color="auto"/>
              <w:bottom w:val="nil"/>
              <w:right w:val="nil"/>
            </w:tcBorders>
            <w:shd w:val="clear" w:color="auto" w:fill="auto"/>
            <w:noWrap/>
            <w:vAlign w:val="center"/>
            <w:hideMark/>
          </w:tcPr>
          <w:p w14:paraId="471649BE" w14:textId="2C9D55C4"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44.1%</w:t>
            </w:r>
          </w:p>
        </w:tc>
        <w:tc>
          <w:tcPr>
            <w:tcW w:w="1710" w:type="dxa"/>
            <w:tcBorders>
              <w:top w:val="nil"/>
              <w:left w:val="nil"/>
              <w:bottom w:val="nil"/>
              <w:right w:val="single" w:sz="4" w:space="0" w:color="auto"/>
            </w:tcBorders>
            <w:shd w:val="clear" w:color="auto" w:fill="auto"/>
            <w:noWrap/>
            <w:vAlign w:val="center"/>
            <w:hideMark/>
          </w:tcPr>
          <w:p w14:paraId="3D17D47E" w14:textId="777777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2561</w:t>
            </w:r>
          </w:p>
        </w:tc>
        <w:tc>
          <w:tcPr>
            <w:tcW w:w="1509" w:type="dxa"/>
            <w:tcBorders>
              <w:top w:val="nil"/>
              <w:left w:val="single" w:sz="4" w:space="0" w:color="auto"/>
              <w:bottom w:val="nil"/>
              <w:right w:val="nil"/>
            </w:tcBorders>
            <w:shd w:val="clear" w:color="auto" w:fill="auto"/>
            <w:noWrap/>
            <w:vAlign w:val="center"/>
            <w:hideMark/>
          </w:tcPr>
          <w:p w14:paraId="563FB0C7" w14:textId="2AEFFDF2"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32.0%</w:t>
            </w:r>
          </w:p>
        </w:tc>
        <w:tc>
          <w:tcPr>
            <w:tcW w:w="1731" w:type="dxa"/>
            <w:tcBorders>
              <w:top w:val="nil"/>
              <w:left w:val="nil"/>
              <w:bottom w:val="nil"/>
              <w:right w:val="single" w:sz="4" w:space="0" w:color="auto"/>
            </w:tcBorders>
            <w:shd w:val="clear" w:color="auto" w:fill="auto"/>
            <w:noWrap/>
            <w:vAlign w:val="center"/>
            <w:hideMark/>
          </w:tcPr>
          <w:p w14:paraId="646D9550" w14:textId="777777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399</w:t>
            </w:r>
          </w:p>
        </w:tc>
        <w:tc>
          <w:tcPr>
            <w:tcW w:w="2070" w:type="dxa"/>
            <w:tcBorders>
              <w:top w:val="nil"/>
              <w:left w:val="single" w:sz="4" w:space="0" w:color="auto"/>
              <w:bottom w:val="nil"/>
              <w:right w:val="nil"/>
            </w:tcBorders>
            <w:vAlign w:val="center"/>
          </w:tcPr>
          <w:p w14:paraId="5B0601CA" w14:textId="53EDFA2A"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4.0%</w:t>
            </w:r>
          </w:p>
        </w:tc>
      </w:tr>
      <w:tr w:rsidR="00F970C1" w:rsidRPr="008029B2" w14:paraId="6E2EF1E2" w14:textId="77777777" w:rsidTr="00F970C1">
        <w:trPr>
          <w:trHeight w:val="288"/>
        </w:trPr>
        <w:tc>
          <w:tcPr>
            <w:tcW w:w="960" w:type="dxa"/>
            <w:tcBorders>
              <w:top w:val="nil"/>
              <w:left w:val="nil"/>
              <w:bottom w:val="nil"/>
              <w:right w:val="single" w:sz="4" w:space="0" w:color="auto"/>
            </w:tcBorders>
            <w:shd w:val="clear" w:color="auto" w:fill="auto"/>
            <w:noWrap/>
            <w:vAlign w:val="center"/>
            <w:hideMark/>
          </w:tcPr>
          <w:p w14:paraId="0A3155D1"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Ghana</w:t>
            </w:r>
          </w:p>
        </w:tc>
        <w:tc>
          <w:tcPr>
            <w:tcW w:w="1650" w:type="dxa"/>
            <w:tcBorders>
              <w:top w:val="nil"/>
              <w:left w:val="single" w:sz="4" w:space="0" w:color="auto"/>
              <w:bottom w:val="nil"/>
              <w:right w:val="nil"/>
            </w:tcBorders>
            <w:shd w:val="clear" w:color="auto" w:fill="auto"/>
            <w:noWrap/>
            <w:vAlign w:val="center"/>
            <w:hideMark/>
          </w:tcPr>
          <w:p w14:paraId="21B5E5E1" w14:textId="6BA30182"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42.5%</w:t>
            </w:r>
          </w:p>
        </w:tc>
        <w:tc>
          <w:tcPr>
            <w:tcW w:w="1710" w:type="dxa"/>
            <w:tcBorders>
              <w:top w:val="nil"/>
              <w:left w:val="nil"/>
              <w:bottom w:val="nil"/>
              <w:right w:val="single" w:sz="4" w:space="0" w:color="auto"/>
            </w:tcBorders>
            <w:shd w:val="clear" w:color="auto" w:fill="auto"/>
            <w:noWrap/>
            <w:vAlign w:val="center"/>
            <w:hideMark/>
          </w:tcPr>
          <w:p w14:paraId="5A40AFFE" w14:textId="777777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1625</w:t>
            </w:r>
          </w:p>
        </w:tc>
        <w:tc>
          <w:tcPr>
            <w:tcW w:w="1509" w:type="dxa"/>
            <w:tcBorders>
              <w:top w:val="nil"/>
              <w:left w:val="single" w:sz="4" w:space="0" w:color="auto"/>
              <w:bottom w:val="nil"/>
              <w:right w:val="nil"/>
            </w:tcBorders>
            <w:shd w:val="clear" w:color="auto" w:fill="auto"/>
            <w:noWrap/>
            <w:vAlign w:val="center"/>
            <w:hideMark/>
          </w:tcPr>
          <w:p w14:paraId="7EAC9982" w14:textId="677DD9C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22.5%</w:t>
            </w:r>
          </w:p>
        </w:tc>
        <w:tc>
          <w:tcPr>
            <w:tcW w:w="1731" w:type="dxa"/>
            <w:tcBorders>
              <w:top w:val="nil"/>
              <w:left w:val="nil"/>
              <w:bottom w:val="nil"/>
              <w:right w:val="single" w:sz="4" w:space="0" w:color="auto"/>
            </w:tcBorders>
            <w:shd w:val="clear" w:color="auto" w:fill="auto"/>
            <w:noWrap/>
            <w:vAlign w:val="center"/>
            <w:hideMark/>
          </w:tcPr>
          <w:p w14:paraId="3E8A0231" w14:textId="777777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138</w:t>
            </w:r>
          </w:p>
        </w:tc>
        <w:tc>
          <w:tcPr>
            <w:tcW w:w="2070" w:type="dxa"/>
            <w:tcBorders>
              <w:top w:val="nil"/>
              <w:left w:val="single" w:sz="4" w:space="0" w:color="auto"/>
              <w:bottom w:val="nil"/>
              <w:right w:val="nil"/>
            </w:tcBorders>
            <w:vAlign w:val="center"/>
          </w:tcPr>
          <w:p w14:paraId="4F82F647" w14:textId="62188361"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2.3%</w:t>
            </w:r>
          </w:p>
        </w:tc>
      </w:tr>
      <w:tr w:rsidR="00F970C1" w:rsidRPr="008029B2" w14:paraId="7A2527C3" w14:textId="77777777" w:rsidTr="00F970C1">
        <w:trPr>
          <w:trHeight w:val="288"/>
        </w:trPr>
        <w:tc>
          <w:tcPr>
            <w:tcW w:w="960" w:type="dxa"/>
            <w:tcBorders>
              <w:top w:val="nil"/>
              <w:left w:val="nil"/>
              <w:bottom w:val="single" w:sz="4" w:space="0" w:color="auto"/>
              <w:right w:val="single" w:sz="4" w:space="0" w:color="auto"/>
            </w:tcBorders>
            <w:shd w:val="clear" w:color="auto" w:fill="auto"/>
            <w:noWrap/>
            <w:vAlign w:val="center"/>
            <w:hideMark/>
          </w:tcPr>
          <w:p w14:paraId="1A02611E" w14:textId="77777777" w:rsidR="00F970C1" w:rsidRPr="008029B2" w:rsidRDefault="00F970C1" w:rsidP="00D727BF">
            <w:pPr>
              <w:tabs>
                <w:tab w:val="left" w:pos="720"/>
              </w:tabs>
              <w:spacing w:after="0"/>
              <w:ind w:left="20" w:hanging="20"/>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Africa</w:t>
            </w:r>
          </w:p>
        </w:tc>
        <w:tc>
          <w:tcPr>
            <w:tcW w:w="1650" w:type="dxa"/>
            <w:tcBorders>
              <w:top w:val="nil"/>
              <w:left w:val="single" w:sz="4" w:space="0" w:color="auto"/>
              <w:bottom w:val="single" w:sz="4" w:space="0" w:color="auto"/>
              <w:right w:val="nil"/>
            </w:tcBorders>
            <w:shd w:val="clear" w:color="auto" w:fill="auto"/>
            <w:noWrap/>
            <w:vAlign w:val="center"/>
            <w:hideMark/>
          </w:tcPr>
          <w:p w14:paraId="685472AB" w14:textId="61750324"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32.0%</w:t>
            </w:r>
          </w:p>
        </w:tc>
        <w:tc>
          <w:tcPr>
            <w:tcW w:w="1710" w:type="dxa"/>
            <w:tcBorders>
              <w:top w:val="nil"/>
              <w:left w:val="nil"/>
              <w:bottom w:val="single" w:sz="4" w:space="0" w:color="auto"/>
              <w:right w:val="single" w:sz="4" w:space="0" w:color="auto"/>
            </w:tcBorders>
            <w:shd w:val="clear" w:color="auto" w:fill="auto"/>
            <w:noWrap/>
            <w:vAlign w:val="center"/>
            <w:hideMark/>
          </w:tcPr>
          <w:p w14:paraId="0AC001DC" w14:textId="777777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2033</w:t>
            </w:r>
          </w:p>
        </w:tc>
        <w:tc>
          <w:tcPr>
            <w:tcW w:w="1509" w:type="dxa"/>
            <w:tcBorders>
              <w:top w:val="nil"/>
              <w:left w:val="single" w:sz="4" w:space="0" w:color="auto"/>
              <w:bottom w:val="single" w:sz="4" w:space="0" w:color="auto"/>
              <w:right w:val="nil"/>
            </w:tcBorders>
            <w:shd w:val="clear" w:color="auto" w:fill="auto"/>
            <w:noWrap/>
            <w:vAlign w:val="center"/>
            <w:hideMark/>
          </w:tcPr>
          <w:p w14:paraId="03141271" w14:textId="6106734A"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19.9%</w:t>
            </w:r>
          </w:p>
        </w:tc>
        <w:tc>
          <w:tcPr>
            <w:tcW w:w="1731" w:type="dxa"/>
            <w:tcBorders>
              <w:top w:val="nil"/>
              <w:left w:val="nil"/>
              <w:bottom w:val="single" w:sz="4" w:space="0" w:color="auto"/>
              <w:right w:val="single" w:sz="4" w:space="0" w:color="auto"/>
            </w:tcBorders>
            <w:shd w:val="clear" w:color="auto" w:fill="auto"/>
            <w:noWrap/>
            <w:vAlign w:val="center"/>
            <w:hideMark/>
          </w:tcPr>
          <w:p w14:paraId="34143166" w14:textId="77777777"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276</w:t>
            </w:r>
          </w:p>
        </w:tc>
        <w:tc>
          <w:tcPr>
            <w:tcW w:w="2070" w:type="dxa"/>
            <w:tcBorders>
              <w:top w:val="nil"/>
              <w:left w:val="single" w:sz="4" w:space="0" w:color="auto"/>
              <w:bottom w:val="single" w:sz="4" w:space="0" w:color="auto"/>
              <w:right w:val="nil"/>
            </w:tcBorders>
            <w:vAlign w:val="center"/>
          </w:tcPr>
          <w:p w14:paraId="05B7E051" w14:textId="4F81B759" w:rsidR="00F970C1" w:rsidRPr="008029B2" w:rsidRDefault="00F970C1" w:rsidP="00D727BF">
            <w:pPr>
              <w:tabs>
                <w:tab w:val="left" w:pos="720"/>
              </w:tabs>
              <w:spacing w:after="0"/>
              <w:ind w:left="20" w:hanging="20"/>
              <w:jc w:val="center"/>
              <w:rPr>
                <w:rFonts w:ascii="Trebuchet MS" w:eastAsia="Times New Roman" w:hAnsi="Trebuchet MS" w:cs="Times New Roman"/>
                <w:color w:val="000000"/>
                <w:sz w:val="20"/>
                <w:szCs w:val="20"/>
                <w:shd w:val="clear" w:color="auto" w:fill="FFFFFF" w:themeFill="background1"/>
              </w:rPr>
            </w:pPr>
            <w:r w:rsidRPr="008029B2">
              <w:rPr>
                <w:rFonts w:ascii="Trebuchet MS" w:eastAsia="Times New Roman" w:hAnsi="Trebuchet MS" w:cs="Times New Roman"/>
                <w:color w:val="000000"/>
                <w:sz w:val="20"/>
                <w:szCs w:val="20"/>
                <w:shd w:val="clear" w:color="auto" w:fill="FFFFFF" w:themeFill="background1"/>
              </w:rPr>
              <w:t>7.2%</w:t>
            </w:r>
          </w:p>
        </w:tc>
      </w:tr>
    </w:tbl>
    <w:p w14:paraId="7E7367B6" w14:textId="3E63A687" w:rsidR="00F970C1" w:rsidRPr="008029B2" w:rsidRDefault="00F970C1" w:rsidP="00D727BF">
      <w:pPr>
        <w:tabs>
          <w:tab w:val="left" w:pos="720"/>
        </w:tabs>
        <w:spacing w:before="60" w:after="120"/>
        <w:rPr>
          <w:rFonts w:eastAsia="Calibri" w:cs="Times New Roman"/>
          <w:sz w:val="18"/>
          <w:szCs w:val="18"/>
          <w:shd w:val="clear" w:color="auto" w:fill="FFFFFF" w:themeFill="background1"/>
        </w:rPr>
      </w:pPr>
      <w:r w:rsidRPr="008029B2">
        <w:rPr>
          <w:rFonts w:eastAsia="Calibri" w:cs="Times New Roman"/>
          <w:sz w:val="18"/>
          <w:szCs w:val="18"/>
          <w:shd w:val="clear" w:color="auto" w:fill="FFFFFF" w:themeFill="background1"/>
        </w:rPr>
        <w:t>Source: Authors</w:t>
      </w:r>
      <w:r w:rsidR="00863D16">
        <w:rPr>
          <w:rFonts w:eastAsia="Calibri" w:cs="Times New Roman"/>
          <w:sz w:val="18"/>
          <w:szCs w:val="18"/>
          <w:shd w:val="clear" w:color="auto" w:fill="FFFFFF" w:themeFill="background1"/>
        </w:rPr>
        <w:t>’</w:t>
      </w:r>
      <w:r w:rsidR="00C86411" w:rsidRPr="008029B2">
        <w:rPr>
          <w:rFonts w:eastAsia="Calibri" w:cs="Times New Roman"/>
          <w:sz w:val="18"/>
          <w:szCs w:val="18"/>
          <w:shd w:val="clear" w:color="auto" w:fill="FFFFFF" w:themeFill="background1"/>
        </w:rPr>
        <w:t xml:space="preserve"> calculations based on </w:t>
      </w:r>
      <w:r w:rsidRPr="008029B2">
        <w:rPr>
          <w:rFonts w:eastAsia="Calibri" w:cs="Times New Roman"/>
          <w:sz w:val="18"/>
          <w:szCs w:val="18"/>
          <w:shd w:val="clear" w:color="auto" w:fill="FFFFFF" w:themeFill="background1"/>
        </w:rPr>
        <w:t>Enterprise Survey</w:t>
      </w:r>
      <w:r w:rsidR="003A138E" w:rsidRPr="008029B2">
        <w:rPr>
          <w:rFonts w:eastAsia="Calibri" w:cs="Times New Roman"/>
          <w:sz w:val="18"/>
          <w:szCs w:val="18"/>
          <w:shd w:val="clear" w:color="auto" w:fill="FFFFFF" w:themeFill="background1"/>
        </w:rPr>
        <w:t xml:space="preserve"> 2014</w:t>
      </w:r>
      <w:r w:rsidR="003C45B2">
        <w:rPr>
          <w:rFonts w:ascii="Calibri" w:eastAsia="Calibri" w:hAnsi="Calibri" w:cs="Times New Roman"/>
          <w:sz w:val="18"/>
          <w:szCs w:val="18"/>
          <w:shd w:val="clear" w:color="auto" w:fill="FFFFFF" w:themeFill="background1"/>
        </w:rPr>
        <w:t>‒</w:t>
      </w:r>
      <w:r w:rsidR="003A138E" w:rsidRPr="008029B2">
        <w:rPr>
          <w:rFonts w:eastAsia="Calibri" w:cs="Times New Roman"/>
          <w:sz w:val="18"/>
          <w:szCs w:val="18"/>
          <w:shd w:val="clear" w:color="auto" w:fill="FFFFFF" w:themeFill="background1"/>
        </w:rPr>
        <w:t>15</w:t>
      </w:r>
    </w:p>
    <w:p w14:paraId="2C5EA555" w14:textId="1241DBEB" w:rsidR="00F970C1" w:rsidRPr="008029B2" w:rsidRDefault="00F970C1" w:rsidP="00D727BF">
      <w:pPr>
        <w:tabs>
          <w:tab w:val="left" w:pos="720"/>
        </w:tabs>
        <w:spacing w:after="0"/>
        <w:ind w:left="20"/>
        <w:rPr>
          <w:sz w:val="18"/>
          <w:szCs w:val="18"/>
          <w:shd w:val="clear" w:color="auto" w:fill="FFFFFF" w:themeFill="background1"/>
        </w:rPr>
      </w:pPr>
      <w:r w:rsidRPr="008029B2">
        <w:rPr>
          <w:sz w:val="18"/>
          <w:szCs w:val="18"/>
          <w:shd w:val="clear" w:color="auto" w:fill="FFFFFF" w:themeFill="background1"/>
          <w:vertAlign w:val="superscript"/>
        </w:rPr>
        <w:t>a</w:t>
      </w:r>
      <w:r w:rsidRPr="008029B2">
        <w:rPr>
          <w:sz w:val="18"/>
          <w:szCs w:val="18"/>
          <w:shd w:val="clear" w:color="auto" w:fill="FFFFFF" w:themeFill="background1"/>
        </w:rPr>
        <w:t xml:space="preserve"> Africa average, excluding Nigeria and including DRC, Ghana, Kenya, Namibia, South Sudan, Sudan, Tanzania, Uganda</w:t>
      </w:r>
      <w:r w:rsidR="003C45B2">
        <w:rPr>
          <w:sz w:val="18"/>
          <w:szCs w:val="18"/>
          <w:shd w:val="clear" w:color="auto" w:fill="FFFFFF" w:themeFill="background1"/>
        </w:rPr>
        <w:t>,</w:t>
      </w:r>
      <w:r w:rsidRPr="008029B2">
        <w:rPr>
          <w:sz w:val="18"/>
          <w:szCs w:val="18"/>
          <w:shd w:val="clear" w:color="auto" w:fill="FFFFFF" w:themeFill="background1"/>
        </w:rPr>
        <w:t xml:space="preserve"> and Zambia. </w:t>
      </w:r>
    </w:p>
    <w:p w14:paraId="45F97D3A" w14:textId="77777777" w:rsidR="00F970C1" w:rsidRPr="008029B2" w:rsidRDefault="00F970C1" w:rsidP="00D727BF">
      <w:pPr>
        <w:tabs>
          <w:tab w:val="left" w:pos="720"/>
        </w:tabs>
        <w:spacing w:after="0"/>
        <w:ind w:left="20"/>
        <w:rPr>
          <w:szCs w:val="24"/>
          <w:shd w:val="clear" w:color="auto" w:fill="FFFFFF" w:themeFill="background1"/>
        </w:rPr>
      </w:pPr>
    </w:p>
    <w:p w14:paraId="0F4601A0" w14:textId="0FF850AD" w:rsidR="0079023E" w:rsidRPr="008029B2" w:rsidRDefault="00F060B0" w:rsidP="00D727BF">
      <w:pPr>
        <w:pStyle w:val="ParagraphNumbering"/>
        <w:numPr>
          <w:ilvl w:val="0"/>
          <w:numId w:val="0"/>
        </w:numPr>
        <w:tabs>
          <w:tab w:val="left" w:pos="720"/>
        </w:tabs>
        <w:rPr>
          <w:rFonts w:eastAsia="Calibri"/>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Wh</w:t>
      </w:r>
      <w:r w:rsidR="00C86411" w:rsidRPr="008029B2">
        <w:rPr>
          <w:rFonts w:eastAsia="Calibri"/>
          <w:b/>
          <w:shd w:val="clear" w:color="auto" w:fill="FFFFFF" w:themeFill="background1"/>
        </w:rPr>
        <w:t xml:space="preserve">at kinds of </w:t>
      </w:r>
      <w:r w:rsidR="00F970C1" w:rsidRPr="008029B2">
        <w:rPr>
          <w:rFonts w:eastAsia="Calibri"/>
          <w:b/>
          <w:shd w:val="clear" w:color="auto" w:fill="FFFFFF" w:themeFill="background1"/>
        </w:rPr>
        <w:t>Nigerian firms invest in knowledge capital inputs?</w:t>
      </w:r>
      <w:r w:rsidR="00F970C1" w:rsidRPr="008029B2">
        <w:rPr>
          <w:rFonts w:eastAsia="Calibri"/>
          <w:shd w:val="clear" w:color="auto" w:fill="FFFFFF" w:themeFill="background1"/>
        </w:rPr>
        <w:t xml:space="preserve"> The background paper</w:t>
      </w:r>
      <w:r w:rsidR="0029508E" w:rsidRPr="008029B2">
        <w:rPr>
          <w:rStyle w:val="FootnoteReference"/>
          <w:rFonts w:eastAsia="Calibri"/>
          <w:shd w:val="clear" w:color="auto" w:fill="FFFFFF" w:themeFill="background1"/>
        </w:rPr>
        <w:footnoteReference w:id="59"/>
      </w:r>
      <w:r w:rsidR="00F970C1" w:rsidRPr="008029B2">
        <w:rPr>
          <w:rFonts w:eastAsia="Calibri"/>
          <w:shd w:val="clear" w:color="auto" w:fill="FFFFFF" w:themeFill="background1"/>
        </w:rPr>
        <w:t xml:space="preserve"> tested four sets of variables</w:t>
      </w:r>
      <w:r w:rsidR="00924CF9" w:rsidRPr="008029B2">
        <w:rPr>
          <w:rFonts w:eastAsia="Calibri"/>
          <w:shd w:val="clear" w:color="auto" w:fill="FFFFFF" w:themeFill="background1"/>
        </w:rPr>
        <w:t xml:space="preserve">: </w:t>
      </w:r>
      <w:r w:rsidR="00EB168D" w:rsidRPr="008029B2">
        <w:rPr>
          <w:rFonts w:eastAsia="Calibri"/>
          <w:shd w:val="clear" w:color="auto" w:fill="FFFFFF" w:themeFill="background1"/>
        </w:rPr>
        <w:t xml:space="preserve">(a) </w:t>
      </w:r>
      <w:r w:rsidR="00F970C1" w:rsidRPr="008029B2">
        <w:rPr>
          <w:rFonts w:eastAsia="Calibri"/>
          <w:shd w:val="clear" w:color="auto" w:fill="FFFFFF" w:themeFill="background1"/>
        </w:rPr>
        <w:t>firm characteristics (age and size)</w:t>
      </w:r>
      <w:r w:rsidR="00924CF9" w:rsidRPr="008029B2">
        <w:rPr>
          <w:rFonts w:eastAsia="Calibri"/>
          <w:shd w:val="clear" w:color="auto" w:fill="FFFFFF" w:themeFill="background1"/>
        </w:rPr>
        <w:t>;</w:t>
      </w:r>
      <w:r w:rsidR="00F970C1" w:rsidRPr="008029B2">
        <w:rPr>
          <w:rFonts w:eastAsia="Calibri"/>
          <w:shd w:val="clear" w:color="auto" w:fill="FFFFFF" w:themeFill="background1"/>
        </w:rPr>
        <w:t xml:space="preserve"> </w:t>
      </w:r>
      <w:r w:rsidR="00EB168D" w:rsidRPr="008029B2">
        <w:rPr>
          <w:rFonts w:eastAsia="Calibri"/>
          <w:shd w:val="clear" w:color="auto" w:fill="FFFFFF" w:themeFill="background1"/>
        </w:rPr>
        <w:t xml:space="preserve">(b) </w:t>
      </w:r>
      <w:r w:rsidR="00F970C1" w:rsidRPr="008029B2">
        <w:rPr>
          <w:rFonts w:eastAsia="Calibri"/>
          <w:shd w:val="clear" w:color="auto" w:fill="FFFFFF" w:themeFill="background1"/>
        </w:rPr>
        <w:t>the importance of demand factors in incentivizing investments in innovation inputs</w:t>
      </w:r>
      <w:r w:rsidR="003C45B2">
        <w:rPr>
          <w:rFonts w:eastAsia="Calibri"/>
          <w:shd w:val="clear" w:color="auto" w:fill="FFFFFF" w:themeFill="background1"/>
        </w:rPr>
        <w:t>;</w:t>
      </w:r>
      <w:r w:rsidR="00F970C1" w:rsidRPr="008029B2">
        <w:rPr>
          <w:rFonts w:eastAsia="Calibri"/>
          <w:shd w:val="clear" w:color="auto" w:fill="FFFFFF" w:themeFill="background1"/>
        </w:rPr>
        <w:t xml:space="preserve"> (</w:t>
      </w:r>
      <w:r w:rsidR="00591590" w:rsidRPr="008029B2">
        <w:rPr>
          <w:rFonts w:eastAsia="Calibri"/>
          <w:shd w:val="clear" w:color="auto" w:fill="FFFFFF" w:themeFill="background1"/>
        </w:rPr>
        <w:t xml:space="preserve">c) </w:t>
      </w:r>
      <w:r w:rsidR="00F970C1" w:rsidRPr="008029B2">
        <w:rPr>
          <w:rFonts w:eastAsia="Calibri"/>
          <w:shd w:val="clear" w:color="auto" w:fill="FFFFFF" w:themeFill="background1"/>
        </w:rPr>
        <w:t xml:space="preserve">market </w:t>
      </w:r>
      <w:r w:rsidR="00591590" w:rsidRPr="008029B2">
        <w:rPr>
          <w:rFonts w:eastAsia="Calibri"/>
          <w:shd w:val="clear" w:color="auto" w:fill="FFFFFF" w:themeFill="background1"/>
        </w:rPr>
        <w:t>conditions</w:t>
      </w:r>
      <w:r w:rsidR="00F970C1" w:rsidRPr="008029B2">
        <w:rPr>
          <w:rStyle w:val="FootnoteReference"/>
          <w:rFonts w:eastAsia="Calibri"/>
          <w:shd w:val="clear" w:color="auto" w:fill="FFFFFF" w:themeFill="background1"/>
        </w:rPr>
        <w:footnoteReference w:id="60"/>
      </w:r>
      <w:r w:rsidR="00591590" w:rsidRPr="008029B2">
        <w:rPr>
          <w:rFonts w:eastAsia="Calibri"/>
          <w:shd w:val="clear" w:color="auto" w:fill="FFFFFF" w:themeFill="background1"/>
        </w:rPr>
        <w:t xml:space="preserve"> and degree of integration with international markets</w:t>
      </w:r>
      <w:r w:rsidR="003C45B2">
        <w:rPr>
          <w:rFonts w:eastAsia="Calibri"/>
          <w:shd w:val="clear" w:color="auto" w:fill="FFFFFF" w:themeFill="background1"/>
        </w:rPr>
        <w:t>;</w:t>
      </w:r>
      <w:r w:rsidR="00F970C1" w:rsidRPr="008029B2">
        <w:rPr>
          <w:rFonts w:eastAsia="Calibri"/>
          <w:shd w:val="clear" w:color="auto" w:fill="FFFFFF" w:themeFill="background1"/>
        </w:rPr>
        <w:t xml:space="preserve"> </w:t>
      </w:r>
      <w:r w:rsidR="00EB168D" w:rsidRPr="008029B2">
        <w:rPr>
          <w:rFonts w:eastAsia="Calibri"/>
          <w:shd w:val="clear" w:color="auto" w:fill="FFFFFF" w:themeFill="background1"/>
        </w:rPr>
        <w:t xml:space="preserve">(c) </w:t>
      </w:r>
      <w:r w:rsidR="00F970C1" w:rsidRPr="008029B2">
        <w:rPr>
          <w:rFonts w:eastAsia="Calibri"/>
          <w:shd w:val="clear" w:color="auto" w:fill="FFFFFF" w:themeFill="background1"/>
        </w:rPr>
        <w:t>access to finance</w:t>
      </w:r>
      <w:r w:rsidR="00EB168D" w:rsidRPr="008029B2">
        <w:rPr>
          <w:rFonts w:eastAsia="Calibri"/>
          <w:shd w:val="clear" w:color="auto" w:fill="FFFFFF" w:themeFill="background1"/>
        </w:rPr>
        <w:t>;</w:t>
      </w:r>
      <w:r w:rsidR="00F970C1" w:rsidRPr="008029B2">
        <w:rPr>
          <w:rFonts w:eastAsia="Calibri"/>
          <w:shd w:val="clear" w:color="auto" w:fill="FFFFFF" w:themeFill="background1"/>
        </w:rPr>
        <w:t xml:space="preserve"> and </w:t>
      </w:r>
      <w:r w:rsidR="00EB168D" w:rsidRPr="008029B2">
        <w:rPr>
          <w:rFonts w:eastAsia="Calibri"/>
          <w:shd w:val="clear" w:color="auto" w:fill="FFFFFF" w:themeFill="background1"/>
        </w:rPr>
        <w:t xml:space="preserve">(d) </w:t>
      </w:r>
      <w:r w:rsidR="00F970C1" w:rsidRPr="008029B2">
        <w:rPr>
          <w:rFonts w:eastAsia="Calibri"/>
          <w:shd w:val="clear" w:color="auto" w:fill="FFFFFF" w:themeFill="background1"/>
        </w:rPr>
        <w:t xml:space="preserve">complementary </w:t>
      </w:r>
      <w:r w:rsidR="00EB168D" w:rsidRPr="008029B2">
        <w:rPr>
          <w:rFonts w:eastAsia="Calibri"/>
          <w:shd w:val="clear" w:color="auto" w:fill="FFFFFF" w:themeFill="background1"/>
        </w:rPr>
        <w:t xml:space="preserve">technology </w:t>
      </w:r>
      <w:r w:rsidR="00F970C1" w:rsidRPr="008029B2">
        <w:rPr>
          <w:rFonts w:eastAsia="Calibri"/>
          <w:shd w:val="clear" w:color="auto" w:fill="FFFFFF" w:themeFill="background1"/>
        </w:rPr>
        <w:t>factors (</w:t>
      </w:r>
      <w:r w:rsidR="00EB168D" w:rsidRPr="008029B2">
        <w:rPr>
          <w:rFonts w:eastAsia="Calibri"/>
          <w:shd w:val="clear" w:color="auto" w:fill="FFFFFF" w:themeFill="background1"/>
        </w:rPr>
        <w:t xml:space="preserve">recently </w:t>
      </w:r>
      <w:r w:rsidR="00F970C1" w:rsidRPr="008029B2">
        <w:rPr>
          <w:rFonts w:eastAsia="Calibri"/>
          <w:shd w:val="clear" w:color="auto" w:fill="FFFFFF" w:themeFill="background1"/>
        </w:rPr>
        <w:t>replace</w:t>
      </w:r>
      <w:r w:rsidR="00EB168D" w:rsidRPr="008029B2">
        <w:rPr>
          <w:rFonts w:eastAsia="Calibri"/>
          <w:shd w:val="clear" w:color="auto" w:fill="FFFFFF" w:themeFill="background1"/>
        </w:rPr>
        <w:t>d</w:t>
      </w:r>
      <w:r w:rsidR="00F970C1" w:rsidRPr="008029B2">
        <w:rPr>
          <w:rFonts w:eastAsia="Calibri"/>
          <w:shd w:val="clear" w:color="auto" w:fill="FFFFFF" w:themeFill="background1"/>
        </w:rPr>
        <w:t xml:space="preserve"> physical assets</w:t>
      </w:r>
      <w:r w:rsidR="00EB168D" w:rsidRPr="008029B2">
        <w:rPr>
          <w:rFonts w:eastAsia="Calibri"/>
          <w:shd w:val="clear" w:color="auto" w:fill="FFFFFF" w:themeFill="background1"/>
        </w:rPr>
        <w:t>; license</w:t>
      </w:r>
      <w:r w:rsidR="00591590" w:rsidRPr="008029B2">
        <w:rPr>
          <w:rFonts w:eastAsia="Calibri"/>
          <w:shd w:val="clear" w:color="auto" w:fill="FFFFFF" w:themeFill="background1"/>
        </w:rPr>
        <w:t>s</w:t>
      </w:r>
      <w:r w:rsidR="00EB168D" w:rsidRPr="008029B2">
        <w:rPr>
          <w:rFonts w:eastAsia="Calibri"/>
          <w:shd w:val="clear" w:color="auto" w:fill="FFFFFF" w:themeFill="background1"/>
        </w:rPr>
        <w:t xml:space="preserve"> to use </w:t>
      </w:r>
      <w:r w:rsidR="00F970C1" w:rsidRPr="008029B2">
        <w:rPr>
          <w:rFonts w:eastAsia="Calibri"/>
          <w:shd w:val="clear" w:color="auto" w:fill="FFFFFF" w:themeFill="background1"/>
        </w:rPr>
        <w:t>foreign technology).</w:t>
      </w:r>
      <w:r w:rsidR="00F428F9" w:rsidRPr="008029B2">
        <w:rPr>
          <w:rFonts w:eastAsia="Calibri"/>
          <w:shd w:val="clear" w:color="auto" w:fill="FFFFFF" w:themeFill="background1"/>
        </w:rPr>
        <w:t xml:space="preserve"> </w:t>
      </w:r>
      <w:r w:rsidR="00F970C1" w:rsidRPr="008029B2">
        <w:rPr>
          <w:rFonts w:eastAsia="Calibri"/>
          <w:shd w:val="clear" w:color="auto" w:fill="FFFFFF" w:themeFill="background1"/>
        </w:rPr>
        <w:t xml:space="preserve">The empirical results suggest that while size does not seem to affect the probability of investing in R&amp;D, older firms are more likely to </w:t>
      </w:r>
      <w:r w:rsidR="00EB168D" w:rsidRPr="008029B2">
        <w:rPr>
          <w:rFonts w:eastAsia="Calibri"/>
          <w:shd w:val="clear" w:color="auto" w:fill="FFFFFF" w:themeFill="background1"/>
        </w:rPr>
        <w:t>do so</w:t>
      </w:r>
      <w:r w:rsidR="00591590" w:rsidRPr="008029B2">
        <w:rPr>
          <w:rFonts w:eastAsia="Calibri"/>
          <w:shd w:val="clear" w:color="auto" w:fill="FFFFFF" w:themeFill="background1"/>
        </w:rPr>
        <w:t xml:space="preserve"> than younger firms</w:t>
      </w:r>
      <w:r w:rsidR="00EB168D" w:rsidRPr="008029B2">
        <w:rPr>
          <w:rFonts w:eastAsia="Calibri"/>
          <w:shd w:val="clear" w:color="auto" w:fill="FFFFFF" w:themeFill="background1"/>
        </w:rPr>
        <w:t xml:space="preserve">. </w:t>
      </w:r>
      <w:r w:rsidR="00F970C1" w:rsidRPr="008029B2">
        <w:rPr>
          <w:rFonts w:eastAsia="Calibri"/>
          <w:shd w:val="clear" w:color="auto" w:fill="FFFFFF" w:themeFill="background1"/>
        </w:rPr>
        <w:t xml:space="preserve">Regarding the importance of market structure and competition, the coefficient on the duopolistic dummy is not statistically significant, but firms that perceive larger competition from the informal sector are more likely to invest in R&amp;D. Firms that are more financially constrained are less likely to </w:t>
      </w:r>
      <w:r w:rsidR="00EB168D" w:rsidRPr="008029B2">
        <w:rPr>
          <w:rFonts w:eastAsia="Calibri"/>
          <w:shd w:val="clear" w:color="auto" w:fill="FFFFFF" w:themeFill="background1"/>
        </w:rPr>
        <w:t>do so</w:t>
      </w:r>
      <w:r w:rsidR="00591590" w:rsidRPr="008029B2">
        <w:rPr>
          <w:rFonts w:eastAsia="Calibri"/>
          <w:shd w:val="clear" w:color="auto" w:fill="FFFFFF" w:themeFill="background1"/>
        </w:rPr>
        <w:t>.</w:t>
      </w:r>
      <w:r w:rsidR="00F970C1" w:rsidRPr="008029B2">
        <w:rPr>
          <w:rFonts w:eastAsia="Calibri"/>
          <w:shd w:val="clear" w:color="auto" w:fill="FFFFFF" w:themeFill="background1"/>
        </w:rPr>
        <w:t xml:space="preserve"> Complementary technology factors </w:t>
      </w:r>
      <w:r w:rsidR="00591590" w:rsidRPr="008029B2">
        <w:rPr>
          <w:rFonts w:eastAsia="Calibri"/>
          <w:shd w:val="clear" w:color="auto" w:fill="FFFFFF" w:themeFill="background1"/>
        </w:rPr>
        <w:t xml:space="preserve">also </w:t>
      </w:r>
      <w:r w:rsidR="00F970C1" w:rsidRPr="008029B2">
        <w:rPr>
          <w:rFonts w:eastAsia="Calibri"/>
          <w:shd w:val="clear" w:color="auto" w:fill="FFFFFF" w:themeFill="background1"/>
        </w:rPr>
        <w:t>appear to be critical for investing in R&amp;D. Firms that have newer assets tend to be more likely to engage in R&amp;D</w:t>
      </w:r>
      <w:r w:rsidR="00591590" w:rsidRPr="008029B2">
        <w:rPr>
          <w:rFonts w:eastAsia="Calibri"/>
          <w:shd w:val="clear" w:color="auto" w:fill="FFFFFF" w:themeFill="background1"/>
        </w:rPr>
        <w:t xml:space="preserve">, as are </w:t>
      </w:r>
      <w:r w:rsidR="00F970C1" w:rsidRPr="008029B2">
        <w:rPr>
          <w:rFonts w:eastAsia="Calibri"/>
          <w:shd w:val="clear" w:color="auto" w:fill="FFFFFF" w:themeFill="background1"/>
        </w:rPr>
        <w:t>firms with a foreign technology license</w:t>
      </w:r>
      <w:r w:rsidR="00591590" w:rsidRPr="008029B2">
        <w:rPr>
          <w:rFonts w:eastAsia="Calibri"/>
          <w:shd w:val="clear" w:color="auto" w:fill="FFFFFF" w:themeFill="background1"/>
        </w:rPr>
        <w:t>.</w:t>
      </w:r>
      <w:r w:rsidR="00F970C1" w:rsidRPr="008029B2">
        <w:rPr>
          <w:rFonts w:eastAsia="Calibri"/>
          <w:shd w:val="clear" w:color="auto" w:fill="FFFFFF" w:themeFill="background1"/>
        </w:rPr>
        <w:t xml:space="preserve"> In sum</w:t>
      </w:r>
      <w:r w:rsidR="00591590" w:rsidRPr="008029B2">
        <w:rPr>
          <w:rFonts w:eastAsia="Calibri"/>
          <w:shd w:val="clear" w:color="auto" w:fill="FFFFFF" w:themeFill="background1"/>
        </w:rPr>
        <w:t>mary</w:t>
      </w:r>
      <w:r w:rsidR="00F970C1" w:rsidRPr="008029B2">
        <w:rPr>
          <w:rFonts w:eastAsia="Calibri"/>
          <w:shd w:val="clear" w:color="auto" w:fill="FFFFFF" w:themeFill="background1"/>
        </w:rPr>
        <w:t xml:space="preserve">, </w:t>
      </w:r>
      <w:r w:rsidR="00591590" w:rsidRPr="008029B2">
        <w:rPr>
          <w:rFonts w:eastAsia="Calibri"/>
          <w:shd w:val="clear" w:color="auto" w:fill="FFFFFF" w:themeFill="background1"/>
        </w:rPr>
        <w:t xml:space="preserve">Nigerian </w:t>
      </w:r>
      <w:r w:rsidR="00F970C1" w:rsidRPr="008029B2">
        <w:rPr>
          <w:rFonts w:eastAsia="Calibri"/>
          <w:shd w:val="clear" w:color="auto" w:fill="FFFFFF" w:themeFill="background1"/>
        </w:rPr>
        <w:t xml:space="preserve">firms that are older, </w:t>
      </w:r>
      <w:r w:rsidR="00A36B89">
        <w:rPr>
          <w:rFonts w:eastAsia="Calibri"/>
          <w:shd w:val="clear" w:color="auto" w:fill="FFFFFF" w:themeFill="background1"/>
        </w:rPr>
        <w:t xml:space="preserve">are </w:t>
      </w:r>
      <w:r w:rsidR="00F970C1" w:rsidRPr="008029B2">
        <w:rPr>
          <w:rFonts w:eastAsia="Calibri"/>
          <w:shd w:val="clear" w:color="auto" w:fill="FFFFFF" w:themeFill="background1"/>
        </w:rPr>
        <w:t xml:space="preserve">less financially constrained, </w:t>
      </w:r>
      <w:r w:rsidR="00F878E5" w:rsidRPr="008029B2">
        <w:rPr>
          <w:rFonts w:eastAsia="Calibri"/>
          <w:shd w:val="clear" w:color="auto" w:fill="FFFFFF" w:themeFill="background1"/>
        </w:rPr>
        <w:t xml:space="preserve">possess </w:t>
      </w:r>
      <w:r w:rsidR="00F970C1" w:rsidRPr="008029B2">
        <w:rPr>
          <w:rFonts w:eastAsia="Calibri"/>
          <w:shd w:val="clear" w:color="auto" w:fill="FFFFFF" w:themeFill="background1"/>
        </w:rPr>
        <w:t xml:space="preserve">better technology </w:t>
      </w:r>
      <w:r w:rsidR="00F878E5" w:rsidRPr="008029B2">
        <w:rPr>
          <w:rFonts w:eastAsia="Calibri"/>
          <w:shd w:val="clear" w:color="auto" w:fill="FFFFFF" w:themeFill="background1"/>
        </w:rPr>
        <w:t xml:space="preserve">complements, </w:t>
      </w:r>
      <w:r w:rsidR="00F970C1" w:rsidRPr="008029B2">
        <w:rPr>
          <w:rFonts w:eastAsia="Calibri"/>
          <w:shd w:val="clear" w:color="auto" w:fill="FFFFFF" w:themeFill="background1"/>
        </w:rPr>
        <w:t xml:space="preserve">and </w:t>
      </w:r>
      <w:r w:rsidR="00F878E5" w:rsidRPr="008029B2">
        <w:rPr>
          <w:rFonts w:eastAsia="Calibri"/>
          <w:shd w:val="clear" w:color="auto" w:fill="FFFFFF" w:themeFill="background1"/>
        </w:rPr>
        <w:t xml:space="preserve">face </w:t>
      </w:r>
      <w:r w:rsidR="00F970C1" w:rsidRPr="008029B2">
        <w:rPr>
          <w:rFonts w:eastAsia="Calibri"/>
          <w:shd w:val="clear" w:color="auto" w:fill="FFFFFF" w:themeFill="background1"/>
        </w:rPr>
        <w:t>more competition from the informal sector are more likely to invest in knowledge capital inputs.</w:t>
      </w:r>
    </w:p>
    <w:p w14:paraId="0BB90BA7" w14:textId="77777777" w:rsidR="0079023E" w:rsidRPr="008029B2" w:rsidRDefault="0079023E" w:rsidP="00D727BF">
      <w:pPr>
        <w:tabs>
          <w:tab w:val="left" w:pos="720"/>
        </w:tabs>
        <w:spacing w:after="0"/>
        <w:rPr>
          <w:rFonts w:eastAsia="Calibri" w:cs="Times New Roman"/>
          <w:bCs/>
          <w:szCs w:val="24"/>
          <w:shd w:val="clear" w:color="auto" w:fill="FFFFFF" w:themeFill="background1"/>
        </w:rPr>
      </w:pPr>
      <w:r w:rsidRPr="008029B2">
        <w:rPr>
          <w:rFonts w:eastAsia="Calibri"/>
          <w:shd w:val="clear" w:color="auto" w:fill="FFFFFF" w:themeFill="background1"/>
        </w:rPr>
        <w:br w:type="page"/>
      </w:r>
    </w:p>
    <w:p w14:paraId="19B15C43" w14:textId="1C481D77"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jc w:val="center"/>
        <w:rPr>
          <w:b/>
          <w:color w:val="C00000"/>
          <w:sz w:val="20"/>
          <w:szCs w:val="20"/>
          <w:shd w:val="clear" w:color="auto" w:fill="FFFFFF" w:themeFill="background1"/>
        </w:rPr>
      </w:pPr>
      <w:r w:rsidRPr="008029B2">
        <w:rPr>
          <w:b/>
          <w:color w:val="C00000"/>
          <w:sz w:val="20"/>
          <w:szCs w:val="20"/>
          <w:shd w:val="clear" w:color="auto" w:fill="FFFFFF" w:themeFill="background1"/>
        </w:rPr>
        <w:lastRenderedPageBreak/>
        <w:t xml:space="preserve">Box </w:t>
      </w:r>
      <w:r w:rsidR="0029508E" w:rsidRPr="008029B2">
        <w:rPr>
          <w:b/>
          <w:color w:val="C00000"/>
          <w:sz w:val="20"/>
          <w:szCs w:val="20"/>
          <w:shd w:val="clear" w:color="auto" w:fill="FFFFFF" w:themeFill="background1"/>
        </w:rPr>
        <w:t>3</w:t>
      </w:r>
      <w:r w:rsidRPr="008029B2">
        <w:rPr>
          <w:b/>
          <w:color w:val="C00000"/>
          <w:sz w:val="20"/>
          <w:szCs w:val="20"/>
          <w:shd w:val="clear" w:color="auto" w:fill="FFFFFF" w:themeFill="background1"/>
        </w:rPr>
        <w:t>:</w:t>
      </w:r>
      <w:r w:rsidR="00F428F9" w:rsidRPr="008029B2">
        <w:rPr>
          <w:b/>
          <w:color w:val="C00000"/>
          <w:sz w:val="20"/>
          <w:szCs w:val="20"/>
          <w:shd w:val="clear" w:color="auto" w:fill="FFFFFF" w:themeFill="background1"/>
        </w:rPr>
        <w:t xml:space="preserve"> </w:t>
      </w:r>
      <w:r w:rsidRPr="008029B2">
        <w:rPr>
          <w:b/>
          <w:color w:val="C00000"/>
          <w:sz w:val="20"/>
          <w:szCs w:val="20"/>
          <w:shd w:val="clear" w:color="auto" w:fill="FFFFFF" w:themeFill="background1"/>
        </w:rPr>
        <w:t>Measuring Innovation</w:t>
      </w:r>
    </w:p>
    <w:p w14:paraId="12B5B398" w14:textId="423BE0D9"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sz w:val="22"/>
          <w:shd w:val="clear" w:color="auto" w:fill="FFFFFF" w:themeFill="background1"/>
        </w:rPr>
      </w:pPr>
      <w:r w:rsidRPr="008029B2">
        <w:rPr>
          <w:sz w:val="22"/>
          <w:shd w:val="clear" w:color="auto" w:fill="FFFFFF" w:themeFill="background1"/>
        </w:rPr>
        <w:t xml:space="preserve">In general, any sound analysis of innovation activity should </w:t>
      </w:r>
      <w:r w:rsidR="004C6D6E" w:rsidRPr="008029B2">
        <w:rPr>
          <w:sz w:val="22"/>
          <w:shd w:val="clear" w:color="auto" w:fill="FFFFFF" w:themeFill="background1"/>
        </w:rPr>
        <w:t xml:space="preserve">have a combined </w:t>
      </w:r>
      <w:r w:rsidRPr="008029B2">
        <w:rPr>
          <w:sz w:val="22"/>
          <w:shd w:val="clear" w:color="auto" w:fill="FFFFFF" w:themeFill="background1"/>
        </w:rPr>
        <w:t xml:space="preserve">focus on knowledge capital inputs and innovation outcomes. </w:t>
      </w:r>
    </w:p>
    <w:p w14:paraId="1EA6B373" w14:textId="2888DAFF"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sz w:val="22"/>
          <w:shd w:val="clear" w:color="auto" w:fill="FFFFFF" w:themeFill="background1"/>
        </w:rPr>
      </w:pPr>
      <w:r w:rsidRPr="008029B2">
        <w:rPr>
          <w:i/>
          <w:sz w:val="22"/>
          <w:shd w:val="clear" w:color="auto" w:fill="FFFFFF" w:themeFill="background1"/>
        </w:rPr>
        <w:t>Knowledge capital inputs</w:t>
      </w:r>
      <w:r w:rsidRPr="008029B2">
        <w:rPr>
          <w:sz w:val="22"/>
          <w:shd w:val="clear" w:color="auto" w:fill="FFFFFF" w:themeFill="background1"/>
        </w:rPr>
        <w:t xml:space="preserve"> consist of </w:t>
      </w:r>
      <w:r w:rsidR="004C6D6E" w:rsidRPr="008029B2">
        <w:rPr>
          <w:sz w:val="22"/>
          <w:shd w:val="clear" w:color="auto" w:fill="FFFFFF" w:themeFill="background1"/>
        </w:rPr>
        <w:t xml:space="preserve">both </w:t>
      </w:r>
      <w:r w:rsidRPr="008029B2">
        <w:rPr>
          <w:sz w:val="22"/>
          <w:shd w:val="clear" w:color="auto" w:fill="FFFFFF" w:themeFill="background1"/>
        </w:rPr>
        <w:t>tangible</w:t>
      </w:r>
      <w:r w:rsidR="004C6D6E" w:rsidRPr="008029B2">
        <w:rPr>
          <w:sz w:val="22"/>
          <w:shd w:val="clear" w:color="auto" w:fill="FFFFFF" w:themeFill="background1"/>
        </w:rPr>
        <w:t xml:space="preserve"> assets</w:t>
      </w:r>
      <w:r w:rsidRPr="008029B2">
        <w:rPr>
          <w:sz w:val="22"/>
          <w:shd w:val="clear" w:color="auto" w:fill="FFFFFF" w:themeFill="background1"/>
        </w:rPr>
        <w:t xml:space="preserve"> (technology, equipment</w:t>
      </w:r>
      <w:r w:rsidR="004C6D6E" w:rsidRPr="008029B2">
        <w:rPr>
          <w:sz w:val="22"/>
          <w:shd w:val="clear" w:color="auto" w:fill="FFFFFF" w:themeFill="background1"/>
        </w:rPr>
        <w:t>,</w:t>
      </w:r>
      <w:r w:rsidRPr="008029B2">
        <w:rPr>
          <w:sz w:val="22"/>
          <w:shd w:val="clear" w:color="auto" w:fill="FFFFFF" w:themeFill="background1"/>
        </w:rPr>
        <w:t xml:space="preserve"> physical production facilities) </w:t>
      </w:r>
      <w:r w:rsidR="004C6D6E" w:rsidRPr="008029B2">
        <w:rPr>
          <w:sz w:val="22"/>
          <w:shd w:val="clear" w:color="auto" w:fill="FFFFFF" w:themeFill="background1"/>
        </w:rPr>
        <w:t xml:space="preserve">and </w:t>
      </w:r>
      <w:r w:rsidRPr="008029B2">
        <w:rPr>
          <w:sz w:val="22"/>
          <w:shd w:val="clear" w:color="auto" w:fill="FFFFFF" w:themeFill="background1"/>
        </w:rPr>
        <w:t>intangible assets</w:t>
      </w:r>
      <w:r w:rsidR="004C6D6E" w:rsidRPr="008029B2">
        <w:rPr>
          <w:sz w:val="22"/>
          <w:shd w:val="clear" w:color="auto" w:fill="FFFFFF" w:themeFill="background1"/>
        </w:rPr>
        <w:t xml:space="preserve"> (</w:t>
      </w:r>
      <w:r w:rsidRPr="008029B2">
        <w:rPr>
          <w:sz w:val="22"/>
          <w:shd w:val="clear" w:color="auto" w:fill="FFFFFF" w:themeFill="background1"/>
        </w:rPr>
        <w:t>human capital, scientific and creative capital</w:t>
      </w:r>
      <w:r w:rsidR="004C6D6E" w:rsidRPr="008029B2">
        <w:rPr>
          <w:sz w:val="22"/>
          <w:shd w:val="clear" w:color="auto" w:fill="FFFFFF" w:themeFill="background1"/>
        </w:rPr>
        <w:t>,</w:t>
      </w:r>
      <w:r w:rsidRPr="008029B2">
        <w:rPr>
          <w:sz w:val="22"/>
          <w:shd w:val="clear" w:color="auto" w:fill="FFFFFF" w:themeFill="background1"/>
        </w:rPr>
        <w:t xml:space="preserve"> organizational capital</w:t>
      </w:r>
      <w:r w:rsidR="004C6D6E" w:rsidRPr="008029B2">
        <w:rPr>
          <w:sz w:val="22"/>
          <w:shd w:val="clear" w:color="auto" w:fill="FFFFFF" w:themeFill="background1"/>
        </w:rPr>
        <w:t>)</w:t>
      </w:r>
      <w:r w:rsidRPr="008029B2">
        <w:rPr>
          <w:sz w:val="22"/>
          <w:shd w:val="clear" w:color="auto" w:fill="FFFFFF" w:themeFill="background1"/>
        </w:rPr>
        <w:t>. These activities are grouped into five categories</w:t>
      </w:r>
      <w:r w:rsidR="004C6D6E" w:rsidRPr="008029B2">
        <w:rPr>
          <w:sz w:val="22"/>
          <w:shd w:val="clear" w:color="auto" w:fill="FFFFFF" w:themeFill="background1"/>
        </w:rPr>
        <w:t xml:space="preserve"> (not all of which are covered in the Enterprise Survey)</w:t>
      </w:r>
      <w:r w:rsidRPr="008029B2">
        <w:rPr>
          <w:sz w:val="22"/>
          <w:shd w:val="clear" w:color="auto" w:fill="FFFFFF" w:themeFill="background1"/>
        </w:rPr>
        <w:t>:</w:t>
      </w:r>
    </w:p>
    <w:p w14:paraId="7C3F06F5" w14:textId="48EB3D33"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sz w:val="22"/>
          <w:shd w:val="clear" w:color="auto" w:fill="FFFFFF" w:themeFill="background1"/>
        </w:rPr>
      </w:pPr>
      <w:r w:rsidRPr="008029B2">
        <w:rPr>
          <w:sz w:val="22"/>
          <w:shd w:val="clear" w:color="auto" w:fill="FFFFFF" w:themeFill="background1"/>
        </w:rPr>
        <w:t>-</w:t>
      </w:r>
      <w:r w:rsidR="00F428F9" w:rsidRPr="008029B2">
        <w:rPr>
          <w:sz w:val="22"/>
          <w:shd w:val="clear" w:color="auto" w:fill="FFFFFF" w:themeFill="background1"/>
        </w:rPr>
        <w:t xml:space="preserve"> </w:t>
      </w:r>
      <w:r w:rsidRPr="008029B2">
        <w:rPr>
          <w:i/>
          <w:sz w:val="22"/>
          <w:shd w:val="clear" w:color="auto" w:fill="FFFFFF" w:themeFill="background1"/>
        </w:rPr>
        <w:t xml:space="preserve">Research and </w:t>
      </w:r>
      <w:r w:rsidR="004C6D6E" w:rsidRPr="008029B2">
        <w:rPr>
          <w:i/>
          <w:sz w:val="22"/>
          <w:shd w:val="clear" w:color="auto" w:fill="FFFFFF" w:themeFill="background1"/>
        </w:rPr>
        <w:t>d</w:t>
      </w:r>
      <w:r w:rsidRPr="008029B2">
        <w:rPr>
          <w:i/>
          <w:sz w:val="22"/>
          <w:shd w:val="clear" w:color="auto" w:fill="FFFFFF" w:themeFill="background1"/>
        </w:rPr>
        <w:t>evelopment:</w:t>
      </w:r>
      <w:r w:rsidRPr="008029B2">
        <w:rPr>
          <w:sz w:val="22"/>
          <w:shd w:val="clear" w:color="auto" w:fill="FFFFFF" w:themeFill="background1"/>
        </w:rPr>
        <w:t xml:space="preserve"> </w:t>
      </w:r>
      <w:r w:rsidR="004C6D6E" w:rsidRPr="008029B2">
        <w:rPr>
          <w:sz w:val="22"/>
          <w:shd w:val="clear" w:color="auto" w:fill="FFFFFF" w:themeFill="background1"/>
        </w:rPr>
        <w:t>F</w:t>
      </w:r>
      <w:r w:rsidRPr="008029B2">
        <w:rPr>
          <w:sz w:val="22"/>
          <w:shd w:val="clear" w:color="auto" w:fill="FFFFFF" w:themeFill="background1"/>
        </w:rPr>
        <w:t>irms were surveyed on the source of R&amp;D (internal vs</w:t>
      </w:r>
      <w:r w:rsidR="004C6D6E" w:rsidRPr="008029B2">
        <w:rPr>
          <w:sz w:val="22"/>
          <w:shd w:val="clear" w:color="auto" w:fill="FFFFFF" w:themeFill="background1"/>
        </w:rPr>
        <w:t>.</w:t>
      </w:r>
      <w:r w:rsidRPr="008029B2">
        <w:rPr>
          <w:sz w:val="22"/>
          <w:shd w:val="clear" w:color="auto" w:fill="FFFFFF" w:themeFill="background1"/>
        </w:rPr>
        <w:t xml:space="preserve"> external) as well as </w:t>
      </w:r>
      <w:r w:rsidR="004C6D6E" w:rsidRPr="008029B2">
        <w:rPr>
          <w:sz w:val="22"/>
          <w:shd w:val="clear" w:color="auto" w:fill="FFFFFF" w:themeFill="background1"/>
        </w:rPr>
        <w:t xml:space="preserve">R&amp;D </w:t>
      </w:r>
      <w:r w:rsidRPr="008029B2">
        <w:rPr>
          <w:sz w:val="22"/>
          <w:shd w:val="clear" w:color="auto" w:fill="FFFFFF" w:themeFill="background1"/>
        </w:rPr>
        <w:t>expenditure</w:t>
      </w:r>
      <w:r w:rsidR="00A36B89">
        <w:rPr>
          <w:sz w:val="22"/>
          <w:shd w:val="clear" w:color="auto" w:fill="FFFFFF" w:themeFill="background1"/>
        </w:rPr>
        <w:t>s</w:t>
      </w:r>
      <w:r w:rsidRPr="008029B2">
        <w:rPr>
          <w:sz w:val="22"/>
          <w:shd w:val="clear" w:color="auto" w:fill="FFFFFF" w:themeFill="background1"/>
        </w:rPr>
        <w:t>.</w:t>
      </w:r>
    </w:p>
    <w:p w14:paraId="18FAF073" w14:textId="638FF04E"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sz w:val="22"/>
          <w:shd w:val="clear" w:color="auto" w:fill="FFFFFF" w:themeFill="background1"/>
        </w:rPr>
      </w:pPr>
      <w:r w:rsidRPr="008029B2">
        <w:rPr>
          <w:sz w:val="22"/>
          <w:shd w:val="clear" w:color="auto" w:fill="FFFFFF" w:themeFill="background1"/>
        </w:rPr>
        <w:t>-</w:t>
      </w:r>
      <w:r w:rsidR="00F428F9" w:rsidRPr="008029B2">
        <w:rPr>
          <w:sz w:val="22"/>
          <w:shd w:val="clear" w:color="auto" w:fill="FFFFFF" w:themeFill="background1"/>
        </w:rPr>
        <w:t xml:space="preserve"> </w:t>
      </w:r>
      <w:r w:rsidRPr="008029B2">
        <w:rPr>
          <w:i/>
          <w:sz w:val="22"/>
          <w:shd w:val="clear" w:color="auto" w:fill="FFFFFF" w:themeFill="background1"/>
        </w:rPr>
        <w:t>Capacity building:</w:t>
      </w:r>
      <w:r w:rsidRPr="008029B2">
        <w:rPr>
          <w:sz w:val="22"/>
          <w:shd w:val="clear" w:color="auto" w:fill="FFFFFF" w:themeFill="background1"/>
        </w:rPr>
        <w:t xml:space="preserve"> </w:t>
      </w:r>
      <w:r w:rsidR="004C6D6E" w:rsidRPr="008029B2">
        <w:rPr>
          <w:sz w:val="22"/>
          <w:shd w:val="clear" w:color="auto" w:fill="FFFFFF" w:themeFill="background1"/>
        </w:rPr>
        <w:t>F</w:t>
      </w:r>
      <w:r w:rsidRPr="008029B2">
        <w:rPr>
          <w:sz w:val="22"/>
          <w:shd w:val="clear" w:color="auto" w:fill="FFFFFF" w:themeFill="background1"/>
        </w:rPr>
        <w:t>irms reported on training provided as a result of new innovations</w:t>
      </w:r>
      <w:r w:rsidR="004C6D6E" w:rsidRPr="008029B2">
        <w:rPr>
          <w:sz w:val="22"/>
          <w:shd w:val="clear" w:color="auto" w:fill="FFFFFF" w:themeFill="background1"/>
        </w:rPr>
        <w:t xml:space="preserve">, </w:t>
      </w:r>
      <w:r w:rsidRPr="008029B2">
        <w:rPr>
          <w:sz w:val="22"/>
          <w:shd w:val="clear" w:color="auto" w:fill="FFFFFF" w:themeFill="background1"/>
        </w:rPr>
        <w:t xml:space="preserve">as well as </w:t>
      </w:r>
      <w:r w:rsidR="004C6D6E" w:rsidRPr="008029B2">
        <w:rPr>
          <w:sz w:val="22"/>
          <w:shd w:val="clear" w:color="auto" w:fill="FFFFFF" w:themeFill="background1"/>
        </w:rPr>
        <w:t xml:space="preserve">related </w:t>
      </w:r>
      <w:r w:rsidRPr="008029B2">
        <w:rPr>
          <w:sz w:val="22"/>
          <w:shd w:val="clear" w:color="auto" w:fill="FFFFFF" w:themeFill="background1"/>
        </w:rPr>
        <w:t>expenditure</w:t>
      </w:r>
      <w:r w:rsidR="00A36B89">
        <w:rPr>
          <w:sz w:val="22"/>
          <w:shd w:val="clear" w:color="auto" w:fill="FFFFFF" w:themeFill="background1"/>
        </w:rPr>
        <w:t>s</w:t>
      </w:r>
      <w:r w:rsidRPr="008029B2">
        <w:rPr>
          <w:sz w:val="22"/>
          <w:shd w:val="clear" w:color="auto" w:fill="FFFFFF" w:themeFill="background1"/>
        </w:rPr>
        <w:t>.</w:t>
      </w:r>
    </w:p>
    <w:p w14:paraId="6DE72099" w14:textId="6288EF1A"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sz w:val="22"/>
          <w:shd w:val="clear" w:color="auto" w:fill="FFFFFF" w:themeFill="background1"/>
        </w:rPr>
      </w:pPr>
      <w:r w:rsidRPr="008029B2">
        <w:rPr>
          <w:sz w:val="22"/>
          <w:shd w:val="clear" w:color="auto" w:fill="FFFFFF" w:themeFill="background1"/>
        </w:rPr>
        <w:t>-</w:t>
      </w:r>
      <w:r w:rsidR="00F428F9" w:rsidRPr="008029B2">
        <w:rPr>
          <w:sz w:val="22"/>
          <w:shd w:val="clear" w:color="auto" w:fill="FFFFFF" w:themeFill="background1"/>
        </w:rPr>
        <w:t xml:space="preserve"> </w:t>
      </w:r>
      <w:r w:rsidRPr="008029B2">
        <w:rPr>
          <w:i/>
          <w:sz w:val="22"/>
          <w:shd w:val="clear" w:color="auto" w:fill="FFFFFF" w:themeFill="background1"/>
        </w:rPr>
        <w:t>Purchase/</w:t>
      </w:r>
      <w:r w:rsidR="004C6D6E" w:rsidRPr="008029B2">
        <w:rPr>
          <w:i/>
          <w:sz w:val="22"/>
          <w:shd w:val="clear" w:color="auto" w:fill="FFFFFF" w:themeFill="background1"/>
        </w:rPr>
        <w:t>l</w:t>
      </w:r>
      <w:r w:rsidRPr="008029B2">
        <w:rPr>
          <w:i/>
          <w:sz w:val="22"/>
          <w:shd w:val="clear" w:color="auto" w:fill="FFFFFF" w:themeFill="background1"/>
        </w:rPr>
        <w:t>icensing</w:t>
      </w:r>
      <w:r w:rsidRPr="008029B2">
        <w:rPr>
          <w:sz w:val="22"/>
          <w:shd w:val="clear" w:color="auto" w:fill="FFFFFF" w:themeFill="background1"/>
        </w:rPr>
        <w:t xml:space="preserve"> of inventions or other knowledge forms: </w:t>
      </w:r>
      <w:r w:rsidR="004C6D6E" w:rsidRPr="008029B2">
        <w:rPr>
          <w:sz w:val="22"/>
          <w:shd w:val="clear" w:color="auto" w:fill="FFFFFF" w:themeFill="background1"/>
        </w:rPr>
        <w:t>F</w:t>
      </w:r>
      <w:r w:rsidRPr="008029B2">
        <w:rPr>
          <w:sz w:val="22"/>
          <w:shd w:val="clear" w:color="auto" w:fill="FFFFFF" w:themeFill="background1"/>
        </w:rPr>
        <w:t>irms reported on expenditure</w:t>
      </w:r>
      <w:r w:rsidR="004C6D6E" w:rsidRPr="008029B2">
        <w:rPr>
          <w:sz w:val="22"/>
          <w:shd w:val="clear" w:color="auto" w:fill="FFFFFF" w:themeFill="background1"/>
        </w:rPr>
        <w:t>s</w:t>
      </w:r>
      <w:r w:rsidRPr="008029B2">
        <w:rPr>
          <w:sz w:val="22"/>
          <w:shd w:val="clear" w:color="auto" w:fill="FFFFFF" w:themeFill="background1"/>
        </w:rPr>
        <w:t xml:space="preserve"> </w:t>
      </w:r>
      <w:r w:rsidR="004C6D6E" w:rsidRPr="008029B2">
        <w:rPr>
          <w:sz w:val="22"/>
          <w:shd w:val="clear" w:color="auto" w:fill="FFFFFF" w:themeFill="background1"/>
        </w:rPr>
        <w:t xml:space="preserve">to </w:t>
      </w:r>
      <w:r w:rsidRPr="008029B2">
        <w:rPr>
          <w:sz w:val="22"/>
          <w:shd w:val="clear" w:color="auto" w:fill="FFFFFF" w:themeFill="background1"/>
        </w:rPr>
        <w:t>purchase</w:t>
      </w:r>
      <w:r w:rsidR="00F428F9" w:rsidRPr="008029B2">
        <w:rPr>
          <w:sz w:val="22"/>
          <w:shd w:val="clear" w:color="auto" w:fill="FFFFFF" w:themeFill="background1"/>
        </w:rPr>
        <w:t xml:space="preserve"> </w:t>
      </w:r>
      <w:r w:rsidRPr="008029B2">
        <w:rPr>
          <w:sz w:val="22"/>
          <w:shd w:val="clear" w:color="auto" w:fill="FFFFFF" w:themeFill="background1"/>
        </w:rPr>
        <w:t>inventions or intellectual property that helped them come up with innovations.</w:t>
      </w:r>
    </w:p>
    <w:p w14:paraId="56DA8FF5" w14:textId="375D7F93"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sz w:val="22"/>
          <w:shd w:val="clear" w:color="auto" w:fill="FFFFFF" w:themeFill="background1"/>
        </w:rPr>
      </w:pPr>
      <w:r w:rsidRPr="008029B2">
        <w:rPr>
          <w:sz w:val="22"/>
          <w:shd w:val="clear" w:color="auto" w:fill="FFFFFF" w:themeFill="background1"/>
        </w:rPr>
        <w:t>-</w:t>
      </w:r>
      <w:r w:rsidR="00F428F9" w:rsidRPr="008029B2">
        <w:rPr>
          <w:sz w:val="22"/>
          <w:shd w:val="clear" w:color="auto" w:fill="FFFFFF" w:themeFill="background1"/>
        </w:rPr>
        <w:t xml:space="preserve"> </w:t>
      </w:r>
      <w:r w:rsidRPr="008029B2">
        <w:rPr>
          <w:i/>
          <w:sz w:val="22"/>
          <w:shd w:val="clear" w:color="auto" w:fill="FFFFFF" w:themeFill="background1"/>
        </w:rPr>
        <w:t>Acquisition of business intelligence:</w:t>
      </w:r>
      <w:r w:rsidRPr="008029B2">
        <w:rPr>
          <w:sz w:val="22"/>
          <w:shd w:val="clear" w:color="auto" w:fill="FFFFFF" w:themeFill="background1"/>
        </w:rPr>
        <w:t xml:space="preserve"> </w:t>
      </w:r>
      <w:r w:rsidR="004C6D6E" w:rsidRPr="008029B2">
        <w:rPr>
          <w:sz w:val="22"/>
          <w:shd w:val="clear" w:color="auto" w:fill="FFFFFF" w:themeFill="background1"/>
        </w:rPr>
        <w:t>F</w:t>
      </w:r>
      <w:r w:rsidRPr="008029B2">
        <w:rPr>
          <w:sz w:val="22"/>
          <w:shd w:val="clear" w:color="auto" w:fill="FFFFFF" w:themeFill="background1"/>
        </w:rPr>
        <w:t>irms reported on the key sources of information and ideas for their innovative activities.</w:t>
      </w:r>
    </w:p>
    <w:p w14:paraId="19D185F2" w14:textId="63E934FA"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sz w:val="22"/>
          <w:shd w:val="clear" w:color="auto" w:fill="FFFFFF" w:themeFill="background1"/>
        </w:rPr>
      </w:pPr>
      <w:r w:rsidRPr="008029B2">
        <w:rPr>
          <w:sz w:val="22"/>
          <w:shd w:val="clear" w:color="auto" w:fill="FFFFFF" w:themeFill="background1"/>
        </w:rPr>
        <w:t>-</w:t>
      </w:r>
      <w:r w:rsidR="00F428F9" w:rsidRPr="008029B2">
        <w:rPr>
          <w:sz w:val="22"/>
          <w:shd w:val="clear" w:color="auto" w:fill="FFFFFF" w:themeFill="background1"/>
        </w:rPr>
        <w:t xml:space="preserve"> </w:t>
      </w:r>
      <w:r w:rsidRPr="008029B2">
        <w:rPr>
          <w:i/>
          <w:sz w:val="22"/>
          <w:shd w:val="clear" w:color="auto" w:fill="FFFFFF" w:themeFill="background1"/>
        </w:rPr>
        <w:t>Intellectual property:</w:t>
      </w:r>
      <w:r w:rsidRPr="008029B2">
        <w:rPr>
          <w:sz w:val="22"/>
          <w:shd w:val="clear" w:color="auto" w:fill="FFFFFF" w:themeFill="background1"/>
        </w:rPr>
        <w:t xml:space="preserve"> </w:t>
      </w:r>
      <w:r w:rsidR="004C6D6E" w:rsidRPr="008029B2">
        <w:rPr>
          <w:sz w:val="22"/>
          <w:shd w:val="clear" w:color="auto" w:fill="FFFFFF" w:themeFill="background1"/>
        </w:rPr>
        <w:t>F</w:t>
      </w:r>
      <w:r w:rsidRPr="008029B2">
        <w:rPr>
          <w:sz w:val="22"/>
          <w:shd w:val="clear" w:color="auto" w:fill="FFFFFF" w:themeFill="background1"/>
        </w:rPr>
        <w:t>irms reported on whether they applied for patents, utility models, trademarks</w:t>
      </w:r>
      <w:r w:rsidR="008D3584" w:rsidRPr="008029B2">
        <w:rPr>
          <w:sz w:val="22"/>
          <w:shd w:val="clear" w:color="auto" w:fill="FFFFFF" w:themeFill="background1"/>
        </w:rPr>
        <w:t xml:space="preserve"> or</w:t>
      </w:r>
      <w:r w:rsidRPr="008029B2">
        <w:rPr>
          <w:sz w:val="22"/>
          <w:shd w:val="clear" w:color="auto" w:fill="FFFFFF" w:themeFill="background1"/>
        </w:rPr>
        <w:t xml:space="preserve"> copyright design</w:t>
      </w:r>
      <w:r w:rsidR="008D3584" w:rsidRPr="008029B2">
        <w:rPr>
          <w:sz w:val="22"/>
          <w:shd w:val="clear" w:color="auto" w:fill="FFFFFF" w:themeFill="background1"/>
        </w:rPr>
        <w:t>,</w:t>
      </w:r>
      <w:r w:rsidRPr="008029B2">
        <w:rPr>
          <w:sz w:val="22"/>
          <w:shd w:val="clear" w:color="auto" w:fill="FFFFFF" w:themeFill="background1"/>
        </w:rPr>
        <w:t xml:space="preserve"> or registered an industrial design.</w:t>
      </w:r>
    </w:p>
    <w:p w14:paraId="6F871E67" w14:textId="04A2599A"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sz w:val="22"/>
          <w:shd w:val="clear" w:color="auto" w:fill="FFFFFF" w:themeFill="background1"/>
        </w:rPr>
      </w:pPr>
      <w:r w:rsidRPr="008029B2">
        <w:rPr>
          <w:i/>
          <w:sz w:val="22"/>
          <w:shd w:val="clear" w:color="auto" w:fill="FFFFFF" w:themeFill="background1"/>
        </w:rPr>
        <w:t xml:space="preserve">Innovation outcomes </w:t>
      </w:r>
      <w:r w:rsidRPr="008029B2">
        <w:rPr>
          <w:sz w:val="22"/>
          <w:shd w:val="clear" w:color="auto" w:fill="FFFFFF" w:themeFill="background1"/>
        </w:rPr>
        <w:t>are grouped into four categories</w:t>
      </w:r>
      <w:r w:rsidR="008D3584" w:rsidRPr="008029B2">
        <w:rPr>
          <w:sz w:val="22"/>
          <w:shd w:val="clear" w:color="auto" w:fill="FFFFFF" w:themeFill="background1"/>
        </w:rPr>
        <w:t xml:space="preserve"> (results are subjective, based on self</w:t>
      </w:r>
      <w:r w:rsidR="00366981" w:rsidRPr="008029B2">
        <w:rPr>
          <w:sz w:val="22"/>
          <w:shd w:val="clear" w:color="auto" w:fill="FFFFFF" w:themeFill="background1"/>
        </w:rPr>
        <w:t>-</w:t>
      </w:r>
      <w:r w:rsidR="008D3584" w:rsidRPr="008029B2">
        <w:rPr>
          <w:sz w:val="22"/>
          <w:shd w:val="clear" w:color="auto" w:fill="FFFFFF" w:themeFill="background1"/>
        </w:rPr>
        <w:t>reporting)</w:t>
      </w:r>
      <w:r w:rsidRPr="008029B2">
        <w:rPr>
          <w:sz w:val="22"/>
          <w:shd w:val="clear" w:color="auto" w:fill="FFFFFF" w:themeFill="background1"/>
        </w:rPr>
        <w:t xml:space="preserve">: </w:t>
      </w:r>
    </w:p>
    <w:p w14:paraId="2DA6547F" w14:textId="443BC933"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sz w:val="22"/>
          <w:shd w:val="clear" w:color="auto" w:fill="FFFFFF" w:themeFill="background1"/>
        </w:rPr>
      </w:pPr>
      <w:r w:rsidRPr="008029B2">
        <w:rPr>
          <w:sz w:val="22"/>
          <w:shd w:val="clear" w:color="auto" w:fill="FFFFFF" w:themeFill="background1"/>
        </w:rPr>
        <w:t>-</w:t>
      </w:r>
      <w:r w:rsidR="00F428F9" w:rsidRPr="008029B2">
        <w:rPr>
          <w:sz w:val="22"/>
          <w:shd w:val="clear" w:color="auto" w:fill="FFFFFF" w:themeFill="background1"/>
        </w:rPr>
        <w:t xml:space="preserve"> </w:t>
      </w:r>
      <w:r w:rsidRPr="008029B2">
        <w:rPr>
          <w:i/>
          <w:sz w:val="22"/>
          <w:shd w:val="clear" w:color="auto" w:fill="FFFFFF" w:themeFill="background1"/>
        </w:rPr>
        <w:t>Product innovations</w:t>
      </w:r>
      <w:r w:rsidRPr="008029B2">
        <w:rPr>
          <w:sz w:val="22"/>
          <w:shd w:val="clear" w:color="auto" w:fill="FFFFFF" w:themeFill="background1"/>
        </w:rPr>
        <w:t xml:space="preserve"> are essentially new, redesigned, or substantially improved goods or services.</w:t>
      </w:r>
      <w:r w:rsidR="00F428F9" w:rsidRPr="008029B2">
        <w:rPr>
          <w:sz w:val="22"/>
          <w:shd w:val="clear" w:color="auto" w:fill="FFFFFF" w:themeFill="background1"/>
        </w:rPr>
        <w:t xml:space="preserve"> </w:t>
      </w:r>
      <w:r w:rsidR="008D3584" w:rsidRPr="008029B2">
        <w:rPr>
          <w:sz w:val="22"/>
          <w:shd w:val="clear" w:color="auto" w:fill="FFFFFF" w:themeFill="background1"/>
        </w:rPr>
        <w:t xml:space="preserve">The </w:t>
      </w:r>
      <w:r w:rsidR="00A36B89">
        <w:rPr>
          <w:sz w:val="22"/>
          <w:shd w:val="clear" w:color="auto" w:fill="FFFFFF" w:themeFill="background1"/>
        </w:rPr>
        <w:t>s</w:t>
      </w:r>
      <w:r w:rsidR="008D3584" w:rsidRPr="008029B2">
        <w:rPr>
          <w:sz w:val="22"/>
          <w:shd w:val="clear" w:color="auto" w:fill="FFFFFF" w:themeFill="background1"/>
        </w:rPr>
        <w:t>urvey use</w:t>
      </w:r>
      <w:r w:rsidR="00D71AF9" w:rsidRPr="008029B2">
        <w:rPr>
          <w:sz w:val="22"/>
          <w:shd w:val="clear" w:color="auto" w:fill="FFFFFF" w:themeFill="background1"/>
        </w:rPr>
        <w:t>s</w:t>
      </w:r>
      <w:r w:rsidR="008D3584" w:rsidRPr="008029B2">
        <w:rPr>
          <w:sz w:val="22"/>
          <w:shd w:val="clear" w:color="auto" w:fill="FFFFFF" w:themeFill="background1"/>
        </w:rPr>
        <w:t xml:space="preserve"> three metrics</w:t>
      </w:r>
      <w:r w:rsidRPr="008029B2">
        <w:rPr>
          <w:sz w:val="22"/>
          <w:shd w:val="clear" w:color="auto" w:fill="FFFFFF" w:themeFill="background1"/>
        </w:rPr>
        <w:t xml:space="preserve">: (a) </w:t>
      </w:r>
      <w:r w:rsidR="008D3584" w:rsidRPr="008029B2">
        <w:rPr>
          <w:sz w:val="22"/>
          <w:shd w:val="clear" w:color="auto" w:fill="FFFFFF" w:themeFill="background1"/>
        </w:rPr>
        <w:t>n</w:t>
      </w:r>
      <w:r w:rsidRPr="008029B2">
        <w:rPr>
          <w:sz w:val="22"/>
          <w:shd w:val="clear" w:color="auto" w:fill="FFFFFF" w:themeFill="background1"/>
        </w:rPr>
        <w:t xml:space="preserve">ew products to the firm, (b) </w:t>
      </w:r>
      <w:r w:rsidR="008D3584" w:rsidRPr="008029B2">
        <w:rPr>
          <w:sz w:val="22"/>
          <w:shd w:val="clear" w:color="auto" w:fill="FFFFFF" w:themeFill="background1"/>
        </w:rPr>
        <w:t>s</w:t>
      </w:r>
      <w:r w:rsidRPr="008029B2">
        <w:rPr>
          <w:sz w:val="22"/>
          <w:shd w:val="clear" w:color="auto" w:fill="FFFFFF" w:themeFill="background1"/>
        </w:rPr>
        <w:t xml:space="preserve">ignificantly improved products, and (c) </w:t>
      </w:r>
      <w:r w:rsidR="008D3584" w:rsidRPr="008029B2">
        <w:rPr>
          <w:sz w:val="22"/>
          <w:shd w:val="clear" w:color="auto" w:fill="FFFFFF" w:themeFill="background1"/>
        </w:rPr>
        <w:t>n</w:t>
      </w:r>
      <w:r w:rsidRPr="008029B2">
        <w:rPr>
          <w:sz w:val="22"/>
          <w:shd w:val="clear" w:color="auto" w:fill="FFFFFF" w:themeFill="background1"/>
        </w:rPr>
        <w:t xml:space="preserve">ew products to the market. </w:t>
      </w:r>
    </w:p>
    <w:p w14:paraId="0124F55C" w14:textId="0A749E8D"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rFonts w:cs="Arial"/>
          <w:sz w:val="22"/>
          <w:shd w:val="clear" w:color="auto" w:fill="FFFFFF" w:themeFill="background1"/>
        </w:rPr>
      </w:pPr>
      <w:r w:rsidRPr="008029B2">
        <w:rPr>
          <w:sz w:val="22"/>
          <w:shd w:val="clear" w:color="auto" w:fill="FFFFFF" w:themeFill="background1"/>
        </w:rPr>
        <w:t xml:space="preserve">- </w:t>
      </w:r>
      <w:r w:rsidRPr="008029B2">
        <w:rPr>
          <w:i/>
          <w:sz w:val="22"/>
          <w:shd w:val="clear" w:color="auto" w:fill="FFFFFF" w:themeFill="background1"/>
        </w:rPr>
        <w:t>Process innovation</w:t>
      </w:r>
      <w:r w:rsidRPr="008029B2">
        <w:rPr>
          <w:sz w:val="22"/>
          <w:shd w:val="clear" w:color="auto" w:fill="FFFFFF" w:themeFill="background1"/>
        </w:rPr>
        <w:t xml:space="preserve"> is the implementation of new or significantly improved production or delivery methods </w:t>
      </w:r>
      <w:r w:rsidRPr="008029B2">
        <w:rPr>
          <w:rFonts w:cs="Arial"/>
          <w:sz w:val="22"/>
          <w:shd w:val="clear" w:color="auto" w:fill="FFFFFF" w:themeFill="background1"/>
        </w:rPr>
        <w:t xml:space="preserve">(including significant changes in techniques, equipment, and/or software). </w:t>
      </w:r>
      <w:r w:rsidR="00D71AF9" w:rsidRPr="008029B2">
        <w:rPr>
          <w:rFonts w:cs="Arial"/>
          <w:sz w:val="22"/>
          <w:shd w:val="clear" w:color="auto" w:fill="FFFFFF" w:themeFill="background1"/>
        </w:rPr>
        <w:t>P</w:t>
      </w:r>
      <w:r w:rsidRPr="008029B2">
        <w:rPr>
          <w:rFonts w:cs="Arial"/>
          <w:sz w:val="22"/>
          <w:shd w:val="clear" w:color="auto" w:fill="FFFFFF" w:themeFill="background1"/>
        </w:rPr>
        <w:t xml:space="preserve">rocess innovations </w:t>
      </w:r>
      <w:r w:rsidR="00D71AF9" w:rsidRPr="008029B2">
        <w:rPr>
          <w:rFonts w:cs="Arial"/>
          <w:sz w:val="22"/>
          <w:shd w:val="clear" w:color="auto" w:fill="FFFFFF" w:themeFill="background1"/>
        </w:rPr>
        <w:t xml:space="preserve">include </w:t>
      </w:r>
      <w:r w:rsidRPr="008029B2">
        <w:rPr>
          <w:rFonts w:cs="Arial"/>
          <w:sz w:val="22"/>
          <w:shd w:val="clear" w:color="auto" w:fill="FFFFFF" w:themeFill="background1"/>
        </w:rPr>
        <w:t xml:space="preserve">(a) </w:t>
      </w:r>
      <w:r w:rsidR="00D71AF9" w:rsidRPr="008029B2">
        <w:rPr>
          <w:rFonts w:cs="Arial"/>
          <w:sz w:val="22"/>
          <w:shd w:val="clear" w:color="auto" w:fill="FFFFFF" w:themeFill="background1"/>
        </w:rPr>
        <w:t>i</w:t>
      </w:r>
      <w:r w:rsidRPr="008029B2">
        <w:rPr>
          <w:rFonts w:cs="Arial"/>
          <w:sz w:val="22"/>
          <w:shd w:val="clear" w:color="auto" w:fill="FFFFFF" w:themeFill="background1"/>
        </w:rPr>
        <w:t>nnovati</w:t>
      </w:r>
      <w:r w:rsidR="00D71AF9" w:rsidRPr="008029B2">
        <w:rPr>
          <w:rFonts w:cs="Arial"/>
          <w:sz w:val="22"/>
          <w:shd w:val="clear" w:color="auto" w:fill="FFFFFF" w:themeFill="background1"/>
        </w:rPr>
        <w:t>ve</w:t>
      </w:r>
      <w:r w:rsidRPr="008029B2">
        <w:rPr>
          <w:rFonts w:cs="Arial"/>
          <w:sz w:val="22"/>
          <w:shd w:val="clear" w:color="auto" w:fill="FFFFFF" w:themeFill="background1"/>
        </w:rPr>
        <w:t xml:space="preserve"> methods for manufacturing products or offering services</w:t>
      </w:r>
      <w:r w:rsidR="00D71AF9" w:rsidRPr="008029B2">
        <w:rPr>
          <w:rFonts w:cs="Arial"/>
          <w:sz w:val="22"/>
          <w:shd w:val="clear" w:color="auto" w:fill="FFFFFF" w:themeFill="background1"/>
        </w:rPr>
        <w:t>;</w:t>
      </w:r>
      <w:r w:rsidRPr="008029B2">
        <w:rPr>
          <w:rFonts w:cs="Arial"/>
          <w:sz w:val="22"/>
          <w:shd w:val="clear" w:color="auto" w:fill="FFFFFF" w:themeFill="background1"/>
        </w:rPr>
        <w:t xml:space="preserve"> (b) </w:t>
      </w:r>
      <w:r w:rsidR="00D71AF9" w:rsidRPr="008029B2">
        <w:rPr>
          <w:rFonts w:cs="Arial"/>
          <w:sz w:val="22"/>
          <w:shd w:val="clear" w:color="auto" w:fill="FFFFFF" w:themeFill="background1"/>
        </w:rPr>
        <w:t>i</w:t>
      </w:r>
      <w:r w:rsidRPr="008029B2">
        <w:rPr>
          <w:rFonts w:cs="Arial"/>
          <w:sz w:val="22"/>
          <w:shd w:val="clear" w:color="auto" w:fill="FFFFFF" w:themeFill="background1"/>
        </w:rPr>
        <w:t>nnovative logistics, delivery, or distribution methods</w:t>
      </w:r>
      <w:r w:rsidR="00D71AF9" w:rsidRPr="008029B2">
        <w:rPr>
          <w:rFonts w:cs="Arial"/>
          <w:sz w:val="22"/>
          <w:shd w:val="clear" w:color="auto" w:fill="FFFFFF" w:themeFill="background1"/>
        </w:rPr>
        <w:t xml:space="preserve">; </w:t>
      </w:r>
      <w:r w:rsidRPr="008029B2">
        <w:rPr>
          <w:rFonts w:cs="Arial"/>
          <w:sz w:val="22"/>
          <w:shd w:val="clear" w:color="auto" w:fill="FFFFFF" w:themeFill="background1"/>
        </w:rPr>
        <w:t xml:space="preserve">and (c) </w:t>
      </w:r>
      <w:r w:rsidR="00D71AF9" w:rsidRPr="008029B2">
        <w:rPr>
          <w:rFonts w:cs="Arial"/>
          <w:sz w:val="22"/>
          <w:shd w:val="clear" w:color="auto" w:fill="FFFFFF" w:themeFill="background1"/>
        </w:rPr>
        <w:t>i</w:t>
      </w:r>
      <w:r w:rsidRPr="008029B2">
        <w:rPr>
          <w:rFonts w:cs="Arial"/>
          <w:sz w:val="22"/>
          <w:shd w:val="clear" w:color="auto" w:fill="FFFFFF" w:themeFill="background1"/>
        </w:rPr>
        <w:t>nnovative supporting activit</w:t>
      </w:r>
      <w:r w:rsidR="00D71AF9" w:rsidRPr="008029B2">
        <w:rPr>
          <w:rFonts w:cs="Arial"/>
          <w:sz w:val="22"/>
          <w:shd w:val="clear" w:color="auto" w:fill="FFFFFF" w:themeFill="background1"/>
        </w:rPr>
        <w:t>ies</w:t>
      </w:r>
      <w:r w:rsidRPr="008029B2">
        <w:rPr>
          <w:rFonts w:cs="Arial"/>
          <w:sz w:val="22"/>
          <w:shd w:val="clear" w:color="auto" w:fill="FFFFFF" w:themeFill="background1"/>
        </w:rPr>
        <w:t xml:space="preserve"> for processes, such as maintenance systems or operations for purchasing, accounting, or computing. </w:t>
      </w:r>
      <w:r w:rsidR="00D71AF9" w:rsidRPr="008029B2">
        <w:rPr>
          <w:rFonts w:cs="Arial"/>
          <w:sz w:val="22"/>
          <w:shd w:val="clear" w:color="auto" w:fill="FFFFFF" w:themeFill="background1"/>
        </w:rPr>
        <w:t>Minor changes or improvements, simple capital replacement or extension, and other routine business activities are not considered innovations.</w:t>
      </w:r>
    </w:p>
    <w:p w14:paraId="01E56CAB" w14:textId="66FFAA56"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rFonts w:cs="Arial"/>
          <w:sz w:val="22"/>
          <w:shd w:val="clear" w:color="auto" w:fill="FFFFFF" w:themeFill="background1"/>
        </w:rPr>
      </w:pPr>
      <w:r w:rsidRPr="008029B2">
        <w:rPr>
          <w:rFonts w:cs="Arial"/>
          <w:sz w:val="22"/>
          <w:shd w:val="clear" w:color="auto" w:fill="FFFFFF" w:themeFill="background1"/>
        </w:rPr>
        <w:t xml:space="preserve">- </w:t>
      </w:r>
      <w:r w:rsidRPr="008029B2">
        <w:rPr>
          <w:rFonts w:cs="Arial"/>
          <w:i/>
          <w:sz w:val="22"/>
          <w:shd w:val="clear" w:color="auto" w:fill="FFFFFF" w:themeFill="background1"/>
        </w:rPr>
        <w:t>Organizational innovation</w:t>
      </w:r>
      <w:r w:rsidR="00D71AF9" w:rsidRPr="008029B2">
        <w:rPr>
          <w:rFonts w:cs="Arial"/>
          <w:i/>
          <w:sz w:val="22"/>
          <w:shd w:val="clear" w:color="auto" w:fill="FFFFFF" w:themeFill="background1"/>
        </w:rPr>
        <w:t xml:space="preserve">s </w:t>
      </w:r>
      <w:r w:rsidR="00D71AF9" w:rsidRPr="008029B2">
        <w:rPr>
          <w:rFonts w:cs="Arial"/>
          <w:sz w:val="22"/>
          <w:shd w:val="clear" w:color="auto" w:fill="FFFFFF" w:themeFill="background1"/>
        </w:rPr>
        <w:t>are of two main types: structural and procedural.</w:t>
      </w:r>
      <w:r w:rsidR="00F428F9" w:rsidRPr="008029B2">
        <w:rPr>
          <w:rFonts w:cs="Arial"/>
          <w:sz w:val="22"/>
          <w:shd w:val="clear" w:color="auto" w:fill="FFFFFF" w:themeFill="background1"/>
        </w:rPr>
        <w:t xml:space="preserve"> </w:t>
      </w:r>
      <w:r w:rsidR="00D71AF9" w:rsidRPr="008029B2">
        <w:rPr>
          <w:rFonts w:cs="Arial"/>
          <w:sz w:val="22"/>
          <w:shd w:val="clear" w:color="auto" w:fill="FFFFFF" w:themeFill="background1"/>
        </w:rPr>
        <w:t>S</w:t>
      </w:r>
      <w:r w:rsidRPr="008029B2">
        <w:rPr>
          <w:rFonts w:cs="Arial"/>
          <w:sz w:val="22"/>
          <w:shd w:val="clear" w:color="auto" w:fill="FFFFFF" w:themeFill="background1"/>
        </w:rPr>
        <w:t xml:space="preserve">tructural innovations </w:t>
      </w:r>
      <w:r w:rsidR="00D71AF9" w:rsidRPr="008029B2">
        <w:rPr>
          <w:rFonts w:cs="Arial"/>
          <w:sz w:val="22"/>
          <w:shd w:val="clear" w:color="auto" w:fill="FFFFFF" w:themeFill="background1"/>
        </w:rPr>
        <w:t xml:space="preserve">are </w:t>
      </w:r>
      <w:r w:rsidRPr="008029B2">
        <w:rPr>
          <w:rFonts w:cs="Arial"/>
          <w:sz w:val="22"/>
          <w:shd w:val="clear" w:color="auto" w:fill="FFFFFF" w:themeFill="background1"/>
        </w:rPr>
        <w:t xml:space="preserve">meant to impact responsibilities, accountability, command lines, information ﬂows, </w:t>
      </w:r>
      <w:r w:rsidR="00EA7A7B" w:rsidRPr="008029B2">
        <w:rPr>
          <w:rFonts w:cs="Arial"/>
          <w:sz w:val="22"/>
          <w:shd w:val="clear" w:color="auto" w:fill="FFFFFF" w:themeFill="background1"/>
        </w:rPr>
        <w:t xml:space="preserve">and the division of functions </w:t>
      </w:r>
      <w:r w:rsidRPr="008029B2">
        <w:rPr>
          <w:rFonts w:cs="Arial"/>
          <w:sz w:val="22"/>
          <w:shd w:val="clear" w:color="auto" w:fill="FFFFFF" w:themeFill="background1"/>
        </w:rPr>
        <w:t>(research and development, production, human resources, ﬁnancing)</w:t>
      </w:r>
      <w:r w:rsidR="00EA7A7B" w:rsidRPr="008029B2">
        <w:rPr>
          <w:rFonts w:cs="Arial"/>
          <w:sz w:val="22"/>
          <w:shd w:val="clear" w:color="auto" w:fill="FFFFFF" w:themeFill="background1"/>
        </w:rPr>
        <w:t xml:space="preserve">. </w:t>
      </w:r>
      <w:r w:rsidR="00D71AF9" w:rsidRPr="008029B2">
        <w:rPr>
          <w:rFonts w:cs="Arial"/>
          <w:sz w:val="22"/>
          <w:shd w:val="clear" w:color="auto" w:fill="FFFFFF" w:themeFill="background1"/>
        </w:rPr>
        <w:t>P</w:t>
      </w:r>
      <w:r w:rsidRPr="008029B2">
        <w:rPr>
          <w:rFonts w:cs="Arial"/>
          <w:sz w:val="22"/>
          <w:shd w:val="clear" w:color="auto" w:fill="FFFFFF" w:themeFill="background1"/>
        </w:rPr>
        <w:t>rocedural innovations consist of changes to procedures and processes within the company, such as simultaneous engineering or zero buffer rules.</w:t>
      </w:r>
    </w:p>
    <w:p w14:paraId="59868FF9" w14:textId="44A286E3"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rFonts w:cs="Arial"/>
          <w:sz w:val="22"/>
          <w:shd w:val="clear" w:color="auto" w:fill="FFFFFF" w:themeFill="background1"/>
        </w:rPr>
      </w:pPr>
      <w:r w:rsidRPr="008029B2">
        <w:rPr>
          <w:rFonts w:cs="Arial"/>
          <w:sz w:val="22"/>
          <w:shd w:val="clear" w:color="auto" w:fill="FFFFFF" w:themeFill="background1"/>
        </w:rPr>
        <w:t xml:space="preserve">- </w:t>
      </w:r>
      <w:r w:rsidRPr="008029B2">
        <w:rPr>
          <w:rFonts w:eastAsia="Times New Roman" w:cs="Arial"/>
          <w:i/>
          <w:sz w:val="22"/>
          <w:shd w:val="clear" w:color="auto" w:fill="FFFFFF" w:themeFill="background1"/>
        </w:rPr>
        <w:t>Marketing innovations</w:t>
      </w:r>
      <w:r w:rsidRPr="008029B2">
        <w:rPr>
          <w:rFonts w:eastAsia="Times New Roman" w:cs="Arial"/>
          <w:sz w:val="22"/>
          <w:shd w:val="clear" w:color="auto" w:fill="FFFFFF" w:themeFill="background1"/>
        </w:rPr>
        <w:t xml:space="preserve"> are changes </w:t>
      </w:r>
      <w:r w:rsidRPr="008029B2">
        <w:rPr>
          <w:rFonts w:cs="Arial"/>
          <w:sz w:val="22"/>
          <w:shd w:val="clear" w:color="auto" w:fill="FFFFFF" w:themeFill="background1"/>
        </w:rPr>
        <w:t>made to incorporate the advances in marketing science, technology</w:t>
      </w:r>
      <w:r w:rsidR="00A36B89">
        <w:rPr>
          <w:rFonts w:cs="Arial"/>
          <w:sz w:val="22"/>
          <w:shd w:val="clear" w:color="auto" w:fill="FFFFFF" w:themeFill="background1"/>
        </w:rPr>
        <w:t>,</w:t>
      </w:r>
      <w:r w:rsidRPr="008029B2">
        <w:rPr>
          <w:rFonts w:cs="Arial"/>
          <w:sz w:val="22"/>
          <w:shd w:val="clear" w:color="auto" w:fill="FFFFFF" w:themeFill="background1"/>
        </w:rPr>
        <w:t xml:space="preserve"> or engineering to increase the effectiveness and efficiency of marketing to gain competitive advantage.</w:t>
      </w:r>
    </w:p>
    <w:p w14:paraId="41BF77A4" w14:textId="2A1D98BE" w:rsidR="00F970C1" w:rsidRPr="008029B2" w:rsidRDefault="00F970C1" w:rsidP="00D727BF">
      <w:pPr>
        <w:pBdr>
          <w:top w:val="single" w:sz="12" w:space="1" w:color="920016" w:themeColor="accent4"/>
          <w:left w:val="single" w:sz="12" w:space="4" w:color="920016" w:themeColor="accent4"/>
          <w:bottom w:val="single" w:sz="12" w:space="1" w:color="920016" w:themeColor="accent4"/>
          <w:right w:val="single" w:sz="12" w:space="4" w:color="920016" w:themeColor="accent4"/>
        </w:pBdr>
        <w:tabs>
          <w:tab w:val="left" w:pos="720"/>
        </w:tabs>
        <w:spacing w:after="160"/>
        <w:rPr>
          <w:sz w:val="22"/>
          <w:shd w:val="clear" w:color="auto" w:fill="FFFFFF" w:themeFill="background1"/>
        </w:rPr>
      </w:pPr>
      <w:r w:rsidRPr="008029B2">
        <w:rPr>
          <w:sz w:val="22"/>
          <w:shd w:val="clear" w:color="auto" w:fill="FFFFFF" w:themeFill="background1"/>
        </w:rPr>
        <w:t xml:space="preserve">For each of these outcomes, the </w:t>
      </w:r>
      <w:r w:rsidR="00EA7A7B" w:rsidRPr="008029B2">
        <w:rPr>
          <w:sz w:val="22"/>
          <w:shd w:val="clear" w:color="auto" w:fill="FFFFFF" w:themeFill="background1"/>
        </w:rPr>
        <w:t>Enterprise S</w:t>
      </w:r>
      <w:r w:rsidRPr="008029B2">
        <w:rPr>
          <w:sz w:val="22"/>
          <w:shd w:val="clear" w:color="auto" w:fill="FFFFFF" w:themeFill="background1"/>
        </w:rPr>
        <w:t xml:space="preserve">urvey includes </w:t>
      </w:r>
      <w:r w:rsidR="00EA7A7B" w:rsidRPr="008029B2">
        <w:rPr>
          <w:sz w:val="22"/>
          <w:shd w:val="clear" w:color="auto" w:fill="FFFFFF" w:themeFill="background1"/>
        </w:rPr>
        <w:t xml:space="preserve">firm-level </w:t>
      </w:r>
      <w:r w:rsidRPr="008029B2">
        <w:rPr>
          <w:sz w:val="22"/>
          <w:shd w:val="clear" w:color="auto" w:fill="FFFFFF" w:themeFill="background1"/>
        </w:rPr>
        <w:t>information about</w:t>
      </w:r>
      <w:r w:rsidR="00EA7A7B" w:rsidRPr="008029B2">
        <w:rPr>
          <w:sz w:val="22"/>
          <w:shd w:val="clear" w:color="auto" w:fill="FFFFFF" w:themeFill="background1"/>
        </w:rPr>
        <w:t xml:space="preserve"> the </w:t>
      </w:r>
      <w:r w:rsidRPr="008029B2">
        <w:rPr>
          <w:sz w:val="22"/>
          <w:shd w:val="clear" w:color="auto" w:fill="FFFFFF" w:themeFill="background1"/>
        </w:rPr>
        <w:t>number of innovations introduced</w:t>
      </w:r>
      <w:r w:rsidR="00EA7A7B" w:rsidRPr="008029B2">
        <w:rPr>
          <w:sz w:val="22"/>
          <w:shd w:val="clear" w:color="auto" w:fill="FFFFFF" w:themeFill="background1"/>
        </w:rPr>
        <w:t>;</w:t>
      </w:r>
      <w:r w:rsidRPr="008029B2">
        <w:rPr>
          <w:sz w:val="22"/>
          <w:shd w:val="clear" w:color="auto" w:fill="FFFFFF" w:themeFill="background1"/>
        </w:rPr>
        <w:t xml:space="preserve"> impact on t</w:t>
      </w:r>
      <w:r w:rsidR="00EA7A7B" w:rsidRPr="008029B2">
        <w:rPr>
          <w:sz w:val="22"/>
          <w:shd w:val="clear" w:color="auto" w:fill="FFFFFF" w:themeFill="background1"/>
        </w:rPr>
        <w:t>he firm</w:t>
      </w:r>
      <w:r w:rsidR="00863D16">
        <w:rPr>
          <w:sz w:val="22"/>
          <w:shd w:val="clear" w:color="auto" w:fill="FFFFFF" w:themeFill="background1"/>
        </w:rPr>
        <w:t>’</w:t>
      </w:r>
      <w:r w:rsidR="00EA7A7B" w:rsidRPr="008029B2">
        <w:rPr>
          <w:sz w:val="22"/>
          <w:shd w:val="clear" w:color="auto" w:fill="FFFFFF" w:themeFill="background1"/>
        </w:rPr>
        <w:t xml:space="preserve">s operations; </w:t>
      </w:r>
      <w:r w:rsidRPr="008029B2">
        <w:rPr>
          <w:sz w:val="22"/>
          <w:shd w:val="clear" w:color="auto" w:fill="FFFFFF" w:themeFill="background1"/>
        </w:rPr>
        <w:t xml:space="preserve">the level of automation </w:t>
      </w:r>
      <w:r w:rsidR="004A779B" w:rsidRPr="008029B2">
        <w:rPr>
          <w:sz w:val="22"/>
          <w:shd w:val="clear" w:color="auto" w:fill="FFFFFF" w:themeFill="background1"/>
        </w:rPr>
        <w:t>resulting from</w:t>
      </w:r>
      <w:r w:rsidRPr="008029B2">
        <w:rPr>
          <w:sz w:val="22"/>
          <w:shd w:val="clear" w:color="auto" w:fill="FFFFFF" w:themeFill="background1"/>
        </w:rPr>
        <w:t xml:space="preserve"> their adoption</w:t>
      </w:r>
      <w:r w:rsidR="00EA7A7B" w:rsidRPr="008029B2">
        <w:rPr>
          <w:sz w:val="22"/>
          <w:shd w:val="clear" w:color="auto" w:fill="FFFFFF" w:themeFill="background1"/>
        </w:rPr>
        <w:t>;</w:t>
      </w:r>
      <w:r w:rsidRPr="008029B2">
        <w:rPr>
          <w:sz w:val="22"/>
          <w:shd w:val="clear" w:color="auto" w:fill="FFFFFF" w:themeFill="background1"/>
        </w:rPr>
        <w:t xml:space="preserve"> the level of novelty of the innovation</w:t>
      </w:r>
      <w:r w:rsidR="00EA7A7B" w:rsidRPr="008029B2">
        <w:rPr>
          <w:sz w:val="22"/>
          <w:shd w:val="clear" w:color="auto" w:fill="FFFFFF" w:themeFill="background1"/>
        </w:rPr>
        <w:t xml:space="preserve"> at each market level; </w:t>
      </w:r>
      <w:r w:rsidRPr="008029B2">
        <w:rPr>
          <w:sz w:val="22"/>
          <w:shd w:val="clear" w:color="auto" w:fill="FFFFFF" w:themeFill="background1"/>
        </w:rPr>
        <w:t>the channels used to acquire business intelligence</w:t>
      </w:r>
      <w:r w:rsidR="00EA7A7B" w:rsidRPr="008029B2">
        <w:rPr>
          <w:sz w:val="22"/>
          <w:shd w:val="clear" w:color="auto" w:fill="FFFFFF" w:themeFill="background1"/>
        </w:rPr>
        <w:t>;</w:t>
      </w:r>
      <w:r w:rsidRPr="008029B2">
        <w:rPr>
          <w:sz w:val="22"/>
          <w:shd w:val="clear" w:color="auto" w:fill="FFFFFF" w:themeFill="background1"/>
        </w:rPr>
        <w:t xml:space="preserve"> the acquisition of talent as part of the innovative process</w:t>
      </w:r>
      <w:r w:rsidR="00EA7A7B" w:rsidRPr="008029B2">
        <w:rPr>
          <w:sz w:val="22"/>
          <w:shd w:val="clear" w:color="auto" w:fill="FFFFFF" w:themeFill="background1"/>
        </w:rPr>
        <w:t>;</w:t>
      </w:r>
      <w:r w:rsidRPr="008029B2">
        <w:rPr>
          <w:sz w:val="22"/>
          <w:shd w:val="clear" w:color="auto" w:fill="FFFFFF" w:themeFill="background1"/>
        </w:rPr>
        <w:t xml:space="preserve"> the level of collaboration in the development of the innovation</w:t>
      </w:r>
      <w:r w:rsidR="00EA7A7B" w:rsidRPr="008029B2">
        <w:rPr>
          <w:sz w:val="22"/>
          <w:shd w:val="clear" w:color="auto" w:fill="FFFFFF" w:themeFill="background1"/>
        </w:rPr>
        <w:t xml:space="preserve">; </w:t>
      </w:r>
      <w:r w:rsidRPr="008029B2">
        <w:rPr>
          <w:sz w:val="22"/>
          <w:shd w:val="clear" w:color="auto" w:fill="FFFFFF" w:themeFill="background1"/>
        </w:rPr>
        <w:t>and the impact of the number of staff (skilled and unskilled)</w:t>
      </w:r>
      <w:r w:rsidR="004A779B" w:rsidRPr="008029B2">
        <w:rPr>
          <w:sz w:val="22"/>
          <w:shd w:val="clear" w:color="auto" w:fill="FFFFFF" w:themeFill="background1"/>
        </w:rPr>
        <w:t xml:space="preserve"> on the adoption of innovation.</w:t>
      </w:r>
      <w:r w:rsidRPr="008029B2">
        <w:rPr>
          <w:sz w:val="22"/>
          <w:shd w:val="clear" w:color="auto" w:fill="FFFFFF" w:themeFill="background1"/>
        </w:rPr>
        <w:t xml:space="preserve"> </w:t>
      </w:r>
    </w:p>
    <w:p w14:paraId="695D9875" w14:textId="77777777" w:rsidR="00F970C1" w:rsidRPr="008029B2" w:rsidRDefault="00F970C1" w:rsidP="00D727BF">
      <w:pPr>
        <w:tabs>
          <w:tab w:val="left" w:pos="720"/>
        </w:tabs>
        <w:spacing w:after="0"/>
        <w:rPr>
          <w:shd w:val="clear" w:color="auto" w:fill="FFFFFF" w:themeFill="background1"/>
        </w:rPr>
      </w:pPr>
    </w:p>
    <w:p w14:paraId="46AE9E17" w14:textId="2E23EAC9" w:rsidR="00F970C1" w:rsidRPr="008029B2" w:rsidRDefault="00F970C1" w:rsidP="00D727BF">
      <w:pPr>
        <w:pStyle w:val="Heading3"/>
        <w:numPr>
          <w:ilvl w:val="0"/>
          <w:numId w:val="0"/>
        </w:numPr>
        <w:tabs>
          <w:tab w:val="left" w:pos="720"/>
        </w:tabs>
        <w:jc w:val="center"/>
        <w:rPr>
          <w:shd w:val="clear" w:color="auto" w:fill="FFFFFF" w:themeFill="background1"/>
        </w:rPr>
      </w:pPr>
      <w:r w:rsidRPr="008029B2">
        <w:rPr>
          <w:shd w:val="clear" w:color="auto" w:fill="FFFFFF" w:themeFill="background1"/>
        </w:rPr>
        <w:t>Innovation outcomes</w:t>
      </w:r>
      <w:r w:rsidR="0086505E">
        <w:rPr>
          <w:rFonts w:ascii="Times New Roman" w:cs="Times New Roman"/>
          <w:shd w:val="clear" w:color="auto" w:fill="FFFFFF" w:themeFill="background1"/>
        </w:rPr>
        <w:t>—</w:t>
      </w:r>
      <w:r w:rsidR="008B7EA8" w:rsidRPr="008029B2">
        <w:rPr>
          <w:shd w:val="clear" w:color="auto" w:fill="FFFFFF" w:themeFill="background1"/>
        </w:rPr>
        <w:t>l</w:t>
      </w:r>
      <w:r w:rsidRPr="008029B2">
        <w:rPr>
          <w:shd w:val="clear" w:color="auto" w:fill="FFFFFF" w:themeFill="background1"/>
        </w:rPr>
        <w:t>ow innovation rates</w:t>
      </w:r>
    </w:p>
    <w:p w14:paraId="33F3AD2D" w14:textId="5E5CD3EB" w:rsidR="00F970C1" w:rsidRPr="008029B2" w:rsidRDefault="00F060B0" w:rsidP="00D727BF">
      <w:pPr>
        <w:pStyle w:val="ParagraphNumbering"/>
        <w:numPr>
          <w:ilvl w:val="0"/>
          <w:numId w:val="0"/>
        </w:numPr>
        <w:tabs>
          <w:tab w:val="left" w:pos="720"/>
        </w:tabs>
        <w:spacing w:after="240"/>
        <w:rPr>
          <w:shd w:val="clear" w:color="auto" w:fill="FFFFFF" w:themeFill="background1"/>
        </w:rPr>
      </w:pPr>
      <w:r>
        <w:rPr>
          <w:shd w:val="clear" w:color="auto" w:fill="FFFFFF" w:themeFill="background1"/>
        </w:rPr>
        <w:tab/>
      </w:r>
      <w:r w:rsidR="00F970C1" w:rsidRPr="008029B2">
        <w:rPr>
          <w:shd w:val="clear" w:color="auto" w:fill="FFFFFF" w:themeFill="background1"/>
        </w:rPr>
        <w:t xml:space="preserve">As detailed in </w:t>
      </w:r>
      <w:r w:rsidR="0086505E">
        <w:rPr>
          <w:shd w:val="clear" w:color="auto" w:fill="FFFFFF" w:themeFill="background1"/>
        </w:rPr>
        <w:t>b</w:t>
      </w:r>
      <w:r w:rsidR="00F970C1" w:rsidRPr="008029B2">
        <w:rPr>
          <w:shd w:val="clear" w:color="auto" w:fill="FFFFFF" w:themeFill="background1"/>
        </w:rPr>
        <w:t xml:space="preserve">ox </w:t>
      </w:r>
      <w:r w:rsidR="0029508E" w:rsidRPr="008029B2">
        <w:rPr>
          <w:shd w:val="clear" w:color="auto" w:fill="FFFFFF" w:themeFill="background1"/>
        </w:rPr>
        <w:t>3</w:t>
      </w:r>
      <w:r w:rsidR="00F970C1" w:rsidRPr="008029B2">
        <w:rPr>
          <w:shd w:val="clear" w:color="auto" w:fill="FFFFFF" w:themeFill="background1"/>
        </w:rPr>
        <w:t xml:space="preserve">, this section </w:t>
      </w:r>
      <w:r w:rsidR="00EA316A" w:rsidRPr="008029B2">
        <w:rPr>
          <w:shd w:val="clear" w:color="auto" w:fill="FFFFFF" w:themeFill="background1"/>
        </w:rPr>
        <w:t>discusses the differences between Nigeria</w:t>
      </w:r>
      <w:r w:rsidR="00863D16">
        <w:rPr>
          <w:shd w:val="clear" w:color="auto" w:fill="FFFFFF" w:themeFill="background1"/>
        </w:rPr>
        <w:t>’</w:t>
      </w:r>
      <w:r w:rsidR="00EA316A" w:rsidRPr="008029B2">
        <w:rPr>
          <w:shd w:val="clear" w:color="auto" w:fill="FFFFFF" w:themeFill="background1"/>
        </w:rPr>
        <w:t>s two technological outcomes</w:t>
      </w:r>
      <w:r w:rsidR="0086505E">
        <w:rPr>
          <w:shd w:val="clear" w:color="auto" w:fill="FFFFFF" w:themeFill="background1"/>
        </w:rPr>
        <w:t>—</w:t>
      </w:r>
      <w:r w:rsidR="00EA316A" w:rsidRPr="008029B2">
        <w:rPr>
          <w:shd w:val="clear" w:color="auto" w:fill="FFFFFF" w:themeFill="background1"/>
        </w:rPr>
        <w:t>production innovation and process innovation</w:t>
      </w:r>
      <w:r w:rsidR="0086505E">
        <w:rPr>
          <w:shd w:val="clear" w:color="auto" w:fill="FFFFFF" w:themeFill="background1"/>
        </w:rPr>
        <w:t>—</w:t>
      </w:r>
      <w:r w:rsidR="00EA316A" w:rsidRPr="008029B2">
        <w:rPr>
          <w:shd w:val="clear" w:color="auto" w:fill="FFFFFF" w:themeFill="background1"/>
        </w:rPr>
        <w:t xml:space="preserve">and its </w:t>
      </w:r>
      <w:r w:rsidR="00F970C1" w:rsidRPr="008029B2">
        <w:rPr>
          <w:shd w:val="clear" w:color="auto" w:fill="FFFFFF" w:themeFill="background1"/>
        </w:rPr>
        <w:t>two nontechnological innovation</w:t>
      </w:r>
      <w:r w:rsidR="0086505E">
        <w:rPr>
          <w:shd w:val="clear" w:color="auto" w:fill="FFFFFF" w:themeFill="background1"/>
        </w:rPr>
        <w:t>s—</w:t>
      </w:r>
      <w:r w:rsidR="00F970C1" w:rsidRPr="008029B2">
        <w:rPr>
          <w:shd w:val="clear" w:color="auto" w:fill="FFFFFF" w:themeFill="background1"/>
        </w:rPr>
        <w:t>organizational innovation and marketing innovation.</w:t>
      </w:r>
    </w:p>
    <w:p w14:paraId="26476281" w14:textId="484D3F4A" w:rsidR="00F970C1" w:rsidRPr="008029B2" w:rsidRDefault="00F060B0" w:rsidP="00D727BF">
      <w:pPr>
        <w:pStyle w:val="ParagraphNumbering"/>
        <w:numPr>
          <w:ilvl w:val="0"/>
          <w:numId w:val="0"/>
        </w:numPr>
        <w:tabs>
          <w:tab w:val="left" w:pos="720"/>
        </w:tabs>
        <w:spacing w:after="240"/>
        <w:rPr>
          <w:rFonts w:eastAsia="Calibri"/>
          <w:shd w:val="clear" w:color="auto" w:fill="FFFFFF" w:themeFill="background1"/>
        </w:rPr>
      </w:pPr>
      <w:r>
        <w:rPr>
          <w:rFonts w:eastAsia="Calibri"/>
          <w:b/>
          <w:shd w:val="clear" w:color="auto" w:fill="FFFFFF" w:themeFill="background1"/>
        </w:rPr>
        <w:tab/>
      </w:r>
      <w:r w:rsidR="00AC79EA" w:rsidRPr="008029B2">
        <w:rPr>
          <w:rFonts w:eastAsia="Calibri"/>
          <w:b/>
          <w:shd w:val="clear" w:color="auto" w:fill="FFFFFF" w:themeFill="background1"/>
        </w:rPr>
        <w:t xml:space="preserve">Nigerian firms have a low degree of </w:t>
      </w:r>
      <w:r w:rsidR="00F970C1" w:rsidRPr="008029B2">
        <w:rPr>
          <w:rFonts w:eastAsia="Calibri"/>
          <w:b/>
          <w:shd w:val="clear" w:color="auto" w:fill="FFFFFF" w:themeFill="background1"/>
        </w:rPr>
        <w:t>technological innovation</w:t>
      </w:r>
      <w:r w:rsidR="00AC79EA" w:rsidRPr="008029B2">
        <w:rPr>
          <w:rFonts w:eastAsia="Calibri"/>
          <w:b/>
          <w:shd w:val="clear" w:color="auto" w:fill="FFFFFF" w:themeFill="background1"/>
        </w:rPr>
        <w:t>.</w:t>
      </w:r>
      <w:r w:rsidR="00AC79EA" w:rsidRPr="008029B2">
        <w:rPr>
          <w:rFonts w:eastAsia="Calibri"/>
          <w:shd w:val="clear" w:color="auto" w:fill="FFFFFF" w:themeFill="background1"/>
        </w:rPr>
        <w:t xml:space="preserve"> </w:t>
      </w:r>
      <w:r w:rsidR="00F878E5" w:rsidRPr="008029B2">
        <w:rPr>
          <w:rFonts w:eastAsia="Calibri"/>
          <w:shd w:val="clear" w:color="auto" w:fill="FFFFFF" w:themeFill="background1"/>
        </w:rPr>
        <w:t>In 2014, only 14 percent of Nigerian firms introduced a product innovation</w:t>
      </w:r>
      <w:r w:rsidR="0086505E">
        <w:rPr>
          <w:rFonts w:eastAsia="Calibri"/>
          <w:shd w:val="clear" w:color="auto" w:fill="FFFFFF" w:themeFill="background1"/>
        </w:rPr>
        <w:t>,</w:t>
      </w:r>
      <w:r w:rsidR="00F878E5" w:rsidRPr="008029B2">
        <w:rPr>
          <w:rFonts w:eastAsia="Calibri"/>
          <w:shd w:val="clear" w:color="auto" w:fill="FFFFFF" w:themeFill="background1"/>
        </w:rPr>
        <w:t xml:space="preserve"> and around 30 percent introduced a process innovation. Technological innovations, product or/and process, were introduced by 37 percent of firms in Nigeria. Nontechnological innovations are, however, more prevalent. Organizational innovations were introduced by 47 percent of firms, while more than half of firms introduced some type of marketing </w:t>
      </w:r>
      <w:r w:rsidR="00D948C5" w:rsidRPr="008029B2">
        <w:rPr>
          <w:rFonts w:eastAsia="Calibri"/>
          <w:shd w:val="clear" w:color="auto" w:fill="FFFFFF" w:themeFill="background1"/>
        </w:rPr>
        <w:t>(</w:t>
      </w:r>
      <w:r w:rsidR="002B728F" w:rsidRPr="008029B2">
        <w:rPr>
          <w:rFonts w:eastAsia="Calibri"/>
          <w:shd w:val="clear" w:color="auto" w:fill="FFFFFF" w:themeFill="background1"/>
        </w:rPr>
        <w:fldChar w:fldCharType="begin"/>
      </w:r>
      <w:r w:rsidR="002B728F" w:rsidRPr="008029B2">
        <w:rPr>
          <w:rFonts w:eastAsia="Calibri"/>
          <w:shd w:val="clear" w:color="auto" w:fill="FFFFFF" w:themeFill="background1"/>
        </w:rPr>
        <w:instrText xml:space="preserve"> REF _Ref445132200 \h </w:instrText>
      </w:r>
      <w:r w:rsidR="002B728F" w:rsidRPr="008029B2">
        <w:rPr>
          <w:rFonts w:eastAsia="Calibri"/>
          <w:shd w:val="clear" w:color="auto" w:fill="FFFFFF" w:themeFill="background1"/>
        </w:rPr>
      </w:r>
      <w:r w:rsidR="002B728F" w:rsidRPr="008029B2">
        <w:rPr>
          <w:rFonts w:eastAsia="Calibri"/>
          <w:shd w:val="clear" w:color="auto" w:fill="FFFFFF" w:themeFill="background1"/>
        </w:rPr>
        <w:fldChar w:fldCharType="separate"/>
      </w:r>
      <w:r w:rsidR="0086505E">
        <w:rPr>
          <w:shd w:val="clear" w:color="auto" w:fill="FFFFFF" w:themeFill="background1"/>
        </w:rPr>
        <w:t>figure</w:t>
      </w:r>
      <w:r w:rsidR="008A3BBD" w:rsidRPr="008029B2">
        <w:rPr>
          <w:shd w:val="clear" w:color="auto" w:fill="FFFFFF" w:themeFill="background1"/>
        </w:rPr>
        <w:t xml:space="preserve"> </w:t>
      </w:r>
      <w:r w:rsidR="008A3BBD">
        <w:rPr>
          <w:noProof/>
          <w:shd w:val="clear" w:color="auto" w:fill="FFFFFF" w:themeFill="background1"/>
        </w:rPr>
        <w:t>57</w:t>
      </w:r>
      <w:r w:rsidR="002B728F" w:rsidRPr="008029B2">
        <w:rPr>
          <w:rFonts w:eastAsia="Calibri"/>
          <w:shd w:val="clear" w:color="auto" w:fill="FFFFFF" w:themeFill="background1"/>
        </w:rPr>
        <w:fldChar w:fldCharType="end"/>
      </w:r>
      <w:r w:rsidR="00D02A8A" w:rsidRPr="008029B2">
        <w:rPr>
          <w:rFonts w:eastAsia="Calibri"/>
          <w:shd w:val="clear" w:color="auto" w:fill="FFFFFF" w:themeFill="background1"/>
        </w:rPr>
        <w:t>)</w:t>
      </w:r>
      <w:r w:rsidR="00AC79EA" w:rsidRPr="008029B2">
        <w:rPr>
          <w:rFonts w:eastAsia="Calibri"/>
          <w:shd w:val="clear" w:color="auto" w:fill="FFFFFF" w:themeFill="background1"/>
        </w:rPr>
        <w:t>.</w:t>
      </w:r>
      <w:r w:rsidR="00F970C1" w:rsidRPr="008029B2">
        <w:rPr>
          <w:rFonts w:eastAsia="Calibri"/>
          <w:shd w:val="clear" w:color="auto" w:fill="FFFFFF" w:themeFill="background1"/>
        </w:rPr>
        <w:t xml:space="preserve"> </w:t>
      </w:r>
    </w:p>
    <w:p w14:paraId="1B9AA976" w14:textId="5681E375" w:rsidR="00F970C1" w:rsidRPr="008029B2" w:rsidRDefault="00F970C1" w:rsidP="00D727BF">
      <w:pPr>
        <w:pStyle w:val="Caption"/>
        <w:keepNext/>
        <w:tabs>
          <w:tab w:val="left" w:pos="720"/>
        </w:tabs>
        <w:jc w:val="center"/>
        <w:rPr>
          <w:shd w:val="clear" w:color="auto" w:fill="FFFFFF" w:themeFill="background1"/>
        </w:rPr>
      </w:pPr>
      <w:bookmarkStart w:id="294" w:name="_Ref429336102"/>
      <w:bookmarkStart w:id="295" w:name="_Ref445132200"/>
      <w:bookmarkStart w:id="296" w:name="_Toc445449675"/>
      <w:r w:rsidRPr="008029B2">
        <w:rPr>
          <w:shd w:val="clear" w:color="auto" w:fill="FFFFFF" w:themeFill="background1"/>
        </w:rPr>
        <w:t xml:space="preserve">Figure </w:t>
      </w:r>
      <w:r w:rsidR="00D92B55" w:rsidRPr="008029B2">
        <w:rPr>
          <w:shd w:val="clear" w:color="auto" w:fill="FFFFFF" w:themeFill="background1"/>
        </w:rPr>
        <w:fldChar w:fldCharType="begin"/>
      </w:r>
      <w:r w:rsidR="00D92B55" w:rsidRPr="008029B2">
        <w:rPr>
          <w:shd w:val="clear" w:color="auto" w:fill="FFFFFF" w:themeFill="background1"/>
        </w:rPr>
        <w:instrText xml:space="preserve"> SEQ Figure \* ARABIC </w:instrText>
      </w:r>
      <w:r w:rsidR="00D92B55" w:rsidRPr="008029B2">
        <w:rPr>
          <w:shd w:val="clear" w:color="auto" w:fill="FFFFFF" w:themeFill="background1"/>
        </w:rPr>
        <w:fldChar w:fldCharType="separate"/>
      </w:r>
      <w:r w:rsidR="008A3BBD">
        <w:rPr>
          <w:noProof/>
          <w:shd w:val="clear" w:color="auto" w:fill="FFFFFF" w:themeFill="background1"/>
        </w:rPr>
        <w:t>57</w:t>
      </w:r>
      <w:r w:rsidR="00D92B55" w:rsidRPr="008029B2">
        <w:rPr>
          <w:shd w:val="clear" w:color="auto" w:fill="FFFFFF" w:themeFill="background1"/>
        </w:rPr>
        <w:fldChar w:fldCharType="end"/>
      </w:r>
      <w:bookmarkEnd w:id="294"/>
      <w:bookmarkEnd w:id="295"/>
      <w:r w:rsidRPr="008029B2">
        <w:rPr>
          <w:shd w:val="clear" w:color="auto" w:fill="FFFFFF" w:themeFill="background1"/>
        </w:rPr>
        <w:t>: Firm-</w:t>
      </w:r>
      <w:r w:rsidR="0086505E">
        <w:rPr>
          <w:shd w:val="clear" w:color="auto" w:fill="FFFFFF" w:themeFill="background1"/>
        </w:rPr>
        <w:t>L</w:t>
      </w:r>
      <w:r w:rsidRPr="008029B2">
        <w:rPr>
          <w:shd w:val="clear" w:color="auto" w:fill="FFFFFF" w:themeFill="background1"/>
        </w:rPr>
        <w:t xml:space="preserve">evel </w:t>
      </w:r>
      <w:r w:rsidR="00B34704" w:rsidRPr="008029B2">
        <w:rPr>
          <w:shd w:val="clear" w:color="auto" w:fill="FFFFFF" w:themeFill="background1"/>
        </w:rPr>
        <w:t>I</w:t>
      </w:r>
      <w:r w:rsidRPr="008029B2">
        <w:rPr>
          <w:shd w:val="clear" w:color="auto" w:fill="FFFFFF" w:themeFill="background1"/>
        </w:rPr>
        <w:t xml:space="preserve">nnovation </w:t>
      </w:r>
      <w:r w:rsidR="00B34704" w:rsidRPr="008029B2">
        <w:rPr>
          <w:shd w:val="clear" w:color="auto" w:fill="FFFFFF" w:themeFill="background1"/>
        </w:rPr>
        <w:t>O</w:t>
      </w:r>
      <w:r w:rsidRPr="008029B2">
        <w:rPr>
          <w:shd w:val="clear" w:color="auto" w:fill="FFFFFF" w:themeFill="background1"/>
        </w:rPr>
        <w:t>utcomes</w:t>
      </w:r>
      <w:bookmarkEnd w:id="296"/>
    </w:p>
    <w:p w14:paraId="1763C8FF" w14:textId="77777777" w:rsidR="00F970C1" w:rsidRPr="008029B2" w:rsidRDefault="00F970C1" w:rsidP="00D727BF">
      <w:pPr>
        <w:pStyle w:val="ParagraphNumbering"/>
        <w:numPr>
          <w:ilvl w:val="0"/>
          <w:numId w:val="0"/>
        </w:numPr>
        <w:tabs>
          <w:tab w:val="left" w:pos="720"/>
        </w:tabs>
        <w:spacing w:after="0"/>
        <w:rPr>
          <w:rFonts w:eastAsia="Calibri"/>
          <w:shd w:val="clear" w:color="auto" w:fill="FFFFFF" w:themeFill="background1"/>
        </w:rPr>
      </w:pPr>
      <w:r w:rsidRPr="008029B2">
        <w:rPr>
          <w:noProof/>
          <w:shd w:val="clear" w:color="auto" w:fill="FFFFFF" w:themeFill="background1"/>
        </w:rPr>
        <w:drawing>
          <wp:inline distT="0" distB="0" distL="0" distR="0" wp14:anchorId="3C313C46" wp14:editId="47E21568">
            <wp:extent cx="5924550" cy="172402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A2289CB" w14:textId="24DD3B2B" w:rsidR="00F970C1" w:rsidRPr="008029B2" w:rsidRDefault="00F970C1" w:rsidP="00D727BF">
      <w:pPr>
        <w:tabs>
          <w:tab w:val="left" w:pos="720"/>
        </w:tabs>
        <w:spacing w:after="0"/>
        <w:rPr>
          <w:sz w:val="18"/>
          <w:szCs w:val="18"/>
          <w:shd w:val="clear" w:color="auto" w:fill="FFFFFF" w:themeFill="background1"/>
        </w:rPr>
      </w:pPr>
      <w:r w:rsidRPr="008029B2">
        <w:rPr>
          <w:sz w:val="18"/>
          <w:szCs w:val="18"/>
          <w:shd w:val="clear" w:color="auto" w:fill="FFFFFF" w:themeFill="background1"/>
        </w:rPr>
        <w:t>Source: Author</w:t>
      </w:r>
      <w:r w:rsidR="001113C5" w:rsidRPr="008029B2">
        <w:rPr>
          <w:sz w:val="18"/>
          <w:szCs w:val="18"/>
          <w:shd w:val="clear" w:color="auto" w:fill="FFFFFF" w:themeFill="background1"/>
        </w:rPr>
        <w:t>s</w:t>
      </w:r>
      <w:r w:rsidR="00863D16">
        <w:rPr>
          <w:sz w:val="18"/>
          <w:szCs w:val="18"/>
          <w:shd w:val="clear" w:color="auto" w:fill="FFFFFF" w:themeFill="background1"/>
        </w:rPr>
        <w:t>’</w:t>
      </w:r>
      <w:r w:rsidR="001113C5" w:rsidRPr="008029B2">
        <w:rPr>
          <w:sz w:val="18"/>
          <w:szCs w:val="18"/>
          <w:shd w:val="clear" w:color="auto" w:fill="FFFFFF" w:themeFill="background1"/>
        </w:rPr>
        <w:t xml:space="preserve"> </w:t>
      </w:r>
      <w:r w:rsidRPr="008029B2">
        <w:rPr>
          <w:sz w:val="18"/>
          <w:szCs w:val="18"/>
          <w:shd w:val="clear" w:color="auto" w:fill="FFFFFF" w:themeFill="background1"/>
        </w:rPr>
        <w:t>calculation</w:t>
      </w:r>
      <w:r w:rsidR="001113C5" w:rsidRPr="008029B2">
        <w:rPr>
          <w:sz w:val="18"/>
          <w:szCs w:val="18"/>
          <w:shd w:val="clear" w:color="auto" w:fill="FFFFFF" w:themeFill="background1"/>
        </w:rPr>
        <w:t>s</w:t>
      </w:r>
      <w:r w:rsidRPr="008029B2">
        <w:rPr>
          <w:sz w:val="18"/>
          <w:szCs w:val="18"/>
          <w:shd w:val="clear" w:color="auto" w:fill="FFFFFF" w:themeFill="background1"/>
        </w:rPr>
        <w:t xml:space="preserve"> based on </w:t>
      </w:r>
      <w:r w:rsidR="00AC79EA" w:rsidRPr="008029B2">
        <w:rPr>
          <w:sz w:val="18"/>
          <w:szCs w:val="18"/>
          <w:shd w:val="clear" w:color="auto" w:fill="FFFFFF" w:themeFill="background1"/>
        </w:rPr>
        <w:t xml:space="preserve">Enterprise Survey </w:t>
      </w:r>
      <w:r w:rsidRPr="008029B2">
        <w:rPr>
          <w:sz w:val="18"/>
          <w:szCs w:val="18"/>
          <w:shd w:val="clear" w:color="auto" w:fill="FFFFFF" w:themeFill="background1"/>
        </w:rPr>
        <w:t>2014</w:t>
      </w:r>
      <w:r w:rsidR="00A36B89">
        <w:rPr>
          <w:rFonts w:ascii="Calibri" w:hAnsi="Calibri"/>
          <w:sz w:val="18"/>
          <w:szCs w:val="18"/>
          <w:shd w:val="clear" w:color="auto" w:fill="FFFFFF" w:themeFill="background1"/>
        </w:rPr>
        <w:t>‒</w:t>
      </w:r>
      <w:r w:rsidRPr="008029B2">
        <w:rPr>
          <w:sz w:val="18"/>
          <w:szCs w:val="18"/>
          <w:shd w:val="clear" w:color="auto" w:fill="FFFFFF" w:themeFill="background1"/>
        </w:rPr>
        <w:t>15</w:t>
      </w:r>
    </w:p>
    <w:p w14:paraId="4A0D2290" w14:textId="77777777" w:rsidR="00F970C1" w:rsidRPr="008029B2" w:rsidRDefault="00F970C1" w:rsidP="00D727BF">
      <w:pPr>
        <w:tabs>
          <w:tab w:val="left" w:pos="720"/>
        </w:tabs>
        <w:spacing w:after="0"/>
        <w:rPr>
          <w:rFonts w:eastAsia="Calibri" w:cs="Times New Roman"/>
          <w:szCs w:val="24"/>
          <w:shd w:val="clear" w:color="auto" w:fill="FFFFFF" w:themeFill="background1"/>
        </w:rPr>
      </w:pPr>
    </w:p>
    <w:p w14:paraId="74F3C4C7" w14:textId="13487C70" w:rsidR="00F970C1" w:rsidRPr="008029B2" w:rsidRDefault="00F060B0" w:rsidP="00D727BF">
      <w:pPr>
        <w:pStyle w:val="ParagraphNumbering"/>
        <w:numPr>
          <w:ilvl w:val="0"/>
          <w:numId w:val="0"/>
        </w:numPr>
        <w:tabs>
          <w:tab w:val="left" w:pos="720"/>
        </w:tabs>
        <w:spacing w:after="240"/>
        <w:rPr>
          <w:rFonts w:eastAsia="Calibri"/>
          <w:shd w:val="clear" w:color="auto" w:fill="FFFFFF" w:themeFill="background1"/>
        </w:rPr>
      </w:pPr>
      <w:r>
        <w:rPr>
          <w:rFonts w:eastAsia="Calibri"/>
          <w:b/>
          <w:shd w:val="clear" w:color="auto" w:fill="FFFFFF" w:themeFill="background1"/>
        </w:rPr>
        <w:tab/>
      </w:r>
      <w:r w:rsidR="00293526" w:rsidRPr="008029B2">
        <w:rPr>
          <w:rFonts w:eastAsia="Calibri"/>
          <w:b/>
          <w:shd w:val="clear" w:color="auto" w:fill="FFFFFF" w:themeFill="background1"/>
        </w:rPr>
        <w:t xml:space="preserve">Product innovation rates in Nigeria are the lowest among comparator countries and less than half the African average. </w:t>
      </w:r>
      <w:r w:rsidR="00293526" w:rsidRPr="008029B2">
        <w:rPr>
          <w:rFonts w:eastAsia="Calibri"/>
          <w:shd w:val="clear" w:color="auto" w:fill="FFFFFF" w:themeFill="background1"/>
        </w:rPr>
        <w:t>While</w:t>
      </w:r>
      <w:r w:rsidR="00293526" w:rsidRPr="008029B2">
        <w:rPr>
          <w:rFonts w:eastAsia="Calibri"/>
          <w:b/>
          <w:shd w:val="clear" w:color="auto" w:fill="FFFFFF" w:themeFill="background1"/>
        </w:rPr>
        <w:t xml:space="preserve"> </w:t>
      </w:r>
      <w:r w:rsidR="00293526" w:rsidRPr="008029B2">
        <w:rPr>
          <w:rFonts w:eastAsia="Calibri"/>
          <w:shd w:val="clear" w:color="auto" w:fill="FFFFFF" w:themeFill="background1"/>
        </w:rPr>
        <w:t>Nigeria</w:t>
      </w:r>
      <w:r w:rsidR="00863D16">
        <w:rPr>
          <w:rFonts w:eastAsia="Calibri"/>
          <w:shd w:val="clear" w:color="auto" w:fill="FFFFFF" w:themeFill="background1"/>
        </w:rPr>
        <w:t>’</w:t>
      </w:r>
      <w:r w:rsidR="00293526" w:rsidRPr="008029B2">
        <w:rPr>
          <w:rFonts w:eastAsia="Calibri"/>
          <w:shd w:val="clear" w:color="auto" w:fill="FFFFFF" w:themeFill="background1"/>
        </w:rPr>
        <w:t>s performance in process innovation is on par with other African countries, its rates of product innovation are less than half the African average. Even while its performance in both types of nontechnological innovations</w:t>
      </w:r>
      <w:r w:rsidR="0086505E">
        <w:rPr>
          <w:rFonts w:eastAsia="Calibri"/>
          <w:shd w:val="clear" w:color="auto" w:fill="FFFFFF" w:themeFill="background1"/>
        </w:rPr>
        <w:t>—</w:t>
      </w:r>
      <w:r w:rsidR="00293526" w:rsidRPr="008029B2">
        <w:rPr>
          <w:rFonts w:eastAsia="Calibri"/>
          <w:shd w:val="clear" w:color="auto" w:fill="FFFFFF" w:themeFill="background1"/>
        </w:rPr>
        <w:t>organizational and marketing</w:t>
      </w:r>
      <w:r w:rsidR="0086505E">
        <w:rPr>
          <w:rFonts w:eastAsia="Calibri"/>
          <w:shd w:val="clear" w:color="auto" w:fill="FFFFFF" w:themeFill="background1"/>
        </w:rPr>
        <w:t>—</w:t>
      </w:r>
      <w:r w:rsidR="00293526" w:rsidRPr="008029B2">
        <w:rPr>
          <w:rFonts w:eastAsia="Calibri"/>
          <w:shd w:val="clear" w:color="auto" w:fill="FFFFFF" w:themeFill="background1"/>
        </w:rPr>
        <w:t>is above the African average, its poor performance in product innovation is most notable</w:t>
      </w:r>
      <w:r w:rsidR="00AC79EA" w:rsidRPr="008029B2">
        <w:rPr>
          <w:rFonts w:eastAsia="Calibri"/>
          <w:shd w:val="clear" w:color="auto" w:fill="FFFFFF" w:themeFill="background1"/>
        </w:rPr>
        <w:t xml:space="preserve"> (</w:t>
      </w:r>
      <w:r w:rsidR="0086505E">
        <w:rPr>
          <w:rFonts w:eastAsia="Calibri"/>
          <w:shd w:val="clear" w:color="auto" w:fill="FFFFFF" w:themeFill="background1"/>
        </w:rPr>
        <w:t>table 12</w:t>
      </w:r>
      <w:r w:rsidR="00AC79EA" w:rsidRPr="008029B2">
        <w:rPr>
          <w:rFonts w:eastAsia="Calibri"/>
          <w:shd w:val="clear" w:color="auto" w:fill="FFFFFF" w:themeFill="background1"/>
        </w:rPr>
        <w:t>)</w:t>
      </w:r>
      <w:r w:rsidR="00F970C1" w:rsidRPr="008029B2">
        <w:rPr>
          <w:rFonts w:eastAsia="Calibri"/>
          <w:shd w:val="clear" w:color="auto" w:fill="FFFFFF" w:themeFill="background1"/>
        </w:rPr>
        <w:t xml:space="preserve">. </w:t>
      </w:r>
    </w:p>
    <w:p w14:paraId="46D0F7A9" w14:textId="34A01BE0" w:rsidR="00F970C1" w:rsidRPr="008029B2" w:rsidRDefault="00F970C1" w:rsidP="00D727BF">
      <w:pPr>
        <w:pStyle w:val="Caption"/>
        <w:keepNext/>
        <w:tabs>
          <w:tab w:val="left" w:pos="720"/>
        </w:tabs>
        <w:jc w:val="center"/>
        <w:rPr>
          <w:shd w:val="clear" w:color="auto" w:fill="FFFFFF" w:themeFill="background1"/>
        </w:rPr>
      </w:pPr>
      <w:bookmarkStart w:id="297" w:name="_Ref431671444"/>
      <w:bookmarkStart w:id="298" w:name="_Toc445449533"/>
      <w:r w:rsidRPr="008029B2">
        <w:rPr>
          <w:shd w:val="clear" w:color="auto" w:fill="FFFFFF" w:themeFill="background1"/>
        </w:rPr>
        <w:t xml:space="preserve">Table </w:t>
      </w:r>
      <w:r w:rsidR="008A2763" w:rsidRPr="008029B2">
        <w:rPr>
          <w:shd w:val="clear" w:color="auto" w:fill="FFFFFF" w:themeFill="background1"/>
        </w:rPr>
        <w:fldChar w:fldCharType="begin"/>
      </w:r>
      <w:r w:rsidR="008A2763" w:rsidRPr="008029B2">
        <w:rPr>
          <w:shd w:val="clear" w:color="auto" w:fill="FFFFFF" w:themeFill="background1"/>
        </w:rPr>
        <w:instrText xml:space="preserve"> SEQ Table \* ARABIC </w:instrText>
      </w:r>
      <w:r w:rsidR="008A2763" w:rsidRPr="008029B2">
        <w:rPr>
          <w:shd w:val="clear" w:color="auto" w:fill="FFFFFF" w:themeFill="background1"/>
        </w:rPr>
        <w:fldChar w:fldCharType="separate"/>
      </w:r>
      <w:r w:rsidR="008A3BBD">
        <w:rPr>
          <w:noProof/>
          <w:shd w:val="clear" w:color="auto" w:fill="FFFFFF" w:themeFill="background1"/>
        </w:rPr>
        <w:t>12</w:t>
      </w:r>
      <w:r w:rsidR="008A2763" w:rsidRPr="008029B2">
        <w:rPr>
          <w:noProof/>
          <w:shd w:val="clear" w:color="auto" w:fill="FFFFFF" w:themeFill="background1"/>
        </w:rPr>
        <w:fldChar w:fldCharType="end"/>
      </w:r>
      <w:bookmarkEnd w:id="297"/>
      <w:r w:rsidRPr="008029B2">
        <w:rPr>
          <w:shd w:val="clear" w:color="auto" w:fill="FFFFFF" w:themeFill="background1"/>
        </w:rPr>
        <w:t xml:space="preserve">: Innovation </w:t>
      </w:r>
      <w:r w:rsidR="00B34704" w:rsidRPr="008029B2">
        <w:rPr>
          <w:shd w:val="clear" w:color="auto" w:fill="FFFFFF" w:themeFill="background1"/>
        </w:rPr>
        <w:t>R</w:t>
      </w:r>
      <w:r w:rsidRPr="008029B2">
        <w:rPr>
          <w:shd w:val="clear" w:color="auto" w:fill="FFFFFF" w:themeFill="background1"/>
        </w:rPr>
        <w:t xml:space="preserve">ates in Nigeria and </w:t>
      </w:r>
      <w:r w:rsidR="00B34704" w:rsidRPr="008029B2">
        <w:rPr>
          <w:shd w:val="clear" w:color="auto" w:fill="FFFFFF" w:themeFill="background1"/>
        </w:rPr>
        <w:t>Comparator C</w:t>
      </w:r>
      <w:r w:rsidRPr="008029B2">
        <w:rPr>
          <w:shd w:val="clear" w:color="auto" w:fill="FFFFFF" w:themeFill="background1"/>
        </w:rPr>
        <w:t>ountries</w:t>
      </w:r>
      <w:bookmarkEnd w:id="298"/>
    </w:p>
    <w:tbl>
      <w:tblPr>
        <w:tblW w:w="5000" w:type="pct"/>
        <w:tblLook w:val="04A0" w:firstRow="1" w:lastRow="0" w:firstColumn="1" w:lastColumn="0" w:noHBand="0" w:noVBand="1"/>
      </w:tblPr>
      <w:tblGrid>
        <w:gridCol w:w="1307"/>
        <w:gridCol w:w="1653"/>
        <w:gridCol w:w="1655"/>
        <w:gridCol w:w="1653"/>
        <w:gridCol w:w="1655"/>
        <w:gridCol w:w="1653"/>
      </w:tblGrid>
      <w:tr w:rsidR="00F970C1" w:rsidRPr="008029B2" w14:paraId="6B57F33F" w14:textId="77777777" w:rsidTr="00F970C1">
        <w:trPr>
          <w:trHeight w:val="288"/>
        </w:trPr>
        <w:tc>
          <w:tcPr>
            <w:tcW w:w="682" w:type="pct"/>
            <w:tcBorders>
              <w:top w:val="single" w:sz="4" w:space="0" w:color="auto"/>
              <w:left w:val="nil"/>
              <w:bottom w:val="single" w:sz="4" w:space="0" w:color="auto"/>
              <w:right w:val="nil"/>
            </w:tcBorders>
            <w:shd w:val="clear" w:color="auto" w:fill="auto"/>
            <w:noWrap/>
            <w:vAlign w:val="bottom"/>
            <w:hideMark/>
          </w:tcPr>
          <w:p w14:paraId="59B9E17D"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 </w:t>
            </w:r>
          </w:p>
        </w:tc>
        <w:tc>
          <w:tcPr>
            <w:tcW w:w="863" w:type="pct"/>
            <w:tcBorders>
              <w:top w:val="single" w:sz="4" w:space="0" w:color="auto"/>
              <w:left w:val="nil"/>
              <w:bottom w:val="single" w:sz="4" w:space="0" w:color="auto"/>
              <w:right w:val="nil"/>
            </w:tcBorders>
            <w:shd w:val="clear" w:color="auto" w:fill="auto"/>
            <w:noWrap/>
            <w:vAlign w:val="center"/>
            <w:hideMark/>
          </w:tcPr>
          <w:p w14:paraId="4B0C631C" w14:textId="77777777" w:rsidR="00F970C1" w:rsidRPr="008029B2" w:rsidRDefault="00F970C1" w:rsidP="00D727BF">
            <w:pPr>
              <w:tabs>
                <w:tab w:val="left" w:pos="720"/>
              </w:tabs>
              <w:spacing w:after="0"/>
              <w:jc w:val="center"/>
              <w:rPr>
                <w:rFonts w:eastAsia="Times New Roman" w:cs="Times New Roman"/>
                <w:b/>
                <w:color w:val="000000"/>
                <w:sz w:val="20"/>
                <w:szCs w:val="20"/>
                <w:shd w:val="clear" w:color="auto" w:fill="FFFFFF" w:themeFill="background1"/>
              </w:rPr>
            </w:pPr>
            <w:r w:rsidRPr="008029B2">
              <w:rPr>
                <w:rFonts w:eastAsia="Times New Roman" w:cs="Times New Roman"/>
                <w:b/>
                <w:color w:val="000000"/>
                <w:sz w:val="20"/>
                <w:szCs w:val="20"/>
                <w:shd w:val="clear" w:color="auto" w:fill="FFFFFF" w:themeFill="background1"/>
              </w:rPr>
              <w:t>Product</w:t>
            </w:r>
          </w:p>
        </w:tc>
        <w:tc>
          <w:tcPr>
            <w:tcW w:w="864" w:type="pct"/>
            <w:tcBorders>
              <w:top w:val="single" w:sz="4" w:space="0" w:color="auto"/>
              <w:left w:val="nil"/>
              <w:bottom w:val="single" w:sz="4" w:space="0" w:color="auto"/>
              <w:right w:val="nil"/>
            </w:tcBorders>
            <w:shd w:val="clear" w:color="auto" w:fill="auto"/>
            <w:noWrap/>
            <w:vAlign w:val="center"/>
            <w:hideMark/>
          </w:tcPr>
          <w:p w14:paraId="3542F5D3" w14:textId="77777777" w:rsidR="00F970C1" w:rsidRPr="008029B2" w:rsidRDefault="00F970C1" w:rsidP="00D727BF">
            <w:pPr>
              <w:tabs>
                <w:tab w:val="left" w:pos="720"/>
              </w:tabs>
              <w:spacing w:after="0"/>
              <w:jc w:val="center"/>
              <w:rPr>
                <w:rFonts w:eastAsia="Times New Roman" w:cs="Times New Roman"/>
                <w:b/>
                <w:color w:val="000000"/>
                <w:sz w:val="20"/>
                <w:szCs w:val="20"/>
                <w:shd w:val="clear" w:color="auto" w:fill="FFFFFF" w:themeFill="background1"/>
              </w:rPr>
            </w:pPr>
            <w:r w:rsidRPr="008029B2">
              <w:rPr>
                <w:rFonts w:eastAsia="Times New Roman" w:cs="Times New Roman"/>
                <w:b/>
                <w:color w:val="000000"/>
                <w:sz w:val="20"/>
                <w:szCs w:val="20"/>
                <w:shd w:val="clear" w:color="auto" w:fill="FFFFFF" w:themeFill="background1"/>
              </w:rPr>
              <w:t>Process</w:t>
            </w:r>
          </w:p>
        </w:tc>
        <w:tc>
          <w:tcPr>
            <w:tcW w:w="863" w:type="pct"/>
            <w:tcBorders>
              <w:top w:val="single" w:sz="4" w:space="0" w:color="auto"/>
              <w:left w:val="nil"/>
              <w:bottom w:val="single" w:sz="4" w:space="0" w:color="auto"/>
              <w:right w:val="nil"/>
            </w:tcBorders>
            <w:shd w:val="clear" w:color="auto" w:fill="auto"/>
            <w:noWrap/>
            <w:vAlign w:val="center"/>
            <w:hideMark/>
          </w:tcPr>
          <w:p w14:paraId="64DD7285" w14:textId="77777777" w:rsidR="00F970C1" w:rsidRPr="008029B2" w:rsidRDefault="00F970C1" w:rsidP="00D727BF">
            <w:pPr>
              <w:tabs>
                <w:tab w:val="left" w:pos="720"/>
              </w:tabs>
              <w:spacing w:after="0"/>
              <w:jc w:val="center"/>
              <w:rPr>
                <w:rFonts w:eastAsia="Times New Roman" w:cs="Times New Roman"/>
                <w:b/>
                <w:color w:val="000000"/>
                <w:sz w:val="20"/>
                <w:szCs w:val="20"/>
                <w:shd w:val="clear" w:color="auto" w:fill="FFFFFF" w:themeFill="background1"/>
              </w:rPr>
            </w:pPr>
            <w:r w:rsidRPr="008029B2">
              <w:rPr>
                <w:rFonts w:eastAsia="Times New Roman" w:cs="Times New Roman"/>
                <w:b/>
                <w:color w:val="000000"/>
                <w:sz w:val="20"/>
                <w:szCs w:val="20"/>
                <w:shd w:val="clear" w:color="auto" w:fill="FFFFFF" w:themeFill="background1"/>
              </w:rPr>
              <w:t xml:space="preserve">Product </w:t>
            </w:r>
          </w:p>
          <w:p w14:paraId="1E7F547A" w14:textId="77777777" w:rsidR="00F970C1" w:rsidRPr="008029B2" w:rsidRDefault="00F970C1" w:rsidP="00D727BF">
            <w:pPr>
              <w:tabs>
                <w:tab w:val="left" w:pos="720"/>
              </w:tabs>
              <w:spacing w:after="0"/>
              <w:jc w:val="center"/>
              <w:rPr>
                <w:rFonts w:eastAsia="Times New Roman" w:cs="Times New Roman"/>
                <w:b/>
                <w:color w:val="000000"/>
                <w:sz w:val="20"/>
                <w:szCs w:val="20"/>
                <w:shd w:val="clear" w:color="auto" w:fill="FFFFFF" w:themeFill="background1"/>
              </w:rPr>
            </w:pPr>
            <w:r w:rsidRPr="008029B2">
              <w:rPr>
                <w:rFonts w:eastAsia="Times New Roman" w:cs="Times New Roman"/>
                <w:b/>
                <w:color w:val="000000"/>
                <w:sz w:val="20"/>
                <w:szCs w:val="20"/>
                <w:shd w:val="clear" w:color="auto" w:fill="FFFFFF" w:themeFill="background1"/>
              </w:rPr>
              <w:t>or Process</w:t>
            </w:r>
          </w:p>
        </w:tc>
        <w:tc>
          <w:tcPr>
            <w:tcW w:w="864" w:type="pct"/>
            <w:tcBorders>
              <w:top w:val="single" w:sz="4" w:space="0" w:color="auto"/>
              <w:left w:val="nil"/>
              <w:bottom w:val="single" w:sz="4" w:space="0" w:color="auto"/>
              <w:right w:val="nil"/>
            </w:tcBorders>
            <w:shd w:val="clear" w:color="auto" w:fill="auto"/>
            <w:noWrap/>
            <w:vAlign w:val="center"/>
            <w:hideMark/>
          </w:tcPr>
          <w:p w14:paraId="15D87EFA" w14:textId="77777777" w:rsidR="00F970C1" w:rsidRPr="008029B2" w:rsidRDefault="00F970C1" w:rsidP="00D727BF">
            <w:pPr>
              <w:tabs>
                <w:tab w:val="left" w:pos="720"/>
              </w:tabs>
              <w:spacing w:after="0"/>
              <w:jc w:val="center"/>
              <w:rPr>
                <w:rFonts w:eastAsia="Times New Roman" w:cs="Times New Roman"/>
                <w:b/>
                <w:color w:val="000000"/>
                <w:sz w:val="20"/>
                <w:szCs w:val="20"/>
                <w:shd w:val="clear" w:color="auto" w:fill="FFFFFF" w:themeFill="background1"/>
              </w:rPr>
            </w:pPr>
            <w:r w:rsidRPr="008029B2">
              <w:rPr>
                <w:rFonts w:eastAsia="Times New Roman" w:cs="Times New Roman"/>
                <w:b/>
                <w:color w:val="000000"/>
                <w:sz w:val="20"/>
                <w:szCs w:val="20"/>
                <w:shd w:val="clear" w:color="auto" w:fill="FFFFFF" w:themeFill="background1"/>
              </w:rPr>
              <w:t>Organization</w:t>
            </w:r>
          </w:p>
        </w:tc>
        <w:tc>
          <w:tcPr>
            <w:tcW w:w="863" w:type="pct"/>
            <w:tcBorders>
              <w:top w:val="single" w:sz="4" w:space="0" w:color="auto"/>
              <w:left w:val="nil"/>
              <w:bottom w:val="single" w:sz="4" w:space="0" w:color="auto"/>
              <w:right w:val="nil"/>
            </w:tcBorders>
            <w:shd w:val="clear" w:color="auto" w:fill="auto"/>
            <w:noWrap/>
            <w:vAlign w:val="center"/>
            <w:hideMark/>
          </w:tcPr>
          <w:p w14:paraId="2D8BE835" w14:textId="77777777" w:rsidR="00F970C1" w:rsidRPr="008029B2" w:rsidRDefault="00F970C1" w:rsidP="00D727BF">
            <w:pPr>
              <w:tabs>
                <w:tab w:val="left" w:pos="720"/>
              </w:tabs>
              <w:spacing w:after="0"/>
              <w:jc w:val="center"/>
              <w:rPr>
                <w:rFonts w:eastAsia="Times New Roman" w:cs="Times New Roman"/>
                <w:b/>
                <w:color w:val="000000"/>
                <w:sz w:val="20"/>
                <w:szCs w:val="20"/>
                <w:shd w:val="clear" w:color="auto" w:fill="FFFFFF" w:themeFill="background1"/>
              </w:rPr>
            </w:pPr>
            <w:r w:rsidRPr="008029B2">
              <w:rPr>
                <w:rFonts w:eastAsia="Times New Roman" w:cs="Times New Roman"/>
                <w:b/>
                <w:color w:val="000000"/>
                <w:sz w:val="20"/>
                <w:szCs w:val="20"/>
                <w:shd w:val="clear" w:color="auto" w:fill="FFFFFF" w:themeFill="background1"/>
              </w:rPr>
              <w:t>Marketing</w:t>
            </w:r>
          </w:p>
        </w:tc>
      </w:tr>
      <w:tr w:rsidR="00F970C1" w:rsidRPr="008029B2" w14:paraId="656E54F6" w14:textId="77777777" w:rsidTr="00F970C1">
        <w:trPr>
          <w:trHeight w:val="288"/>
        </w:trPr>
        <w:tc>
          <w:tcPr>
            <w:tcW w:w="682" w:type="pct"/>
            <w:tcBorders>
              <w:top w:val="nil"/>
              <w:left w:val="nil"/>
              <w:bottom w:val="nil"/>
              <w:right w:val="nil"/>
            </w:tcBorders>
            <w:shd w:val="clear" w:color="auto" w:fill="F2F2F2" w:themeFill="background1" w:themeFillShade="F2"/>
            <w:noWrap/>
            <w:vAlign w:val="center"/>
            <w:hideMark/>
          </w:tcPr>
          <w:p w14:paraId="281BA85B"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Nigeria</w:t>
            </w:r>
          </w:p>
        </w:tc>
        <w:tc>
          <w:tcPr>
            <w:tcW w:w="863" w:type="pct"/>
            <w:tcBorders>
              <w:top w:val="nil"/>
              <w:left w:val="nil"/>
              <w:bottom w:val="nil"/>
              <w:right w:val="nil"/>
            </w:tcBorders>
            <w:shd w:val="clear" w:color="auto" w:fill="F2F2F2" w:themeFill="background1" w:themeFillShade="F2"/>
            <w:noWrap/>
            <w:vAlign w:val="center"/>
            <w:hideMark/>
          </w:tcPr>
          <w:p w14:paraId="48167743" w14:textId="5EDA8550" w:rsidR="00F970C1" w:rsidRPr="008029B2" w:rsidRDefault="00F970C1" w:rsidP="00D727BF">
            <w:pPr>
              <w:tabs>
                <w:tab w:val="left" w:pos="720"/>
              </w:tabs>
              <w:spacing w:after="0"/>
              <w:jc w:val="center"/>
              <w:rPr>
                <w:rFonts w:cs="Times New Roman"/>
                <w:bCs/>
                <w:iCs/>
                <w:color w:val="000000"/>
                <w:sz w:val="20"/>
                <w:szCs w:val="20"/>
                <w:shd w:val="clear" w:color="auto" w:fill="FFFFFF" w:themeFill="background1"/>
              </w:rPr>
            </w:pPr>
            <w:r w:rsidRPr="008029B2">
              <w:rPr>
                <w:rFonts w:cs="Times New Roman"/>
                <w:bCs/>
                <w:iCs/>
                <w:color w:val="000000"/>
                <w:sz w:val="20"/>
                <w:szCs w:val="20"/>
                <w:shd w:val="clear" w:color="auto" w:fill="FFFFFF" w:themeFill="background1"/>
              </w:rPr>
              <w:t>13.8</w:t>
            </w:r>
            <w:r w:rsidR="00A02DAA">
              <w:rPr>
                <w:rFonts w:cs="Times New Roman"/>
                <w:bCs/>
                <w:iCs/>
                <w:color w:val="000000"/>
                <w:sz w:val="20"/>
                <w:szCs w:val="20"/>
                <w:shd w:val="clear" w:color="auto" w:fill="FFFFFF" w:themeFill="background1"/>
              </w:rPr>
              <w:t>%</w:t>
            </w:r>
          </w:p>
        </w:tc>
        <w:tc>
          <w:tcPr>
            <w:tcW w:w="864" w:type="pct"/>
            <w:tcBorders>
              <w:top w:val="nil"/>
              <w:left w:val="nil"/>
              <w:bottom w:val="nil"/>
              <w:right w:val="nil"/>
            </w:tcBorders>
            <w:shd w:val="clear" w:color="auto" w:fill="F2F2F2" w:themeFill="background1" w:themeFillShade="F2"/>
            <w:noWrap/>
            <w:vAlign w:val="center"/>
            <w:hideMark/>
          </w:tcPr>
          <w:p w14:paraId="20EA14C4" w14:textId="003949D9" w:rsidR="00F970C1" w:rsidRPr="008029B2" w:rsidRDefault="00F970C1" w:rsidP="00D727BF">
            <w:pPr>
              <w:tabs>
                <w:tab w:val="left" w:pos="720"/>
              </w:tabs>
              <w:spacing w:after="0"/>
              <w:jc w:val="center"/>
              <w:rPr>
                <w:rFonts w:cs="Times New Roman"/>
                <w:bCs/>
                <w:iCs/>
                <w:color w:val="000000"/>
                <w:sz w:val="20"/>
                <w:szCs w:val="20"/>
                <w:shd w:val="clear" w:color="auto" w:fill="FFFFFF" w:themeFill="background1"/>
              </w:rPr>
            </w:pPr>
            <w:r w:rsidRPr="008029B2">
              <w:rPr>
                <w:rFonts w:cs="Times New Roman"/>
                <w:bCs/>
                <w:iCs/>
                <w:color w:val="000000"/>
                <w:sz w:val="20"/>
                <w:szCs w:val="20"/>
                <w:shd w:val="clear" w:color="auto" w:fill="FFFFFF" w:themeFill="background1"/>
              </w:rPr>
              <w:t>29.6</w:t>
            </w:r>
            <w:r w:rsidR="00A02DAA">
              <w:rPr>
                <w:rFonts w:cs="Times New Roman"/>
                <w:bCs/>
                <w:iCs/>
                <w:color w:val="000000"/>
                <w:sz w:val="20"/>
                <w:szCs w:val="20"/>
                <w:shd w:val="clear" w:color="auto" w:fill="FFFFFF" w:themeFill="background1"/>
              </w:rPr>
              <w:t>%</w:t>
            </w:r>
          </w:p>
        </w:tc>
        <w:tc>
          <w:tcPr>
            <w:tcW w:w="863" w:type="pct"/>
            <w:tcBorders>
              <w:top w:val="nil"/>
              <w:left w:val="nil"/>
              <w:bottom w:val="nil"/>
              <w:right w:val="nil"/>
            </w:tcBorders>
            <w:shd w:val="clear" w:color="auto" w:fill="F2F2F2" w:themeFill="background1" w:themeFillShade="F2"/>
            <w:noWrap/>
            <w:vAlign w:val="center"/>
            <w:hideMark/>
          </w:tcPr>
          <w:p w14:paraId="4F2B6B5C" w14:textId="30D2C002" w:rsidR="00F970C1" w:rsidRPr="008029B2" w:rsidRDefault="00F970C1" w:rsidP="00D727BF">
            <w:pPr>
              <w:tabs>
                <w:tab w:val="left" w:pos="720"/>
              </w:tabs>
              <w:spacing w:after="0"/>
              <w:jc w:val="center"/>
              <w:rPr>
                <w:rFonts w:cs="Times New Roman"/>
                <w:bCs/>
                <w:iCs/>
                <w:color w:val="000000"/>
                <w:sz w:val="20"/>
                <w:szCs w:val="20"/>
                <w:shd w:val="clear" w:color="auto" w:fill="FFFFFF" w:themeFill="background1"/>
              </w:rPr>
            </w:pPr>
            <w:r w:rsidRPr="008029B2">
              <w:rPr>
                <w:rFonts w:cs="Times New Roman"/>
                <w:bCs/>
                <w:iCs/>
                <w:color w:val="000000"/>
                <w:sz w:val="20"/>
                <w:szCs w:val="20"/>
                <w:shd w:val="clear" w:color="auto" w:fill="FFFFFF" w:themeFill="background1"/>
              </w:rPr>
              <w:t>37.1</w:t>
            </w:r>
            <w:r w:rsidR="00A02DAA">
              <w:rPr>
                <w:rFonts w:cs="Times New Roman"/>
                <w:bCs/>
                <w:iCs/>
                <w:color w:val="000000"/>
                <w:sz w:val="20"/>
                <w:szCs w:val="20"/>
                <w:shd w:val="clear" w:color="auto" w:fill="FFFFFF" w:themeFill="background1"/>
              </w:rPr>
              <w:t>%</w:t>
            </w:r>
          </w:p>
        </w:tc>
        <w:tc>
          <w:tcPr>
            <w:tcW w:w="864" w:type="pct"/>
            <w:tcBorders>
              <w:top w:val="nil"/>
              <w:left w:val="nil"/>
              <w:bottom w:val="nil"/>
              <w:right w:val="nil"/>
            </w:tcBorders>
            <w:shd w:val="clear" w:color="auto" w:fill="F2F2F2" w:themeFill="background1" w:themeFillShade="F2"/>
            <w:noWrap/>
            <w:vAlign w:val="center"/>
            <w:hideMark/>
          </w:tcPr>
          <w:p w14:paraId="4FC27F30" w14:textId="201CCCB8" w:rsidR="00F970C1" w:rsidRPr="008029B2" w:rsidRDefault="00F970C1" w:rsidP="00D727BF">
            <w:pPr>
              <w:tabs>
                <w:tab w:val="left" w:pos="720"/>
              </w:tabs>
              <w:spacing w:after="0"/>
              <w:jc w:val="center"/>
              <w:rPr>
                <w:rFonts w:cs="Times New Roman"/>
                <w:bCs/>
                <w:iCs/>
                <w:color w:val="000000"/>
                <w:sz w:val="20"/>
                <w:szCs w:val="20"/>
                <w:shd w:val="clear" w:color="auto" w:fill="FFFFFF" w:themeFill="background1"/>
              </w:rPr>
            </w:pPr>
            <w:r w:rsidRPr="008029B2">
              <w:rPr>
                <w:rFonts w:cs="Times New Roman"/>
                <w:bCs/>
                <w:iCs/>
                <w:color w:val="000000"/>
                <w:sz w:val="20"/>
                <w:szCs w:val="20"/>
                <w:shd w:val="clear" w:color="auto" w:fill="FFFFFF" w:themeFill="background1"/>
              </w:rPr>
              <w:t>47.1</w:t>
            </w:r>
            <w:r w:rsidR="00A02DAA">
              <w:rPr>
                <w:rFonts w:cs="Times New Roman"/>
                <w:bCs/>
                <w:iCs/>
                <w:color w:val="000000"/>
                <w:sz w:val="20"/>
                <w:szCs w:val="20"/>
                <w:shd w:val="clear" w:color="auto" w:fill="FFFFFF" w:themeFill="background1"/>
              </w:rPr>
              <w:t>%</w:t>
            </w:r>
          </w:p>
        </w:tc>
        <w:tc>
          <w:tcPr>
            <w:tcW w:w="863" w:type="pct"/>
            <w:tcBorders>
              <w:top w:val="nil"/>
              <w:left w:val="nil"/>
              <w:bottom w:val="nil"/>
              <w:right w:val="nil"/>
            </w:tcBorders>
            <w:shd w:val="clear" w:color="auto" w:fill="F2F2F2" w:themeFill="background1" w:themeFillShade="F2"/>
            <w:noWrap/>
            <w:vAlign w:val="center"/>
            <w:hideMark/>
          </w:tcPr>
          <w:p w14:paraId="73963B50" w14:textId="0BE6755B" w:rsidR="00F970C1" w:rsidRPr="008029B2" w:rsidRDefault="00F970C1" w:rsidP="00D727BF">
            <w:pPr>
              <w:tabs>
                <w:tab w:val="left" w:pos="720"/>
              </w:tabs>
              <w:spacing w:after="0"/>
              <w:jc w:val="center"/>
              <w:rPr>
                <w:rFonts w:cs="Times New Roman"/>
                <w:bCs/>
                <w:iCs/>
                <w:color w:val="000000"/>
                <w:sz w:val="20"/>
                <w:szCs w:val="20"/>
                <w:shd w:val="clear" w:color="auto" w:fill="FFFFFF" w:themeFill="background1"/>
              </w:rPr>
            </w:pPr>
            <w:r w:rsidRPr="008029B2">
              <w:rPr>
                <w:rFonts w:cs="Times New Roman"/>
                <w:bCs/>
                <w:iCs/>
                <w:color w:val="000000"/>
                <w:sz w:val="20"/>
                <w:szCs w:val="20"/>
                <w:shd w:val="clear" w:color="auto" w:fill="FFFFFF" w:themeFill="background1"/>
              </w:rPr>
              <w:t>51.6</w:t>
            </w:r>
            <w:r w:rsidR="00A02DAA">
              <w:rPr>
                <w:rFonts w:cs="Times New Roman"/>
                <w:bCs/>
                <w:iCs/>
                <w:color w:val="000000"/>
                <w:sz w:val="20"/>
                <w:szCs w:val="20"/>
                <w:shd w:val="clear" w:color="auto" w:fill="FFFFFF" w:themeFill="background1"/>
              </w:rPr>
              <w:t>%</w:t>
            </w:r>
          </w:p>
        </w:tc>
      </w:tr>
      <w:tr w:rsidR="00F970C1" w:rsidRPr="008029B2" w14:paraId="1784DF12" w14:textId="77777777" w:rsidTr="00F970C1">
        <w:trPr>
          <w:trHeight w:val="288"/>
        </w:trPr>
        <w:tc>
          <w:tcPr>
            <w:tcW w:w="682" w:type="pct"/>
            <w:tcBorders>
              <w:top w:val="nil"/>
              <w:left w:val="nil"/>
              <w:bottom w:val="nil"/>
              <w:right w:val="nil"/>
            </w:tcBorders>
            <w:shd w:val="clear" w:color="auto" w:fill="auto"/>
            <w:noWrap/>
            <w:vAlign w:val="center"/>
            <w:hideMark/>
          </w:tcPr>
          <w:p w14:paraId="54BE4698"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India</w:t>
            </w:r>
          </w:p>
        </w:tc>
        <w:tc>
          <w:tcPr>
            <w:tcW w:w="863" w:type="pct"/>
            <w:tcBorders>
              <w:top w:val="nil"/>
              <w:left w:val="nil"/>
              <w:bottom w:val="nil"/>
              <w:right w:val="nil"/>
            </w:tcBorders>
            <w:shd w:val="clear" w:color="auto" w:fill="auto"/>
            <w:noWrap/>
            <w:vAlign w:val="center"/>
            <w:hideMark/>
          </w:tcPr>
          <w:p w14:paraId="22A71E45" w14:textId="2330D49D"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58.1</w:t>
            </w:r>
            <w:r w:rsidR="00A02DAA">
              <w:rPr>
                <w:rFonts w:cs="Times New Roman"/>
                <w:color w:val="000000"/>
                <w:sz w:val="20"/>
                <w:szCs w:val="20"/>
                <w:shd w:val="clear" w:color="auto" w:fill="FFFFFF" w:themeFill="background1"/>
              </w:rPr>
              <w:t>%</w:t>
            </w:r>
          </w:p>
        </w:tc>
        <w:tc>
          <w:tcPr>
            <w:tcW w:w="864" w:type="pct"/>
            <w:tcBorders>
              <w:top w:val="nil"/>
              <w:left w:val="nil"/>
              <w:bottom w:val="nil"/>
              <w:right w:val="nil"/>
            </w:tcBorders>
            <w:shd w:val="clear" w:color="auto" w:fill="auto"/>
            <w:noWrap/>
            <w:vAlign w:val="center"/>
            <w:hideMark/>
          </w:tcPr>
          <w:p w14:paraId="004109DF" w14:textId="2359597D"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66.2</w:t>
            </w:r>
            <w:r w:rsidR="00A02DAA">
              <w:rPr>
                <w:rFonts w:cs="Times New Roman"/>
                <w:color w:val="000000"/>
                <w:sz w:val="20"/>
                <w:szCs w:val="20"/>
                <w:shd w:val="clear" w:color="auto" w:fill="FFFFFF" w:themeFill="background1"/>
              </w:rPr>
              <w:t>%</w:t>
            </w:r>
          </w:p>
        </w:tc>
        <w:tc>
          <w:tcPr>
            <w:tcW w:w="863" w:type="pct"/>
            <w:tcBorders>
              <w:top w:val="nil"/>
              <w:left w:val="nil"/>
              <w:bottom w:val="nil"/>
              <w:right w:val="nil"/>
            </w:tcBorders>
            <w:shd w:val="clear" w:color="auto" w:fill="auto"/>
            <w:noWrap/>
            <w:vAlign w:val="center"/>
            <w:hideMark/>
          </w:tcPr>
          <w:p w14:paraId="5A246A74" w14:textId="35CACAB5"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91.1</w:t>
            </w:r>
            <w:r w:rsidR="00A02DAA">
              <w:rPr>
                <w:rFonts w:cs="Times New Roman"/>
                <w:color w:val="000000"/>
                <w:sz w:val="20"/>
                <w:szCs w:val="20"/>
                <w:shd w:val="clear" w:color="auto" w:fill="FFFFFF" w:themeFill="background1"/>
              </w:rPr>
              <w:t>%</w:t>
            </w:r>
          </w:p>
        </w:tc>
        <w:tc>
          <w:tcPr>
            <w:tcW w:w="864" w:type="pct"/>
            <w:tcBorders>
              <w:top w:val="nil"/>
              <w:left w:val="nil"/>
              <w:bottom w:val="nil"/>
              <w:right w:val="nil"/>
            </w:tcBorders>
            <w:shd w:val="clear" w:color="auto" w:fill="auto"/>
            <w:noWrap/>
            <w:vAlign w:val="center"/>
            <w:hideMark/>
          </w:tcPr>
          <w:p w14:paraId="4214D80E" w14:textId="3FCF415E"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55.1</w:t>
            </w:r>
            <w:r w:rsidR="00A02DAA">
              <w:rPr>
                <w:rFonts w:cs="Times New Roman"/>
                <w:color w:val="000000"/>
                <w:sz w:val="20"/>
                <w:szCs w:val="20"/>
                <w:shd w:val="clear" w:color="auto" w:fill="FFFFFF" w:themeFill="background1"/>
              </w:rPr>
              <w:t>%</w:t>
            </w:r>
          </w:p>
        </w:tc>
        <w:tc>
          <w:tcPr>
            <w:tcW w:w="863" w:type="pct"/>
            <w:tcBorders>
              <w:top w:val="nil"/>
              <w:left w:val="nil"/>
              <w:bottom w:val="nil"/>
              <w:right w:val="nil"/>
            </w:tcBorders>
            <w:shd w:val="clear" w:color="auto" w:fill="auto"/>
            <w:noWrap/>
            <w:vAlign w:val="center"/>
            <w:hideMark/>
          </w:tcPr>
          <w:p w14:paraId="34B1793D" w14:textId="0D0B9528"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63.8</w:t>
            </w:r>
            <w:r w:rsidR="00A02DAA">
              <w:rPr>
                <w:rFonts w:cs="Times New Roman"/>
                <w:color w:val="000000"/>
                <w:sz w:val="20"/>
                <w:szCs w:val="20"/>
                <w:shd w:val="clear" w:color="auto" w:fill="FFFFFF" w:themeFill="background1"/>
              </w:rPr>
              <w:t>%</w:t>
            </w:r>
          </w:p>
        </w:tc>
      </w:tr>
      <w:tr w:rsidR="00F970C1" w:rsidRPr="008029B2" w14:paraId="508B6EDC" w14:textId="77777777" w:rsidTr="00F970C1">
        <w:trPr>
          <w:trHeight w:val="288"/>
        </w:trPr>
        <w:tc>
          <w:tcPr>
            <w:tcW w:w="682" w:type="pct"/>
            <w:tcBorders>
              <w:top w:val="nil"/>
              <w:left w:val="nil"/>
              <w:bottom w:val="nil"/>
              <w:right w:val="nil"/>
            </w:tcBorders>
            <w:shd w:val="clear" w:color="auto" w:fill="auto"/>
            <w:noWrap/>
            <w:vAlign w:val="center"/>
            <w:hideMark/>
          </w:tcPr>
          <w:p w14:paraId="5F6E7B12"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Ghana</w:t>
            </w:r>
          </w:p>
        </w:tc>
        <w:tc>
          <w:tcPr>
            <w:tcW w:w="863" w:type="pct"/>
            <w:tcBorders>
              <w:top w:val="nil"/>
              <w:left w:val="nil"/>
              <w:bottom w:val="nil"/>
              <w:right w:val="nil"/>
            </w:tcBorders>
            <w:shd w:val="clear" w:color="auto" w:fill="auto"/>
            <w:noWrap/>
            <w:vAlign w:val="center"/>
            <w:hideMark/>
          </w:tcPr>
          <w:p w14:paraId="2C7450F5" w14:textId="1065E97D"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17.1</w:t>
            </w:r>
            <w:r w:rsidR="00A02DAA">
              <w:rPr>
                <w:rFonts w:cs="Times New Roman"/>
                <w:color w:val="000000"/>
                <w:sz w:val="20"/>
                <w:szCs w:val="20"/>
                <w:shd w:val="clear" w:color="auto" w:fill="FFFFFF" w:themeFill="background1"/>
              </w:rPr>
              <w:t>%</w:t>
            </w:r>
          </w:p>
        </w:tc>
        <w:tc>
          <w:tcPr>
            <w:tcW w:w="864" w:type="pct"/>
            <w:tcBorders>
              <w:top w:val="nil"/>
              <w:left w:val="nil"/>
              <w:bottom w:val="nil"/>
              <w:right w:val="nil"/>
            </w:tcBorders>
            <w:shd w:val="clear" w:color="auto" w:fill="auto"/>
            <w:noWrap/>
            <w:vAlign w:val="center"/>
            <w:hideMark/>
          </w:tcPr>
          <w:p w14:paraId="0552A4AB" w14:textId="30BB1E9A"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25.3</w:t>
            </w:r>
            <w:r w:rsidR="00A02DAA">
              <w:rPr>
                <w:rFonts w:cs="Times New Roman"/>
                <w:color w:val="000000"/>
                <w:sz w:val="20"/>
                <w:szCs w:val="20"/>
                <w:shd w:val="clear" w:color="auto" w:fill="FFFFFF" w:themeFill="background1"/>
              </w:rPr>
              <w:t>%</w:t>
            </w:r>
          </w:p>
        </w:tc>
        <w:tc>
          <w:tcPr>
            <w:tcW w:w="863" w:type="pct"/>
            <w:tcBorders>
              <w:top w:val="nil"/>
              <w:left w:val="nil"/>
              <w:bottom w:val="nil"/>
              <w:right w:val="nil"/>
            </w:tcBorders>
            <w:shd w:val="clear" w:color="auto" w:fill="auto"/>
            <w:noWrap/>
            <w:vAlign w:val="center"/>
            <w:hideMark/>
          </w:tcPr>
          <w:p w14:paraId="4E83E98B" w14:textId="1591CAA5"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36.3</w:t>
            </w:r>
            <w:r w:rsidR="00A02DAA">
              <w:rPr>
                <w:rFonts w:cs="Times New Roman"/>
                <w:color w:val="000000"/>
                <w:sz w:val="20"/>
                <w:szCs w:val="20"/>
                <w:shd w:val="clear" w:color="auto" w:fill="FFFFFF" w:themeFill="background1"/>
              </w:rPr>
              <w:t>%</w:t>
            </w:r>
          </w:p>
        </w:tc>
        <w:tc>
          <w:tcPr>
            <w:tcW w:w="864" w:type="pct"/>
            <w:tcBorders>
              <w:top w:val="nil"/>
              <w:left w:val="nil"/>
              <w:bottom w:val="nil"/>
              <w:right w:val="nil"/>
            </w:tcBorders>
            <w:shd w:val="clear" w:color="auto" w:fill="auto"/>
            <w:noWrap/>
            <w:vAlign w:val="center"/>
            <w:hideMark/>
          </w:tcPr>
          <w:p w14:paraId="35A366E4" w14:textId="1517E779"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30.5</w:t>
            </w:r>
            <w:r w:rsidR="00A02DAA">
              <w:rPr>
                <w:rFonts w:cs="Times New Roman"/>
                <w:color w:val="000000"/>
                <w:sz w:val="20"/>
                <w:szCs w:val="20"/>
                <w:shd w:val="clear" w:color="auto" w:fill="FFFFFF" w:themeFill="background1"/>
              </w:rPr>
              <w:t>%</w:t>
            </w:r>
          </w:p>
        </w:tc>
        <w:tc>
          <w:tcPr>
            <w:tcW w:w="863" w:type="pct"/>
            <w:tcBorders>
              <w:top w:val="nil"/>
              <w:left w:val="nil"/>
              <w:bottom w:val="nil"/>
              <w:right w:val="nil"/>
            </w:tcBorders>
            <w:shd w:val="clear" w:color="auto" w:fill="auto"/>
            <w:noWrap/>
            <w:vAlign w:val="center"/>
            <w:hideMark/>
          </w:tcPr>
          <w:p w14:paraId="58AF1A29" w14:textId="5117C40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51.9</w:t>
            </w:r>
            <w:r w:rsidR="00A02DAA">
              <w:rPr>
                <w:rFonts w:cs="Times New Roman"/>
                <w:color w:val="000000"/>
                <w:sz w:val="20"/>
                <w:szCs w:val="20"/>
                <w:shd w:val="clear" w:color="auto" w:fill="FFFFFF" w:themeFill="background1"/>
              </w:rPr>
              <w:t>%</w:t>
            </w:r>
          </w:p>
        </w:tc>
      </w:tr>
      <w:tr w:rsidR="00F970C1" w:rsidRPr="008029B2" w14:paraId="22A56D9F" w14:textId="77777777" w:rsidTr="00F970C1">
        <w:trPr>
          <w:trHeight w:val="288"/>
        </w:trPr>
        <w:tc>
          <w:tcPr>
            <w:tcW w:w="682" w:type="pct"/>
            <w:tcBorders>
              <w:top w:val="nil"/>
              <w:left w:val="nil"/>
              <w:bottom w:val="nil"/>
              <w:right w:val="nil"/>
            </w:tcBorders>
            <w:shd w:val="clear" w:color="auto" w:fill="auto"/>
            <w:noWrap/>
            <w:vAlign w:val="center"/>
            <w:hideMark/>
          </w:tcPr>
          <w:p w14:paraId="1028D135"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Kenya</w:t>
            </w:r>
          </w:p>
        </w:tc>
        <w:tc>
          <w:tcPr>
            <w:tcW w:w="863" w:type="pct"/>
            <w:tcBorders>
              <w:top w:val="nil"/>
              <w:left w:val="nil"/>
              <w:bottom w:val="nil"/>
              <w:right w:val="nil"/>
            </w:tcBorders>
            <w:shd w:val="clear" w:color="auto" w:fill="auto"/>
            <w:noWrap/>
            <w:vAlign w:val="center"/>
            <w:hideMark/>
          </w:tcPr>
          <w:p w14:paraId="08EE8538" w14:textId="17C82DCB"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25.4</w:t>
            </w:r>
            <w:r w:rsidR="00A02DAA">
              <w:rPr>
                <w:rFonts w:cs="Times New Roman"/>
                <w:color w:val="000000"/>
                <w:sz w:val="20"/>
                <w:szCs w:val="20"/>
                <w:shd w:val="clear" w:color="auto" w:fill="FFFFFF" w:themeFill="background1"/>
              </w:rPr>
              <w:t>%</w:t>
            </w:r>
          </w:p>
        </w:tc>
        <w:tc>
          <w:tcPr>
            <w:tcW w:w="864" w:type="pct"/>
            <w:tcBorders>
              <w:top w:val="nil"/>
              <w:left w:val="nil"/>
              <w:bottom w:val="nil"/>
              <w:right w:val="nil"/>
            </w:tcBorders>
            <w:shd w:val="clear" w:color="auto" w:fill="auto"/>
            <w:noWrap/>
            <w:vAlign w:val="center"/>
            <w:hideMark/>
          </w:tcPr>
          <w:p w14:paraId="41797A34" w14:textId="759171C6"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26.4</w:t>
            </w:r>
            <w:r w:rsidR="00A02DAA">
              <w:rPr>
                <w:rFonts w:cs="Times New Roman"/>
                <w:color w:val="000000"/>
                <w:sz w:val="20"/>
                <w:szCs w:val="20"/>
                <w:shd w:val="clear" w:color="auto" w:fill="FFFFFF" w:themeFill="background1"/>
              </w:rPr>
              <w:t>%</w:t>
            </w:r>
          </w:p>
        </w:tc>
        <w:tc>
          <w:tcPr>
            <w:tcW w:w="863" w:type="pct"/>
            <w:tcBorders>
              <w:top w:val="nil"/>
              <w:left w:val="nil"/>
              <w:bottom w:val="nil"/>
              <w:right w:val="nil"/>
            </w:tcBorders>
            <w:shd w:val="clear" w:color="auto" w:fill="auto"/>
            <w:noWrap/>
            <w:vAlign w:val="center"/>
            <w:hideMark/>
          </w:tcPr>
          <w:p w14:paraId="6C51F3F4" w14:textId="67C6BF80"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43.8</w:t>
            </w:r>
            <w:r w:rsidR="00A02DAA">
              <w:rPr>
                <w:rFonts w:cs="Times New Roman"/>
                <w:color w:val="000000"/>
                <w:sz w:val="20"/>
                <w:szCs w:val="20"/>
                <w:shd w:val="clear" w:color="auto" w:fill="FFFFFF" w:themeFill="background1"/>
              </w:rPr>
              <w:t>%</w:t>
            </w:r>
          </w:p>
        </w:tc>
        <w:tc>
          <w:tcPr>
            <w:tcW w:w="864" w:type="pct"/>
            <w:tcBorders>
              <w:top w:val="nil"/>
              <w:left w:val="nil"/>
              <w:bottom w:val="nil"/>
              <w:right w:val="nil"/>
            </w:tcBorders>
            <w:shd w:val="clear" w:color="auto" w:fill="auto"/>
            <w:noWrap/>
            <w:vAlign w:val="center"/>
            <w:hideMark/>
          </w:tcPr>
          <w:p w14:paraId="1F08DA65" w14:textId="4EAD7408"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35.9</w:t>
            </w:r>
            <w:r w:rsidR="00A02DAA">
              <w:rPr>
                <w:rFonts w:cs="Times New Roman"/>
                <w:color w:val="000000"/>
                <w:sz w:val="20"/>
                <w:szCs w:val="20"/>
                <w:shd w:val="clear" w:color="auto" w:fill="FFFFFF" w:themeFill="background1"/>
              </w:rPr>
              <w:t>%</w:t>
            </w:r>
          </w:p>
        </w:tc>
        <w:tc>
          <w:tcPr>
            <w:tcW w:w="863" w:type="pct"/>
            <w:tcBorders>
              <w:top w:val="nil"/>
              <w:left w:val="nil"/>
              <w:bottom w:val="nil"/>
              <w:right w:val="nil"/>
            </w:tcBorders>
            <w:shd w:val="clear" w:color="auto" w:fill="auto"/>
            <w:noWrap/>
            <w:vAlign w:val="center"/>
            <w:hideMark/>
          </w:tcPr>
          <w:p w14:paraId="31AF06D2" w14:textId="6F492B46"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39.0</w:t>
            </w:r>
            <w:r w:rsidR="00A02DAA">
              <w:rPr>
                <w:rFonts w:cs="Times New Roman"/>
                <w:color w:val="000000"/>
                <w:sz w:val="20"/>
                <w:szCs w:val="20"/>
                <w:shd w:val="clear" w:color="auto" w:fill="FFFFFF" w:themeFill="background1"/>
              </w:rPr>
              <w:t>%</w:t>
            </w:r>
          </w:p>
        </w:tc>
      </w:tr>
      <w:tr w:rsidR="00F970C1" w:rsidRPr="008029B2" w14:paraId="316E071C" w14:textId="77777777" w:rsidTr="00F970C1">
        <w:trPr>
          <w:trHeight w:val="288"/>
        </w:trPr>
        <w:tc>
          <w:tcPr>
            <w:tcW w:w="682" w:type="pct"/>
            <w:tcBorders>
              <w:top w:val="nil"/>
              <w:left w:val="nil"/>
              <w:bottom w:val="nil"/>
              <w:right w:val="nil"/>
            </w:tcBorders>
            <w:shd w:val="clear" w:color="auto" w:fill="auto"/>
            <w:noWrap/>
            <w:vAlign w:val="center"/>
            <w:hideMark/>
          </w:tcPr>
          <w:p w14:paraId="3F6B439B"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Russia</w:t>
            </w:r>
          </w:p>
        </w:tc>
        <w:tc>
          <w:tcPr>
            <w:tcW w:w="863" w:type="pct"/>
            <w:tcBorders>
              <w:top w:val="nil"/>
              <w:left w:val="nil"/>
              <w:bottom w:val="nil"/>
              <w:right w:val="nil"/>
            </w:tcBorders>
            <w:shd w:val="clear" w:color="auto" w:fill="auto"/>
            <w:noWrap/>
            <w:vAlign w:val="center"/>
            <w:hideMark/>
          </w:tcPr>
          <w:p w14:paraId="110D58CB" w14:textId="650E0A7F"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20.5</w:t>
            </w:r>
            <w:r w:rsidR="00A02DAA">
              <w:rPr>
                <w:rFonts w:cs="Times New Roman"/>
                <w:color w:val="000000"/>
                <w:sz w:val="20"/>
                <w:szCs w:val="20"/>
                <w:shd w:val="clear" w:color="auto" w:fill="FFFFFF" w:themeFill="background1"/>
              </w:rPr>
              <w:t>%</w:t>
            </w:r>
          </w:p>
        </w:tc>
        <w:tc>
          <w:tcPr>
            <w:tcW w:w="864" w:type="pct"/>
            <w:tcBorders>
              <w:top w:val="nil"/>
              <w:left w:val="nil"/>
              <w:bottom w:val="nil"/>
              <w:right w:val="nil"/>
            </w:tcBorders>
            <w:shd w:val="clear" w:color="auto" w:fill="auto"/>
            <w:noWrap/>
            <w:vAlign w:val="center"/>
            <w:hideMark/>
          </w:tcPr>
          <w:p w14:paraId="48142229" w14:textId="66B5A3E5"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16.8</w:t>
            </w:r>
            <w:r w:rsidR="00A02DAA">
              <w:rPr>
                <w:rFonts w:cs="Times New Roman"/>
                <w:color w:val="000000"/>
                <w:sz w:val="20"/>
                <w:szCs w:val="20"/>
                <w:shd w:val="clear" w:color="auto" w:fill="FFFFFF" w:themeFill="background1"/>
              </w:rPr>
              <w:t>%</w:t>
            </w:r>
          </w:p>
        </w:tc>
        <w:tc>
          <w:tcPr>
            <w:tcW w:w="863" w:type="pct"/>
            <w:tcBorders>
              <w:top w:val="nil"/>
              <w:left w:val="nil"/>
              <w:bottom w:val="nil"/>
              <w:right w:val="nil"/>
            </w:tcBorders>
            <w:shd w:val="clear" w:color="auto" w:fill="auto"/>
            <w:noWrap/>
            <w:vAlign w:val="center"/>
            <w:hideMark/>
          </w:tcPr>
          <w:p w14:paraId="476F647F" w14:textId="615D6866"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28.2</w:t>
            </w:r>
            <w:r w:rsidR="00A02DAA">
              <w:rPr>
                <w:rFonts w:cs="Times New Roman"/>
                <w:color w:val="000000"/>
                <w:sz w:val="20"/>
                <w:szCs w:val="20"/>
                <w:shd w:val="clear" w:color="auto" w:fill="FFFFFF" w:themeFill="background1"/>
              </w:rPr>
              <w:t>%</w:t>
            </w:r>
          </w:p>
        </w:tc>
        <w:tc>
          <w:tcPr>
            <w:tcW w:w="864" w:type="pct"/>
            <w:tcBorders>
              <w:top w:val="nil"/>
              <w:left w:val="nil"/>
              <w:bottom w:val="nil"/>
              <w:right w:val="nil"/>
            </w:tcBorders>
            <w:shd w:val="clear" w:color="auto" w:fill="auto"/>
            <w:noWrap/>
            <w:vAlign w:val="center"/>
            <w:hideMark/>
          </w:tcPr>
          <w:p w14:paraId="176F41AB" w14:textId="577AF396"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67.7</w:t>
            </w:r>
            <w:r w:rsidR="00A02DAA">
              <w:rPr>
                <w:rFonts w:cs="Times New Roman"/>
                <w:color w:val="000000"/>
                <w:sz w:val="20"/>
                <w:szCs w:val="20"/>
                <w:shd w:val="clear" w:color="auto" w:fill="FFFFFF" w:themeFill="background1"/>
              </w:rPr>
              <w:t>%</w:t>
            </w:r>
          </w:p>
        </w:tc>
        <w:tc>
          <w:tcPr>
            <w:tcW w:w="863" w:type="pct"/>
            <w:tcBorders>
              <w:top w:val="nil"/>
              <w:left w:val="nil"/>
              <w:bottom w:val="nil"/>
              <w:right w:val="nil"/>
            </w:tcBorders>
            <w:shd w:val="clear" w:color="auto" w:fill="auto"/>
            <w:noWrap/>
            <w:vAlign w:val="center"/>
            <w:hideMark/>
          </w:tcPr>
          <w:p w14:paraId="2236F552"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w:t>
            </w:r>
          </w:p>
        </w:tc>
      </w:tr>
      <w:tr w:rsidR="00F970C1" w:rsidRPr="008029B2" w14:paraId="7C193234" w14:textId="77777777" w:rsidTr="00F970C1">
        <w:trPr>
          <w:trHeight w:val="288"/>
        </w:trPr>
        <w:tc>
          <w:tcPr>
            <w:tcW w:w="682" w:type="pct"/>
            <w:tcBorders>
              <w:top w:val="nil"/>
              <w:left w:val="nil"/>
              <w:bottom w:val="single" w:sz="4" w:space="0" w:color="auto"/>
              <w:right w:val="nil"/>
            </w:tcBorders>
            <w:shd w:val="clear" w:color="auto" w:fill="auto"/>
            <w:noWrap/>
            <w:vAlign w:val="center"/>
            <w:hideMark/>
          </w:tcPr>
          <w:p w14:paraId="6513791D"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Africa</w:t>
            </w:r>
          </w:p>
        </w:tc>
        <w:tc>
          <w:tcPr>
            <w:tcW w:w="863" w:type="pct"/>
            <w:tcBorders>
              <w:top w:val="nil"/>
              <w:left w:val="nil"/>
              <w:bottom w:val="single" w:sz="4" w:space="0" w:color="auto"/>
              <w:right w:val="nil"/>
            </w:tcBorders>
            <w:shd w:val="clear" w:color="auto" w:fill="auto"/>
            <w:noWrap/>
            <w:vAlign w:val="center"/>
            <w:hideMark/>
          </w:tcPr>
          <w:p w14:paraId="371A335D" w14:textId="22DF95DD"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27.2</w:t>
            </w:r>
            <w:r w:rsidR="00A02DAA">
              <w:rPr>
                <w:rFonts w:cs="Times New Roman"/>
                <w:color w:val="000000"/>
                <w:sz w:val="20"/>
                <w:szCs w:val="20"/>
                <w:shd w:val="clear" w:color="auto" w:fill="FFFFFF" w:themeFill="background1"/>
              </w:rPr>
              <w:t>%</w:t>
            </w:r>
          </w:p>
        </w:tc>
        <w:tc>
          <w:tcPr>
            <w:tcW w:w="864" w:type="pct"/>
            <w:tcBorders>
              <w:top w:val="nil"/>
              <w:left w:val="nil"/>
              <w:bottom w:val="single" w:sz="4" w:space="0" w:color="auto"/>
              <w:right w:val="nil"/>
            </w:tcBorders>
            <w:shd w:val="clear" w:color="auto" w:fill="auto"/>
            <w:noWrap/>
            <w:vAlign w:val="center"/>
            <w:hideMark/>
          </w:tcPr>
          <w:p w14:paraId="03314ADC" w14:textId="768506FD"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30.7</w:t>
            </w:r>
            <w:r w:rsidR="00A02DAA">
              <w:rPr>
                <w:rFonts w:cs="Times New Roman"/>
                <w:color w:val="000000"/>
                <w:sz w:val="20"/>
                <w:szCs w:val="20"/>
                <w:shd w:val="clear" w:color="auto" w:fill="FFFFFF" w:themeFill="background1"/>
              </w:rPr>
              <w:t>%</w:t>
            </w:r>
          </w:p>
        </w:tc>
        <w:tc>
          <w:tcPr>
            <w:tcW w:w="863" w:type="pct"/>
            <w:tcBorders>
              <w:top w:val="nil"/>
              <w:left w:val="nil"/>
              <w:bottom w:val="single" w:sz="4" w:space="0" w:color="auto"/>
              <w:right w:val="nil"/>
            </w:tcBorders>
            <w:shd w:val="clear" w:color="auto" w:fill="auto"/>
            <w:noWrap/>
            <w:vAlign w:val="center"/>
            <w:hideMark/>
          </w:tcPr>
          <w:p w14:paraId="151185C2" w14:textId="686A119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46.5</w:t>
            </w:r>
            <w:r w:rsidR="00A02DAA">
              <w:rPr>
                <w:rFonts w:cs="Times New Roman"/>
                <w:color w:val="000000"/>
                <w:sz w:val="20"/>
                <w:szCs w:val="20"/>
                <w:shd w:val="clear" w:color="auto" w:fill="FFFFFF" w:themeFill="background1"/>
              </w:rPr>
              <w:t>%</w:t>
            </w:r>
          </w:p>
        </w:tc>
        <w:tc>
          <w:tcPr>
            <w:tcW w:w="864" w:type="pct"/>
            <w:tcBorders>
              <w:top w:val="nil"/>
              <w:left w:val="nil"/>
              <w:bottom w:val="single" w:sz="4" w:space="0" w:color="auto"/>
              <w:right w:val="nil"/>
            </w:tcBorders>
            <w:shd w:val="clear" w:color="auto" w:fill="auto"/>
            <w:noWrap/>
            <w:vAlign w:val="center"/>
            <w:hideMark/>
          </w:tcPr>
          <w:p w14:paraId="5C4520EB" w14:textId="4831CD75"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40.6</w:t>
            </w:r>
            <w:r w:rsidR="00A02DAA">
              <w:rPr>
                <w:rFonts w:cs="Times New Roman"/>
                <w:color w:val="000000"/>
                <w:sz w:val="20"/>
                <w:szCs w:val="20"/>
                <w:shd w:val="clear" w:color="auto" w:fill="FFFFFF" w:themeFill="background1"/>
              </w:rPr>
              <w:t>%</w:t>
            </w:r>
          </w:p>
        </w:tc>
        <w:tc>
          <w:tcPr>
            <w:tcW w:w="863" w:type="pct"/>
            <w:tcBorders>
              <w:top w:val="nil"/>
              <w:left w:val="nil"/>
              <w:bottom w:val="single" w:sz="4" w:space="0" w:color="auto"/>
              <w:right w:val="nil"/>
            </w:tcBorders>
            <w:shd w:val="clear" w:color="auto" w:fill="auto"/>
            <w:noWrap/>
            <w:vAlign w:val="center"/>
            <w:hideMark/>
          </w:tcPr>
          <w:p w14:paraId="630CC61D" w14:textId="39A3E828"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46.1</w:t>
            </w:r>
            <w:r w:rsidR="00A02DAA">
              <w:rPr>
                <w:rFonts w:cs="Times New Roman"/>
                <w:color w:val="000000"/>
                <w:sz w:val="20"/>
                <w:szCs w:val="20"/>
                <w:shd w:val="clear" w:color="auto" w:fill="FFFFFF" w:themeFill="background1"/>
              </w:rPr>
              <w:t>%</w:t>
            </w:r>
          </w:p>
        </w:tc>
      </w:tr>
    </w:tbl>
    <w:p w14:paraId="6DA7F5C4" w14:textId="600E1A86" w:rsidR="00F970C1" w:rsidRPr="008029B2" w:rsidRDefault="00F970C1" w:rsidP="00D727BF">
      <w:pPr>
        <w:tabs>
          <w:tab w:val="left" w:pos="720"/>
        </w:tabs>
        <w:spacing w:after="160" w:line="259" w:lineRule="auto"/>
        <w:rPr>
          <w:rFonts w:eastAsia="Calibri" w:cs="Times New Roman"/>
          <w:sz w:val="18"/>
          <w:szCs w:val="18"/>
          <w:shd w:val="clear" w:color="auto" w:fill="FFFFFF" w:themeFill="background1"/>
        </w:rPr>
      </w:pPr>
      <w:r w:rsidRPr="008029B2">
        <w:rPr>
          <w:rFonts w:eastAsia="Calibri" w:cs="Times New Roman"/>
          <w:sz w:val="18"/>
          <w:szCs w:val="18"/>
          <w:shd w:val="clear" w:color="auto" w:fill="FFFFFF" w:themeFill="background1"/>
        </w:rPr>
        <w:t>Source:</w:t>
      </w:r>
      <w:r w:rsidR="00F428F9" w:rsidRPr="008029B2">
        <w:rPr>
          <w:rFonts w:eastAsia="Calibri" w:cs="Times New Roman"/>
          <w:sz w:val="18"/>
          <w:szCs w:val="18"/>
          <w:shd w:val="clear" w:color="auto" w:fill="FFFFFF" w:themeFill="background1"/>
        </w:rPr>
        <w:t xml:space="preserve"> </w:t>
      </w:r>
      <w:r w:rsidRPr="008029B2">
        <w:rPr>
          <w:rFonts w:eastAsia="Calibri" w:cs="Times New Roman"/>
          <w:sz w:val="18"/>
          <w:szCs w:val="18"/>
          <w:shd w:val="clear" w:color="auto" w:fill="FFFFFF" w:themeFill="background1"/>
        </w:rPr>
        <w:t>Authors</w:t>
      </w:r>
      <w:r w:rsidR="00863D16">
        <w:rPr>
          <w:rFonts w:eastAsia="Calibri" w:cs="Times New Roman"/>
          <w:sz w:val="18"/>
          <w:szCs w:val="18"/>
          <w:shd w:val="clear" w:color="auto" w:fill="FFFFFF" w:themeFill="background1"/>
        </w:rPr>
        <w:t>’</w:t>
      </w:r>
      <w:r w:rsidR="009A13C5" w:rsidRPr="008029B2">
        <w:rPr>
          <w:rFonts w:eastAsia="Calibri" w:cs="Times New Roman"/>
          <w:sz w:val="18"/>
          <w:szCs w:val="18"/>
          <w:shd w:val="clear" w:color="auto" w:fill="FFFFFF" w:themeFill="background1"/>
        </w:rPr>
        <w:t xml:space="preserve"> calculations based on E</w:t>
      </w:r>
      <w:r w:rsidRPr="008029B2">
        <w:rPr>
          <w:rFonts w:eastAsia="Calibri" w:cs="Times New Roman"/>
          <w:sz w:val="18"/>
          <w:szCs w:val="18"/>
          <w:shd w:val="clear" w:color="auto" w:fill="FFFFFF" w:themeFill="background1"/>
        </w:rPr>
        <w:t>nterprise Survey</w:t>
      </w:r>
      <w:r w:rsidR="009A13C5" w:rsidRPr="008029B2">
        <w:rPr>
          <w:rFonts w:eastAsia="Calibri" w:cs="Times New Roman"/>
          <w:sz w:val="18"/>
          <w:szCs w:val="18"/>
          <w:shd w:val="clear" w:color="auto" w:fill="FFFFFF" w:themeFill="background1"/>
        </w:rPr>
        <w:t xml:space="preserve"> 2014</w:t>
      </w:r>
      <w:r w:rsidR="0086505E">
        <w:rPr>
          <w:rFonts w:ascii="Calibri" w:eastAsia="Calibri" w:hAnsi="Calibri" w:cs="Times New Roman"/>
          <w:sz w:val="18"/>
          <w:szCs w:val="18"/>
          <w:shd w:val="clear" w:color="auto" w:fill="FFFFFF" w:themeFill="background1"/>
        </w:rPr>
        <w:t>‒</w:t>
      </w:r>
      <w:r w:rsidR="009A13C5" w:rsidRPr="008029B2">
        <w:rPr>
          <w:rFonts w:eastAsia="Calibri" w:cs="Times New Roman"/>
          <w:sz w:val="18"/>
          <w:szCs w:val="18"/>
          <w:shd w:val="clear" w:color="auto" w:fill="FFFFFF" w:themeFill="background1"/>
        </w:rPr>
        <w:t>15</w:t>
      </w:r>
      <w:r w:rsidRPr="008029B2">
        <w:rPr>
          <w:rFonts w:eastAsia="Calibri" w:cs="Times New Roman"/>
          <w:sz w:val="18"/>
          <w:szCs w:val="18"/>
          <w:shd w:val="clear" w:color="auto" w:fill="FFFFFF" w:themeFill="background1"/>
        </w:rPr>
        <w:t>.</w:t>
      </w:r>
      <w:r w:rsidR="00F428F9" w:rsidRPr="008029B2">
        <w:rPr>
          <w:rFonts w:eastAsia="Calibri" w:cs="Times New Roman"/>
          <w:sz w:val="18"/>
          <w:szCs w:val="18"/>
          <w:shd w:val="clear" w:color="auto" w:fill="FFFFFF" w:themeFill="background1"/>
        </w:rPr>
        <w:t xml:space="preserve"> </w:t>
      </w:r>
      <w:r w:rsidRPr="008029B2">
        <w:rPr>
          <w:rFonts w:eastAsia="Calibri" w:cs="Times New Roman"/>
          <w:sz w:val="18"/>
          <w:szCs w:val="18"/>
          <w:shd w:val="clear" w:color="auto" w:fill="FFFFFF" w:themeFill="background1"/>
        </w:rPr>
        <w:t>No information was available for Russia on marketing innovation</w:t>
      </w:r>
      <w:r w:rsidR="009A13C5" w:rsidRPr="008029B2">
        <w:rPr>
          <w:rFonts w:eastAsia="Calibri" w:cs="Times New Roman"/>
          <w:sz w:val="18"/>
          <w:szCs w:val="18"/>
          <w:shd w:val="clear" w:color="auto" w:fill="FFFFFF" w:themeFill="background1"/>
        </w:rPr>
        <w:t>.</w:t>
      </w:r>
    </w:p>
    <w:p w14:paraId="24086DCF" w14:textId="1ECF7633" w:rsidR="000242B5" w:rsidRPr="008029B2" w:rsidRDefault="00F060B0" w:rsidP="00D727BF">
      <w:pPr>
        <w:pStyle w:val="ParagraphNumbering"/>
        <w:numPr>
          <w:ilvl w:val="0"/>
          <w:numId w:val="0"/>
        </w:numPr>
        <w:tabs>
          <w:tab w:val="left" w:pos="720"/>
        </w:tabs>
        <w:spacing w:after="240"/>
        <w:rPr>
          <w:rFonts w:ascii="Trebuchet MS" w:eastAsia="Calibri" w:hAnsi="Trebuchet MS"/>
          <w:b/>
          <w:color w:val="0B73B6" w:themeColor="background2" w:themeShade="BF"/>
          <w:sz w:val="20"/>
          <w:szCs w:val="18"/>
          <w:shd w:val="clear" w:color="auto" w:fill="FFFFFF" w:themeFill="background1"/>
        </w:rPr>
      </w:pPr>
      <w:r>
        <w:rPr>
          <w:rFonts w:eastAsia="Calibri"/>
          <w:b/>
          <w:shd w:val="clear" w:color="auto" w:fill="FFFFFF" w:themeFill="background1"/>
        </w:rPr>
        <w:lastRenderedPageBreak/>
        <w:tab/>
      </w:r>
      <w:r w:rsidR="00D02A8A" w:rsidRPr="008029B2">
        <w:rPr>
          <w:rFonts w:eastAsia="Calibri"/>
          <w:b/>
          <w:shd w:val="clear" w:color="auto" w:fill="FFFFFF" w:themeFill="background1"/>
        </w:rPr>
        <w:t>M</w:t>
      </w:r>
      <w:r w:rsidR="00F970C1" w:rsidRPr="008029B2">
        <w:rPr>
          <w:rFonts w:eastAsia="Calibri"/>
          <w:b/>
          <w:shd w:val="clear" w:color="auto" w:fill="FFFFFF" w:themeFill="background1"/>
        </w:rPr>
        <w:t xml:space="preserve">ost product innovations are new </w:t>
      </w:r>
      <w:r w:rsidR="000242B5" w:rsidRPr="008029B2">
        <w:rPr>
          <w:rFonts w:eastAsia="Calibri"/>
          <w:b/>
          <w:shd w:val="clear" w:color="auto" w:fill="FFFFFF" w:themeFill="background1"/>
        </w:rPr>
        <w:t xml:space="preserve">only </w:t>
      </w:r>
      <w:r w:rsidR="00F970C1" w:rsidRPr="008029B2">
        <w:rPr>
          <w:rFonts w:eastAsia="Calibri"/>
          <w:b/>
          <w:shd w:val="clear" w:color="auto" w:fill="FFFFFF" w:themeFill="background1"/>
        </w:rPr>
        <w:t xml:space="preserve">to the </w:t>
      </w:r>
      <w:r w:rsidR="00293526" w:rsidRPr="008029B2">
        <w:rPr>
          <w:rFonts w:eastAsia="Calibri"/>
          <w:b/>
          <w:shd w:val="clear" w:color="auto" w:fill="FFFFFF" w:themeFill="background1"/>
        </w:rPr>
        <w:t xml:space="preserve">individual </w:t>
      </w:r>
      <w:r w:rsidR="00F970C1" w:rsidRPr="008029B2">
        <w:rPr>
          <w:rFonts w:eastAsia="Calibri"/>
          <w:b/>
          <w:shd w:val="clear" w:color="auto" w:fill="FFFFFF" w:themeFill="background1"/>
        </w:rPr>
        <w:t>firm</w:t>
      </w:r>
      <w:r w:rsidR="00F970C1" w:rsidRPr="008029B2">
        <w:rPr>
          <w:rFonts w:eastAsia="Calibri"/>
          <w:shd w:val="clear" w:color="auto" w:fill="FFFFFF" w:themeFill="background1"/>
        </w:rPr>
        <w:t xml:space="preserve">. Only </w:t>
      </w:r>
      <w:r w:rsidR="00A36B89">
        <w:rPr>
          <w:rFonts w:eastAsia="Calibri"/>
          <w:shd w:val="clear" w:color="auto" w:fill="FFFFFF" w:themeFill="background1"/>
        </w:rPr>
        <w:t>5</w:t>
      </w:r>
      <w:r w:rsidR="00A36B89" w:rsidRPr="008029B2">
        <w:rPr>
          <w:rFonts w:eastAsia="Calibri"/>
          <w:shd w:val="clear" w:color="auto" w:fill="FFFFFF" w:themeFill="background1"/>
        </w:rPr>
        <w:t xml:space="preserve"> </w:t>
      </w:r>
      <w:r w:rsidR="00F970C1" w:rsidRPr="008029B2">
        <w:rPr>
          <w:rFonts w:eastAsia="Calibri"/>
          <w:shd w:val="clear" w:color="auto" w:fill="FFFFFF" w:themeFill="background1"/>
        </w:rPr>
        <w:t>percent of all firms introduce</w:t>
      </w:r>
      <w:r w:rsidR="000242B5" w:rsidRPr="008029B2">
        <w:rPr>
          <w:rFonts w:eastAsia="Calibri"/>
          <w:shd w:val="clear" w:color="auto" w:fill="FFFFFF" w:themeFill="background1"/>
        </w:rPr>
        <w:t>d</w:t>
      </w:r>
      <w:r w:rsidR="00F970C1" w:rsidRPr="008029B2">
        <w:rPr>
          <w:rFonts w:eastAsia="Calibri"/>
          <w:shd w:val="clear" w:color="auto" w:fill="FFFFFF" w:themeFill="background1"/>
        </w:rPr>
        <w:t xml:space="preserve"> product innovations that are new to the local market</w:t>
      </w:r>
      <w:r w:rsidR="00A36B89">
        <w:rPr>
          <w:rFonts w:eastAsia="Calibri"/>
          <w:shd w:val="clear" w:color="auto" w:fill="FFFFFF" w:themeFill="background1"/>
        </w:rPr>
        <w:t>,</w:t>
      </w:r>
      <w:r w:rsidR="000242B5" w:rsidRPr="008029B2">
        <w:rPr>
          <w:rFonts w:eastAsia="Calibri"/>
          <w:shd w:val="clear" w:color="auto" w:fill="FFFFFF" w:themeFill="background1"/>
        </w:rPr>
        <w:t xml:space="preserve"> only </w:t>
      </w:r>
      <w:r w:rsidR="00A36B89">
        <w:rPr>
          <w:rFonts w:eastAsia="Calibri"/>
          <w:shd w:val="clear" w:color="auto" w:fill="FFFFFF" w:themeFill="background1"/>
        </w:rPr>
        <w:t>2</w:t>
      </w:r>
      <w:r w:rsidR="00A36B89" w:rsidRPr="008029B2">
        <w:rPr>
          <w:rFonts w:eastAsia="Calibri"/>
          <w:shd w:val="clear" w:color="auto" w:fill="FFFFFF" w:themeFill="background1"/>
        </w:rPr>
        <w:t xml:space="preserve"> </w:t>
      </w:r>
      <w:r w:rsidR="000242B5" w:rsidRPr="008029B2">
        <w:rPr>
          <w:rFonts w:eastAsia="Calibri"/>
          <w:shd w:val="clear" w:color="auto" w:fill="FFFFFF" w:themeFill="background1"/>
        </w:rPr>
        <w:t>percent introduced product innovations new to the national market, and no Nigeria</w:t>
      </w:r>
      <w:r w:rsidR="00A36B89">
        <w:rPr>
          <w:rFonts w:eastAsia="Calibri"/>
          <w:shd w:val="clear" w:color="auto" w:fill="FFFFFF" w:themeFill="background1"/>
        </w:rPr>
        <w:t>n</w:t>
      </w:r>
      <w:r w:rsidR="000242B5" w:rsidRPr="008029B2">
        <w:rPr>
          <w:rFonts w:eastAsia="Calibri"/>
          <w:shd w:val="clear" w:color="auto" w:fill="FFFFFF" w:themeFill="background1"/>
        </w:rPr>
        <w:t xml:space="preserve"> firm introduced an innovation that was new to the international market. </w:t>
      </w:r>
      <w:r w:rsidR="00F970C1" w:rsidRPr="008029B2">
        <w:rPr>
          <w:rFonts w:eastAsia="Calibri"/>
          <w:shd w:val="clear" w:color="auto" w:fill="FFFFFF" w:themeFill="background1"/>
        </w:rPr>
        <w:t>Despite this very incremental innovation pattern, revenues from innovations are relatively high; around 25 percent of total revenue</w:t>
      </w:r>
      <w:r w:rsidR="000242B5" w:rsidRPr="008029B2">
        <w:rPr>
          <w:rFonts w:eastAsia="Calibri"/>
          <w:shd w:val="clear" w:color="auto" w:fill="FFFFFF" w:themeFill="background1"/>
        </w:rPr>
        <w:t>s for innovating firms</w:t>
      </w:r>
      <w:r w:rsidR="00F970C1" w:rsidRPr="008029B2">
        <w:rPr>
          <w:rFonts w:eastAsia="Calibri"/>
          <w:shd w:val="clear" w:color="auto" w:fill="FFFFFF" w:themeFill="background1"/>
        </w:rPr>
        <w:t xml:space="preserve"> come from these new products</w:t>
      </w:r>
      <w:r w:rsidR="000242B5" w:rsidRPr="008029B2">
        <w:rPr>
          <w:rFonts w:eastAsia="Calibri"/>
          <w:shd w:val="clear" w:color="auto" w:fill="FFFFFF" w:themeFill="background1"/>
        </w:rPr>
        <w:t xml:space="preserve"> (</w:t>
      </w:r>
      <w:r w:rsidR="00D02A8A" w:rsidRPr="008029B2">
        <w:rPr>
          <w:rFonts w:eastAsia="Calibri"/>
          <w:shd w:val="clear" w:color="auto" w:fill="FFFFFF" w:themeFill="background1"/>
        </w:rPr>
        <w:fldChar w:fldCharType="begin"/>
      </w:r>
      <w:r w:rsidR="00D02A8A" w:rsidRPr="008029B2">
        <w:rPr>
          <w:rFonts w:eastAsia="Calibri"/>
          <w:shd w:val="clear" w:color="auto" w:fill="FFFFFF" w:themeFill="background1"/>
        </w:rPr>
        <w:instrText xml:space="preserve"> REF _Ref419365587 \h </w:instrText>
      </w:r>
      <w:r w:rsidR="00D02A8A" w:rsidRPr="008029B2">
        <w:rPr>
          <w:rFonts w:eastAsia="Calibri"/>
          <w:shd w:val="clear" w:color="auto" w:fill="FFFFFF" w:themeFill="background1"/>
        </w:rPr>
      </w:r>
      <w:r w:rsidR="00D02A8A" w:rsidRPr="008029B2">
        <w:rPr>
          <w:rFonts w:eastAsia="Calibri"/>
          <w:shd w:val="clear" w:color="auto" w:fill="FFFFFF" w:themeFill="background1"/>
        </w:rPr>
        <w:fldChar w:fldCharType="separate"/>
      </w:r>
      <w:r w:rsidR="00A36B89">
        <w:rPr>
          <w:shd w:val="clear" w:color="auto" w:fill="FFFFFF" w:themeFill="background1"/>
        </w:rPr>
        <w:t>f</w:t>
      </w:r>
      <w:r w:rsidR="008A3BBD" w:rsidRPr="008029B2">
        <w:rPr>
          <w:shd w:val="clear" w:color="auto" w:fill="FFFFFF" w:themeFill="background1"/>
        </w:rPr>
        <w:t xml:space="preserve">igure </w:t>
      </w:r>
      <w:r w:rsidR="008A3BBD">
        <w:rPr>
          <w:noProof/>
          <w:shd w:val="clear" w:color="auto" w:fill="FFFFFF" w:themeFill="background1"/>
        </w:rPr>
        <w:t>58</w:t>
      </w:r>
      <w:r w:rsidR="00D02A8A" w:rsidRPr="008029B2">
        <w:rPr>
          <w:rFonts w:eastAsia="Calibri"/>
          <w:shd w:val="clear" w:color="auto" w:fill="FFFFFF" w:themeFill="background1"/>
        </w:rPr>
        <w:fldChar w:fldCharType="end"/>
      </w:r>
      <w:r w:rsidR="000242B5" w:rsidRPr="008029B2">
        <w:rPr>
          <w:rFonts w:eastAsia="Calibri"/>
          <w:shd w:val="clear" w:color="auto" w:fill="FFFFFF" w:themeFill="background1"/>
        </w:rPr>
        <w:t>).</w:t>
      </w:r>
    </w:p>
    <w:p w14:paraId="770C26A8" w14:textId="5AEBA052" w:rsidR="00F970C1" w:rsidRPr="008029B2" w:rsidRDefault="00F970C1" w:rsidP="00D727BF">
      <w:pPr>
        <w:pStyle w:val="Caption"/>
        <w:tabs>
          <w:tab w:val="left" w:pos="720"/>
        </w:tabs>
        <w:jc w:val="center"/>
        <w:rPr>
          <w:shd w:val="clear" w:color="auto" w:fill="FFFFFF" w:themeFill="background1"/>
        </w:rPr>
      </w:pPr>
      <w:bookmarkStart w:id="299" w:name="_Ref419365587"/>
      <w:bookmarkStart w:id="300" w:name="_Toc445449676"/>
      <w:r w:rsidRPr="008029B2">
        <w:rPr>
          <w:shd w:val="clear" w:color="auto" w:fill="FFFFFF" w:themeFill="background1"/>
        </w:rPr>
        <w:t xml:space="preserve">Figure </w:t>
      </w:r>
      <w:r w:rsidR="00D92B55" w:rsidRPr="008029B2">
        <w:rPr>
          <w:shd w:val="clear" w:color="auto" w:fill="FFFFFF" w:themeFill="background1"/>
        </w:rPr>
        <w:fldChar w:fldCharType="begin"/>
      </w:r>
      <w:r w:rsidR="00D92B55" w:rsidRPr="008029B2">
        <w:rPr>
          <w:shd w:val="clear" w:color="auto" w:fill="FFFFFF" w:themeFill="background1"/>
        </w:rPr>
        <w:instrText xml:space="preserve"> SEQ Figure \* ARABIC </w:instrText>
      </w:r>
      <w:r w:rsidR="00D92B55" w:rsidRPr="008029B2">
        <w:rPr>
          <w:shd w:val="clear" w:color="auto" w:fill="FFFFFF" w:themeFill="background1"/>
        </w:rPr>
        <w:fldChar w:fldCharType="separate"/>
      </w:r>
      <w:r w:rsidR="008A3BBD">
        <w:rPr>
          <w:noProof/>
          <w:shd w:val="clear" w:color="auto" w:fill="FFFFFF" w:themeFill="background1"/>
        </w:rPr>
        <w:t>58</w:t>
      </w:r>
      <w:r w:rsidR="00D92B55" w:rsidRPr="008029B2">
        <w:rPr>
          <w:shd w:val="clear" w:color="auto" w:fill="FFFFFF" w:themeFill="background1"/>
        </w:rPr>
        <w:fldChar w:fldCharType="end"/>
      </w:r>
      <w:bookmarkEnd w:id="299"/>
      <w:r w:rsidRPr="008029B2">
        <w:rPr>
          <w:shd w:val="clear" w:color="auto" w:fill="FFFFFF" w:themeFill="background1"/>
        </w:rPr>
        <w:t xml:space="preserve">: Level of </w:t>
      </w:r>
      <w:r w:rsidR="00B34704" w:rsidRPr="008029B2">
        <w:rPr>
          <w:shd w:val="clear" w:color="auto" w:fill="FFFFFF" w:themeFill="background1"/>
        </w:rPr>
        <w:t>P</w:t>
      </w:r>
      <w:r w:rsidRPr="008029B2">
        <w:rPr>
          <w:shd w:val="clear" w:color="auto" w:fill="FFFFFF" w:themeFill="background1"/>
        </w:rPr>
        <w:t xml:space="preserve">roduct </w:t>
      </w:r>
      <w:r w:rsidR="00B34704" w:rsidRPr="008029B2">
        <w:rPr>
          <w:shd w:val="clear" w:color="auto" w:fill="FFFFFF" w:themeFill="background1"/>
        </w:rPr>
        <w:t>I</w:t>
      </w:r>
      <w:r w:rsidRPr="008029B2">
        <w:rPr>
          <w:shd w:val="clear" w:color="auto" w:fill="FFFFFF" w:themeFill="background1"/>
        </w:rPr>
        <w:t>nnovativeness in Nigeria</w:t>
      </w:r>
      <w:r w:rsidR="006C063E" w:rsidRPr="008029B2">
        <w:rPr>
          <w:shd w:val="clear" w:color="auto" w:fill="FFFFFF" w:themeFill="background1"/>
        </w:rPr>
        <w:t xml:space="preserve"> (</w:t>
      </w:r>
      <w:r w:rsidR="008023A1">
        <w:rPr>
          <w:shd w:val="clear" w:color="auto" w:fill="FFFFFF" w:themeFill="background1"/>
        </w:rPr>
        <w:t>P</w:t>
      </w:r>
      <w:r w:rsidRPr="008029B2">
        <w:rPr>
          <w:shd w:val="clear" w:color="auto" w:fill="FFFFFF" w:themeFill="background1"/>
        </w:rPr>
        <w:t xml:space="preserve">ercentage of </w:t>
      </w:r>
      <w:r w:rsidR="008023A1">
        <w:rPr>
          <w:shd w:val="clear" w:color="auto" w:fill="FFFFFF" w:themeFill="background1"/>
        </w:rPr>
        <w:t>A</w:t>
      </w:r>
      <w:r w:rsidRPr="008029B2">
        <w:rPr>
          <w:shd w:val="clear" w:color="auto" w:fill="FFFFFF" w:themeFill="background1"/>
        </w:rPr>
        <w:t xml:space="preserve">ll </w:t>
      </w:r>
      <w:r w:rsidR="008023A1">
        <w:rPr>
          <w:shd w:val="clear" w:color="auto" w:fill="FFFFFF" w:themeFill="background1"/>
        </w:rPr>
        <w:t>F</w:t>
      </w:r>
      <w:r w:rsidRPr="008029B2">
        <w:rPr>
          <w:shd w:val="clear" w:color="auto" w:fill="FFFFFF" w:themeFill="background1"/>
        </w:rPr>
        <w:t>irms</w:t>
      </w:r>
      <w:r w:rsidR="006C063E" w:rsidRPr="008029B2">
        <w:rPr>
          <w:shd w:val="clear" w:color="auto" w:fill="FFFFFF" w:themeFill="background1"/>
        </w:rPr>
        <w:t>)</w:t>
      </w:r>
      <w:bookmarkEnd w:id="300"/>
    </w:p>
    <w:p w14:paraId="2833F039" w14:textId="77777777" w:rsidR="00F970C1" w:rsidRPr="008029B2" w:rsidRDefault="00F970C1" w:rsidP="00D727BF">
      <w:pPr>
        <w:pStyle w:val="Graph"/>
        <w:tabs>
          <w:tab w:val="left" w:pos="720"/>
        </w:tabs>
        <w:spacing w:before="0"/>
        <w:rPr>
          <w:shd w:val="clear" w:color="auto" w:fill="FFFFFF" w:themeFill="background1"/>
        </w:rPr>
      </w:pPr>
      <w:r w:rsidRPr="008029B2">
        <w:rPr>
          <w:noProof/>
          <w:shd w:val="clear" w:color="auto" w:fill="FFFFFF" w:themeFill="background1"/>
        </w:rPr>
        <w:drawing>
          <wp:inline distT="0" distB="0" distL="0" distR="0" wp14:anchorId="475C17AA" wp14:editId="3304A947">
            <wp:extent cx="5734050" cy="18288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B93717A" w14:textId="698D4725" w:rsidR="00F970C1" w:rsidRPr="008029B2" w:rsidRDefault="00F970C1" w:rsidP="00D727BF">
      <w:pPr>
        <w:tabs>
          <w:tab w:val="left" w:pos="720"/>
        </w:tabs>
        <w:spacing w:after="0"/>
        <w:rPr>
          <w:sz w:val="18"/>
          <w:szCs w:val="18"/>
          <w:shd w:val="clear" w:color="auto" w:fill="FFFFFF" w:themeFill="background1"/>
        </w:rPr>
      </w:pPr>
      <w:r w:rsidRPr="008029B2">
        <w:rPr>
          <w:sz w:val="18"/>
          <w:szCs w:val="18"/>
          <w:shd w:val="clear" w:color="auto" w:fill="FFFFFF" w:themeFill="background1"/>
        </w:rPr>
        <w:t>Source: Author</w:t>
      </w:r>
      <w:r w:rsidR="00863D16">
        <w:rPr>
          <w:sz w:val="18"/>
          <w:szCs w:val="18"/>
          <w:shd w:val="clear" w:color="auto" w:fill="FFFFFF" w:themeFill="background1"/>
        </w:rPr>
        <w:t>’</w:t>
      </w:r>
      <w:r w:rsidRPr="008029B2">
        <w:rPr>
          <w:sz w:val="18"/>
          <w:szCs w:val="18"/>
          <w:shd w:val="clear" w:color="auto" w:fill="FFFFFF" w:themeFill="background1"/>
        </w:rPr>
        <w:t xml:space="preserve">s calculation based on </w:t>
      </w:r>
      <w:r w:rsidR="006C063E" w:rsidRPr="008029B2">
        <w:rPr>
          <w:sz w:val="18"/>
          <w:szCs w:val="18"/>
          <w:shd w:val="clear" w:color="auto" w:fill="FFFFFF" w:themeFill="background1"/>
        </w:rPr>
        <w:t xml:space="preserve">Enterprise Survey </w:t>
      </w:r>
      <w:r w:rsidRPr="008029B2">
        <w:rPr>
          <w:sz w:val="18"/>
          <w:szCs w:val="18"/>
          <w:shd w:val="clear" w:color="auto" w:fill="FFFFFF" w:themeFill="background1"/>
        </w:rPr>
        <w:t>2014</w:t>
      </w:r>
      <w:r w:rsidR="00A36B89">
        <w:rPr>
          <w:rFonts w:ascii="Calibri" w:hAnsi="Calibri"/>
          <w:sz w:val="18"/>
          <w:szCs w:val="18"/>
          <w:shd w:val="clear" w:color="auto" w:fill="FFFFFF" w:themeFill="background1"/>
        </w:rPr>
        <w:t>‒</w:t>
      </w:r>
      <w:r w:rsidRPr="008029B2">
        <w:rPr>
          <w:sz w:val="18"/>
          <w:szCs w:val="18"/>
          <w:shd w:val="clear" w:color="auto" w:fill="FFFFFF" w:themeFill="background1"/>
        </w:rPr>
        <w:t>15</w:t>
      </w:r>
    </w:p>
    <w:p w14:paraId="12754D0F" w14:textId="5657BB12" w:rsidR="00F970C1" w:rsidRPr="008029B2" w:rsidRDefault="00F060B0" w:rsidP="00D727BF">
      <w:pPr>
        <w:pStyle w:val="ParagraphNumbering"/>
        <w:numPr>
          <w:ilvl w:val="0"/>
          <w:numId w:val="0"/>
        </w:numPr>
        <w:tabs>
          <w:tab w:val="left" w:pos="720"/>
        </w:tabs>
        <w:spacing w:before="240" w:after="240"/>
        <w:rPr>
          <w:rFonts w:eastAsia="Calibri"/>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Regarding process innovation, firms seem to introduce different types of process</w:t>
      </w:r>
      <w:r w:rsidR="006C063E" w:rsidRPr="008029B2">
        <w:rPr>
          <w:rFonts w:eastAsia="Calibri"/>
          <w:b/>
          <w:shd w:val="clear" w:color="auto" w:fill="FFFFFF" w:themeFill="background1"/>
        </w:rPr>
        <w:t>,</w:t>
      </w:r>
      <w:r w:rsidR="00F970C1" w:rsidRPr="008029B2">
        <w:rPr>
          <w:rFonts w:eastAsia="Calibri"/>
          <w:shd w:val="clear" w:color="auto" w:fill="FFFFFF" w:themeFill="background1"/>
        </w:rPr>
        <w:t xml:space="preserve"> as shown in </w:t>
      </w:r>
      <w:r w:rsidR="00F970C1" w:rsidRPr="008029B2">
        <w:rPr>
          <w:rFonts w:eastAsia="Calibri"/>
          <w:shd w:val="clear" w:color="auto" w:fill="FFFFFF" w:themeFill="background1"/>
        </w:rPr>
        <w:fldChar w:fldCharType="begin"/>
      </w:r>
      <w:r w:rsidR="00F970C1" w:rsidRPr="008029B2">
        <w:rPr>
          <w:rFonts w:eastAsia="Calibri"/>
          <w:shd w:val="clear" w:color="auto" w:fill="FFFFFF" w:themeFill="background1"/>
        </w:rPr>
        <w:instrText xml:space="preserve"> REF _Ref429337577 \h </w:instrText>
      </w:r>
      <w:r w:rsidR="00F970C1" w:rsidRPr="008029B2">
        <w:rPr>
          <w:rFonts w:eastAsia="Calibri"/>
          <w:shd w:val="clear" w:color="auto" w:fill="FFFFFF" w:themeFill="background1"/>
        </w:rPr>
      </w:r>
      <w:r w:rsidR="00F970C1" w:rsidRPr="008029B2">
        <w:rPr>
          <w:rFonts w:eastAsia="Calibri"/>
          <w:shd w:val="clear" w:color="auto" w:fill="FFFFFF" w:themeFill="background1"/>
        </w:rPr>
        <w:fldChar w:fldCharType="separate"/>
      </w:r>
      <w:r w:rsidR="00F228CE">
        <w:rPr>
          <w:shd w:val="clear" w:color="auto" w:fill="FFFFFF" w:themeFill="background1"/>
        </w:rPr>
        <w:t>f</w:t>
      </w:r>
      <w:r w:rsidR="008A3BBD" w:rsidRPr="008029B2">
        <w:rPr>
          <w:shd w:val="clear" w:color="auto" w:fill="FFFFFF" w:themeFill="background1"/>
        </w:rPr>
        <w:t xml:space="preserve">igure </w:t>
      </w:r>
      <w:r w:rsidR="008A3BBD">
        <w:rPr>
          <w:noProof/>
          <w:shd w:val="clear" w:color="auto" w:fill="FFFFFF" w:themeFill="background1"/>
        </w:rPr>
        <w:t>59</w:t>
      </w:r>
      <w:r w:rsidR="00F970C1" w:rsidRPr="008029B2">
        <w:rPr>
          <w:rFonts w:eastAsia="Calibri"/>
          <w:shd w:val="clear" w:color="auto" w:fill="FFFFFF" w:themeFill="background1"/>
        </w:rPr>
        <w:fldChar w:fldCharType="end"/>
      </w:r>
      <w:r w:rsidR="00F970C1" w:rsidRPr="008029B2">
        <w:rPr>
          <w:rFonts w:eastAsia="Calibri"/>
          <w:shd w:val="clear" w:color="auto" w:fill="FFFFFF" w:themeFill="background1"/>
        </w:rPr>
        <w:t>. The main type of process innovation is related to innovation in logistics (24 percent of firms). The second type of innovation is new methods for production or offering services (2</w:t>
      </w:r>
      <w:r w:rsidR="004A779B" w:rsidRPr="008029B2">
        <w:rPr>
          <w:rFonts w:eastAsia="Calibri"/>
          <w:shd w:val="clear" w:color="auto" w:fill="FFFFFF" w:themeFill="background1"/>
        </w:rPr>
        <w:t>3</w:t>
      </w:r>
      <w:r w:rsidR="00F970C1" w:rsidRPr="008029B2">
        <w:rPr>
          <w:rFonts w:eastAsia="Calibri"/>
          <w:shd w:val="clear" w:color="auto" w:fill="FFFFFF" w:themeFill="background1"/>
        </w:rPr>
        <w:t xml:space="preserve"> percent of firms). Finally, 16 percent of firms introduce </w:t>
      </w:r>
      <w:r w:rsidR="00293526" w:rsidRPr="008029B2">
        <w:rPr>
          <w:rFonts w:eastAsia="Calibri"/>
          <w:shd w:val="clear" w:color="auto" w:fill="FFFFFF" w:themeFill="background1"/>
        </w:rPr>
        <w:t xml:space="preserve">new </w:t>
      </w:r>
      <w:r w:rsidR="00F970C1" w:rsidRPr="008029B2">
        <w:rPr>
          <w:rFonts w:eastAsia="Calibri"/>
          <w:shd w:val="clear" w:color="auto" w:fill="FFFFFF" w:themeFill="background1"/>
        </w:rPr>
        <w:t>supporting activities for production processes.</w:t>
      </w:r>
    </w:p>
    <w:p w14:paraId="0A980417" w14:textId="7D200BA3" w:rsidR="00F970C1" w:rsidRPr="008029B2" w:rsidRDefault="00F970C1" w:rsidP="00D727BF">
      <w:pPr>
        <w:pStyle w:val="Caption"/>
        <w:keepNext/>
        <w:tabs>
          <w:tab w:val="left" w:pos="720"/>
        </w:tabs>
        <w:jc w:val="center"/>
        <w:rPr>
          <w:rFonts w:ascii="Calibri" w:hAnsi="Calibri"/>
          <w:sz w:val="22"/>
          <w:shd w:val="clear" w:color="auto" w:fill="FFFFFF" w:themeFill="background1"/>
        </w:rPr>
      </w:pPr>
      <w:bookmarkStart w:id="301" w:name="_Ref429337577"/>
      <w:bookmarkStart w:id="302" w:name="_Toc445449677"/>
      <w:r w:rsidRPr="008029B2">
        <w:rPr>
          <w:shd w:val="clear" w:color="auto" w:fill="FFFFFF" w:themeFill="background1"/>
        </w:rPr>
        <w:t xml:space="preserve">Figure </w:t>
      </w:r>
      <w:r w:rsidR="00D92B55" w:rsidRPr="008029B2">
        <w:rPr>
          <w:shd w:val="clear" w:color="auto" w:fill="FFFFFF" w:themeFill="background1"/>
        </w:rPr>
        <w:fldChar w:fldCharType="begin"/>
      </w:r>
      <w:r w:rsidR="00D92B55" w:rsidRPr="008029B2">
        <w:rPr>
          <w:shd w:val="clear" w:color="auto" w:fill="FFFFFF" w:themeFill="background1"/>
        </w:rPr>
        <w:instrText xml:space="preserve"> SEQ Figure \* ARABIC </w:instrText>
      </w:r>
      <w:r w:rsidR="00D92B55" w:rsidRPr="008029B2">
        <w:rPr>
          <w:shd w:val="clear" w:color="auto" w:fill="FFFFFF" w:themeFill="background1"/>
        </w:rPr>
        <w:fldChar w:fldCharType="separate"/>
      </w:r>
      <w:r w:rsidR="008A3BBD">
        <w:rPr>
          <w:noProof/>
          <w:shd w:val="clear" w:color="auto" w:fill="FFFFFF" w:themeFill="background1"/>
        </w:rPr>
        <w:t>59</w:t>
      </w:r>
      <w:r w:rsidR="00D92B55" w:rsidRPr="008029B2">
        <w:rPr>
          <w:shd w:val="clear" w:color="auto" w:fill="FFFFFF" w:themeFill="background1"/>
        </w:rPr>
        <w:fldChar w:fldCharType="end"/>
      </w:r>
      <w:bookmarkEnd w:id="301"/>
      <w:r w:rsidRPr="008029B2">
        <w:rPr>
          <w:shd w:val="clear" w:color="auto" w:fill="FFFFFF" w:themeFill="background1"/>
        </w:rPr>
        <w:t xml:space="preserve">: Types of </w:t>
      </w:r>
      <w:r w:rsidR="00B34704" w:rsidRPr="008029B2">
        <w:rPr>
          <w:shd w:val="clear" w:color="auto" w:fill="FFFFFF" w:themeFill="background1"/>
        </w:rPr>
        <w:t>P</w:t>
      </w:r>
      <w:r w:rsidRPr="008029B2">
        <w:rPr>
          <w:shd w:val="clear" w:color="auto" w:fill="FFFFFF" w:themeFill="background1"/>
        </w:rPr>
        <w:t xml:space="preserve">rocess </w:t>
      </w:r>
      <w:r w:rsidR="00B34704" w:rsidRPr="008029B2">
        <w:rPr>
          <w:shd w:val="clear" w:color="auto" w:fill="FFFFFF" w:themeFill="background1"/>
        </w:rPr>
        <w:t>I</w:t>
      </w:r>
      <w:r w:rsidRPr="008029B2">
        <w:rPr>
          <w:shd w:val="clear" w:color="auto" w:fill="FFFFFF" w:themeFill="background1"/>
        </w:rPr>
        <w:t>nnovation in Nigeria</w:t>
      </w:r>
      <w:r w:rsidR="006C063E" w:rsidRPr="008029B2">
        <w:rPr>
          <w:shd w:val="clear" w:color="auto" w:fill="FFFFFF" w:themeFill="background1"/>
        </w:rPr>
        <w:t xml:space="preserve"> </w:t>
      </w:r>
      <w:r w:rsidR="008023A1" w:rsidRPr="008029B2">
        <w:rPr>
          <w:shd w:val="clear" w:color="auto" w:fill="FFFFFF" w:themeFill="background1"/>
        </w:rPr>
        <w:t>(</w:t>
      </w:r>
      <w:r w:rsidR="008023A1">
        <w:rPr>
          <w:shd w:val="clear" w:color="auto" w:fill="FFFFFF" w:themeFill="background1"/>
        </w:rPr>
        <w:t>P</w:t>
      </w:r>
      <w:r w:rsidR="008023A1" w:rsidRPr="008029B2">
        <w:rPr>
          <w:shd w:val="clear" w:color="auto" w:fill="FFFFFF" w:themeFill="background1"/>
        </w:rPr>
        <w:t xml:space="preserve">ercentage of </w:t>
      </w:r>
      <w:r w:rsidR="008023A1">
        <w:rPr>
          <w:shd w:val="clear" w:color="auto" w:fill="FFFFFF" w:themeFill="background1"/>
        </w:rPr>
        <w:t>A</w:t>
      </w:r>
      <w:r w:rsidR="008023A1" w:rsidRPr="008029B2">
        <w:rPr>
          <w:shd w:val="clear" w:color="auto" w:fill="FFFFFF" w:themeFill="background1"/>
        </w:rPr>
        <w:t xml:space="preserve">ll </w:t>
      </w:r>
      <w:r w:rsidR="008023A1">
        <w:rPr>
          <w:shd w:val="clear" w:color="auto" w:fill="FFFFFF" w:themeFill="background1"/>
        </w:rPr>
        <w:t>F</w:t>
      </w:r>
      <w:r w:rsidR="008023A1" w:rsidRPr="008029B2">
        <w:rPr>
          <w:shd w:val="clear" w:color="auto" w:fill="FFFFFF" w:themeFill="background1"/>
        </w:rPr>
        <w:t>irms)</w:t>
      </w:r>
      <w:r w:rsidR="008023A1" w:rsidRPr="008029B2" w:rsidDel="008023A1">
        <w:rPr>
          <w:shd w:val="clear" w:color="auto" w:fill="FFFFFF" w:themeFill="background1"/>
        </w:rPr>
        <w:t xml:space="preserve"> </w:t>
      </w:r>
      <w:bookmarkEnd w:id="302"/>
      <w:r w:rsidRPr="008029B2">
        <w:rPr>
          <w:noProof/>
          <w:shd w:val="clear" w:color="auto" w:fill="FFFFFF" w:themeFill="background1"/>
        </w:rPr>
        <w:drawing>
          <wp:inline distT="0" distB="0" distL="0" distR="0" wp14:anchorId="54DEDE6F" wp14:editId="050839C5">
            <wp:extent cx="5934075" cy="181927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4E19ACF" w14:textId="224D8069" w:rsidR="00F970C1" w:rsidRPr="008029B2" w:rsidRDefault="00F970C1" w:rsidP="00D727BF">
      <w:pPr>
        <w:pStyle w:val="FootnoteText"/>
        <w:tabs>
          <w:tab w:val="left" w:pos="720"/>
        </w:tabs>
        <w:spacing w:after="0"/>
        <w:rPr>
          <w:rFonts w:ascii="Times New Roman" w:hAnsi="Times New Roman"/>
          <w:shd w:val="clear" w:color="auto" w:fill="FFFFFF" w:themeFill="background1"/>
        </w:rPr>
      </w:pPr>
      <w:r w:rsidRPr="008029B2">
        <w:rPr>
          <w:rFonts w:ascii="Times New Roman" w:hAnsi="Times New Roman"/>
          <w:shd w:val="clear" w:color="auto" w:fill="FFFFFF" w:themeFill="background1"/>
        </w:rPr>
        <w:t>Source:</w:t>
      </w:r>
      <w:r w:rsidR="00F428F9" w:rsidRPr="008029B2">
        <w:rPr>
          <w:rFonts w:ascii="Times New Roman" w:hAnsi="Times New Roman"/>
          <w:shd w:val="clear" w:color="auto" w:fill="FFFFFF" w:themeFill="background1"/>
        </w:rPr>
        <w:t xml:space="preserve"> </w:t>
      </w:r>
      <w:r w:rsidRPr="008029B2">
        <w:rPr>
          <w:rFonts w:ascii="Times New Roman" w:hAnsi="Times New Roman"/>
          <w:shd w:val="clear" w:color="auto" w:fill="FFFFFF" w:themeFill="background1"/>
        </w:rPr>
        <w:t>Authors</w:t>
      </w:r>
      <w:r w:rsidR="00863D16">
        <w:rPr>
          <w:rFonts w:ascii="Times New Roman" w:hAnsi="Times New Roman"/>
          <w:shd w:val="clear" w:color="auto" w:fill="FFFFFF" w:themeFill="background1"/>
        </w:rPr>
        <w:t>’</w:t>
      </w:r>
      <w:r w:rsidRPr="008029B2">
        <w:rPr>
          <w:rFonts w:ascii="Times New Roman" w:hAnsi="Times New Roman"/>
          <w:shd w:val="clear" w:color="auto" w:fill="FFFFFF" w:themeFill="background1"/>
        </w:rPr>
        <w:t xml:space="preserve"> calculation</w:t>
      </w:r>
      <w:r w:rsidR="00B34704" w:rsidRPr="008029B2">
        <w:rPr>
          <w:rFonts w:ascii="Times New Roman" w:hAnsi="Times New Roman"/>
          <w:shd w:val="clear" w:color="auto" w:fill="FFFFFF" w:themeFill="background1"/>
        </w:rPr>
        <w:t>s</w:t>
      </w:r>
      <w:r w:rsidRPr="008029B2">
        <w:rPr>
          <w:rFonts w:ascii="Times New Roman" w:hAnsi="Times New Roman"/>
          <w:shd w:val="clear" w:color="auto" w:fill="FFFFFF" w:themeFill="background1"/>
        </w:rPr>
        <w:t xml:space="preserve"> based on E</w:t>
      </w:r>
      <w:r w:rsidR="00B34704" w:rsidRPr="008029B2">
        <w:rPr>
          <w:rFonts w:ascii="Times New Roman" w:hAnsi="Times New Roman"/>
          <w:shd w:val="clear" w:color="auto" w:fill="FFFFFF" w:themeFill="background1"/>
        </w:rPr>
        <w:t xml:space="preserve">nterprise </w:t>
      </w:r>
      <w:r w:rsidRPr="008029B2">
        <w:rPr>
          <w:rFonts w:ascii="Times New Roman" w:hAnsi="Times New Roman"/>
          <w:shd w:val="clear" w:color="auto" w:fill="FFFFFF" w:themeFill="background1"/>
        </w:rPr>
        <w:t>S</w:t>
      </w:r>
      <w:r w:rsidR="00B34704" w:rsidRPr="008029B2">
        <w:rPr>
          <w:rFonts w:ascii="Times New Roman" w:hAnsi="Times New Roman"/>
          <w:shd w:val="clear" w:color="auto" w:fill="FFFFFF" w:themeFill="background1"/>
        </w:rPr>
        <w:t>urvey</w:t>
      </w:r>
      <w:r w:rsidR="00D52EF1" w:rsidRPr="008029B2">
        <w:rPr>
          <w:rFonts w:ascii="Times New Roman" w:hAnsi="Times New Roman"/>
          <w:shd w:val="clear" w:color="auto" w:fill="FFFFFF" w:themeFill="background1"/>
        </w:rPr>
        <w:t xml:space="preserve"> </w:t>
      </w:r>
      <w:r w:rsidRPr="008029B2">
        <w:rPr>
          <w:rFonts w:ascii="Times New Roman" w:hAnsi="Times New Roman"/>
          <w:shd w:val="clear" w:color="auto" w:fill="FFFFFF" w:themeFill="background1"/>
        </w:rPr>
        <w:t>2014</w:t>
      </w:r>
      <w:r w:rsidR="006A7B72">
        <w:rPr>
          <w:rFonts w:ascii="Calibri" w:hAnsi="Calibri"/>
          <w:shd w:val="clear" w:color="auto" w:fill="FFFFFF" w:themeFill="background1"/>
        </w:rPr>
        <w:t>‒</w:t>
      </w:r>
      <w:r w:rsidR="006C063E" w:rsidRPr="008029B2">
        <w:rPr>
          <w:rFonts w:ascii="Times New Roman" w:hAnsi="Times New Roman"/>
          <w:shd w:val="clear" w:color="auto" w:fill="FFFFFF" w:themeFill="background1"/>
        </w:rPr>
        <w:t>15</w:t>
      </w:r>
    </w:p>
    <w:p w14:paraId="5DFCB05E" w14:textId="77777777" w:rsidR="00F970C1" w:rsidRPr="008029B2" w:rsidRDefault="00F970C1" w:rsidP="00D727BF">
      <w:pPr>
        <w:tabs>
          <w:tab w:val="left" w:pos="720"/>
        </w:tabs>
        <w:spacing w:after="0"/>
        <w:rPr>
          <w:rFonts w:cs="Times New Roman"/>
          <w:szCs w:val="24"/>
          <w:shd w:val="clear" w:color="auto" w:fill="FFFFFF" w:themeFill="background1"/>
        </w:rPr>
      </w:pPr>
    </w:p>
    <w:p w14:paraId="4206F6B1" w14:textId="38D703D0" w:rsidR="00F970C1" w:rsidRPr="008029B2" w:rsidRDefault="00F970C1" w:rsidP="00D727BF">
      <w:pPr>
        <w:pStyle w:val="Heading2"/>
        <w:tabs>
          <w:tab w:val="left" w:pos="720"/>
        </w:tabs>
        <w:spacing w:before="0"/>
        <w:rPr>
          <w:shd w:val="clear" w:color="auto" w:fill="FFFFFF" w:themeFill="background1"/>
        </w:rPr>
      </w:pPr>
      <w:bookmarkStart w:id="303" w:name="_Toc444877522"/>
      <w:bookmarkStart w:id="304" w:name="_Toc445450293"/>
      <w:r w:rsidRPr="008029B2">
        <w:rPr>
          <w:shd w:val="clear" w:color="auto" w:fill="FFFFFF" w:themeFill="background1"/>
        </w:rPr>
        <w:t>The Determinants of Innovation Outcomes</w:t>
      </w:r>
      <w:bookmarkEnd w:id="303"/>
      <w:bookmarkEnd w:id="304"/>
    </w:p>
    <w:p w14:paraId="2032B766" w14:textId="42B1FFAE" w:rsidR="00F970C1" w:rsidRPr="008029B2" w:rsidRDefault="00F060B0" w:rsidP="00D727BF">
      <w:pPr>
        <w:pStyle w:val="ParagraphNumbering"/>
        <w:numPr>
          <w:ilvl w:val="0"/>
          <w:numId w:val="0"/>
        </w:numPr>
        <w:tabs>
          <w:tab w:val="left" w:pos="720"/>
        </w:tabs>
        <w:spacing w:after="240"/>
        <w:rPr>
          <w:rFonts w:eastAsia="Calibri"/>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 xml:space="preserve">Firm characteristics </w:t>
      </w:r>
      <w:r w:rsidR="00293526" w:rsidRPr="008029B2">
        <w:rPr>
          <w:rFonts w:eastAsia="Calibri"/>
          <w:b/>
          <w:shd w:val="clear" w:color="auto" w:fill="FFFFFF" w:themeFill="background1"/>
        </w:rPr>
        <w:t xml:space="preserve">have explanatory value for </w:t>
      </w:r>
      <w:r w:rsidR="00F970C1" w:rsidRPr="008029B2">
        <w:rPr>
          <w:rFonts w:eastAsia="Calibri"/>
          <w:b/>
          <w:shd w:val="clear" w:color="auto" w:fill="FFFFFF" w:themeFill="background1"/>
        </w:rPr>
        <w:t>innovation rates</w:t>
      </w:r>
      <w:r w:rsidR="00F970C1" w:rsidRPr="008029B2">
        <w:rPr>
          <w:rFonts w:eastAsia="Calibri"/>
          <w:shd w:val="clear" w:color="auto" w:fill="FFFFFF" w:themeFill="background1"/>
        </w:rPr>
        <w:t xml:space="preserve">. </w:t>
      </w:r>
      <w:r w:rsidR="00F970C1" w:rsidRPr="008029B2">
        <w:rPr>
          <w:rFonts w:eastAsia="Calibri"/>
          <w:shd w:val="clear" w:color="auto" w:fill="FFFFFF" w:themeFill="background1"/>
        </w:rPr>
        <w:fldChar w:fldCharType="begin"/>
      </w:r>
      <w:r w:rsidR="00F970C1" w:rsidRPr="008029B2">
        <w:rPr>
          <w:rFonts w:eastAsia="Calibri"/>
          <w:shd w:val="clear" w:color="auto" w:fill="FFFFFF" w:themeFill="background1"/>
        </w:rPr>
        <w:instrText xml:space="preserve"> REF _Ref429338486 \h </w:instrText>
      </w:r>
      <w:r w:rsidR="00F970C1" w:rsidRPr="008029B2">
        <w:rPr>
          <w:rFonts w:eastAsia="Calibri"/>
          <w:shd w:val="clear" w:color="auto" w:fill="FFFFFF" w:themeFill="background1"/>
        </w:rPr>
      </w:r>
      <w:r w:rsidR="00F970C1" w:rsidRPr="008029B2">
        <w:rPr>
          <w:rFonts w:eastAsia="Calibri"/>
          <w:shd w:val="clear" w:color="auto" w:fill="FFFFFF" w:themeFill="background1"/>
        </w:rPr>
        <w:fldChar w:fldCharType="separate"/>
      </w:r>
      <w:r w:rsidR="008A3BBD" w:rsidRPr="008029B2">
        <w:rPr>
          <w:shd w:val="clear" w:color="auto" w:fill="FFFFFF" w:themeFill="background1"/>
        </w:rPr>
        <w:t xml:space="preserve">Table </w:t>
      </w:r>
      <w:r w:rsidR="008A3BBD">
        <w:rPr>
          <w:noProof/>
          <w:shd w:val="clear" w:color="auto" w:fill="FFFFFF" w:themeFill="background1"/>
        </w:rPr>
        <w:t>13</w:t>
      </w:r>
      <w:r w:rsidR="00F970C1" w:rsidRPr="008029B2">
        <w:rPr>
          <w:rFonts w:eastAsia="Calibri"/>
          <w:shd w:val="clear" w:color="auto" w:fill="FFFFFF" w:themeFill="background1"/>
        </w:rPr>
        <w:fldChar w:fldCharType="end"/>
      </w:r>
      <w:r w:rsidR="00F970C1" w:rsidRPr="008029B2">
        <w:rPr>
          <w:rFonts w:eastAsia="Calibri"/>
          <w:shd w:val="clear" w:color="auto" w:fill="FFFFFF" w:themeFill="background1"/>
        </w:rPr>
        <w:t xml:space="preserve"> shows the tabulations of the main innovation outcomes by sector and type of firm. Innovation rates are higher in manufacturing than in services, albeit low for product innovation. </w:t>
      </w:r>
      <w:r w:rsidR="00293526" w:rsidRPr="008029B2">
        <w:rPr>
          <w:rFonts w:eastAsia="Calibri"/>
          <w:shd w:val="clear" w:color="auto" w:fill="FFFFFF" w:themeFill="background1"/>
        </w:rPr>
        <w:t xml:space="preserve">The innovation gap between manufacturing and services is more pronounced for technological than for nontechnological application. The basic metals industry appears to be the most technologically </w:t>
      </w:r>
      <w:r w:rsidR="00293526" w:rsidRPr="008029B2">
        <w:rPr>
          <w:rFonts w:eastAsia="Calibri"/>
          <w:shd w:val="clear" w:color="auto" w:fill="FFFFFF" w:themeFill="background1"/>
        </w:rPr>
        <w:lastRenderedPageBreak/>
        <w:t>innovative, while publishing and printing and wholesale are the least innovative. In terms of organizational innovation, garments and food</w:t>
      </w:r>
      <w:r w:rsidR="006A7B72">
        <w:rPr>
          <w:rFonts w:eastAsia="Calibri"/>
          <w:shd w:val="clear" w:color="auto" w:fill="FFFFFF" w:themeFill="background1"/>
        </w:rPr>
        <w:t>—</w:t>
      </w:r>
      <w:r w:rsidR="00293526" w:rsidRPr="008029B2">
        <w:rPr>
          <w:rFonts w:eastAsia="Calibri"/>
          <w:shd w:val="clear" w:color="auto" w:fill="FFFFFF" w:themeFill="background1"/>
        </w:rPr>
        <w:t>both labor-intensive industries</w:t>
      </w:r>
      <w:r w:rsidR="006A7B72">
        <w:rPr>
          <w:rFonts w:eastAsia="Calibri"/>
          <w:shd w:val="clear" w:color="auto" w:fill="FFFFFF" w:themeFill="background1"/>
        </w:rPr>
        <w:t>—</w:t>
      </w:r>
      <w:r w:rsidR="00293526" w:rsidRPr="008029B2">
        <w:rPr>
          <w:rFonts w:eastAsia="Calibri"/>
          <w:shd w:val="clear" w:color="auto" w:fill="FFFFFF" w:themeFill="background1"/>
        </w:rPr>
        <w:t>perform with the highest innovation rates, while wholesale trade and nonmetallic mineral products tend to be less innovative. Finally, empirical findings suggest that younger firms tend to have a greater innovation intensity</w:t>
      </w:r>
      <w:r w:rsidR="00F970C1" w:rsidRPr="008029B2">
        <w:rPr>
          <w:rFonts w:eastAsia="Calibri"/>
          <w:shd w:val="clear" w:color="auto" w:fill="FFFFFF" w:themeFill="background1"/>
        </w:rPr>
        <w:t>.</w:t>
      </w:r>
    </w:p>
    <w:p w14:paraId="602730FA" w14:textId="488D2713" w:rsidR="00F970C1" w:rsidRPr="008029B2" w:rsidRDefault="00F060B0" w:rsidP="00D727BF">
      <w:pPr>
        <w:pStyle w:val="ParagraphNumbering"/>
        <w:numPr>
          <w:ilvl w:val="0"/>
          <w:numId w:val="0"/>
        </w:numPr>
        <w:tabs>
          <w:tab w:val="left" w:pos="720"/>
        </w:tabs>
        <w:spacing w:after="240"/>
        <w:rPr>
          <w:rFonts w:eastAsia="Calibri"/>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Firms with international exposure show higher innovation rates.</w:t>
      </w:r>
      <w:r w:rsidR="00F970C1" w:rsidRPr="008029B2">
        <w:rPr>
          <w:rFonts w:eastAsia="Calibri"/>
          <w:shd w:val="clear" w:color="auto" w:fill="FFFFFF" w:themeFill="background1"/>
        </w:rPr>
        <w:t xml:space="preserve"> </w:t>
      </w:r>
      <w:r w:rsidR="00293526" w:rsidRPr="008029B2">
        <w:rPr>
          <w:rFonts w:eastAsia="Calibri"/>
          <w:shd w:val="clear" w:color="auto" w:fill="FFFFFF" w:themeFill="background1"/>
        </w:rPr>
        <w:t>In relation to firms</w:t>
      </w:r>
      <w:r w:rsidR="00863D16">
        <w:rPr>
          <w:rFonts w:eastAsia="Calibri"/>
          <w:shd w:val="clear" w:color="auto" w:fill="FFFFFF" w:themeFill="background1"/>
        </w:rPr>
        <w:t>’</w:t>
      </w:r>
      <w:r w:rsidR="00293526" w:rsidRPr="008029B2">
        <w:rPr>
          <w:rFonts w:eastAsia="Calibri"/>
          <w:shd w:val="clear" w:color="auto" w:fill="FFFFFF" w:themeFill="background1"/>
        </w:rPr>
        <w:t xml:space="preserve"> foreign exposure, international traders, and especially importers, are more innovative than nontraders. This is similar to what is observed in other countries. However, contrary to what is found in other African countries, innovation rates of foreign-owned firms are lower than those for national firms</w:t>
      </w:r>
      <w:r w:rsidR="00F970C1" w:rsidRPr="008029B2">
        <w:rPr>
          <w:rFonts w:eastAsia="Calibri"/>
          <w:shd w:val="clear" w:color="auto" w:fill="FFFFFF" w:themeFill="background1"/>
        </w:rPr>
        <w:t>.</w:t>
      </w:r>
      <w:r w:rsidR="00F428F9" w:rsidRPr="008029B2">
        <w:rPr>
          <w:rFonts w:eastAsia="Calibri"/>
          <w:shd w:val="clear" w:color="auto" w:fill="FFFFFF" w:themeFill="background1"/>
        </w:rPr>
        <w:t xml:space="preserve"> </w:t>
      </w:r>
    </w:p>
    <w:p w14:paraId="36364EE1" w14:textId="2E53BD09" w:rsidR="00F970C1" w:rsidRPr="008029B2" w:rsidRDefault="00F970C1" w:rsidP="00D727BF">
      <w:pPr>
        <w:pStyle w:val="Caption"/>
        <w:keepNext/>
        <w:tabs>
          <w:tab w:val="left" w:pos="720"/>
        </w:tabs>
        <w:spacing w:before="240"/>
        <w:jc w:val="center"/>
        <w:rPr>
          <w:shd w:val="clear" w:color="auto" w:fill="FFFFFF" w:themeFill="background1"/>
        </w:rPr>
      </w:pPr>
      <w:bookmarkStart w:id="305" w:name="_Ref429338486"/>
      <w:bookmarkStart w:id="306" w:name="_Toc445449534"/>
      <w:r w:rsidRPr="008029B2">
        <w:rPr>
          <w:shd w:val="clear" w:color="auto" w:fill="FFFFFF" w:themeFill="background1"/>
        </w:rPr>
        <w:t xml:space="preserve">Table </w:t>
      </w:r>
      <w:r w:rsidR="008A2763" w:rsidRPr="008029B2">
        <w:rPr>
          <w:shd w:val="clear" w:color="auto" w:fill="FFFFFF" w:themeFill="background1"/>
        </w:rPr>
        <w:fldChar w:fldCharType="begin"/>
      </w:r>
      <w:r w:rsidR="008A2763" w:rsidRPr="008029B2">
        <w:rPr>
          <w:shd w:val="clear" w:color="auto" w:fill="FFFFFF" w:themeFill="background1"/>
        </w:rPr>
        <w:instrText xml:space="preserve"> SEQ Table \* ARABIC </w:instrText>
      </w:r>
      <w:r w:rsidR="008A2763" w:rsidRPr="008029B2">
        <w:rPr>
          <w:shd w:val="clear" w:color="auto" w:fill="FFFFFF" w:themeFill="background1"/>
        </w:rPr>
        <w:fldChar w:fldCharType="separate"/>
      </w:r>
      <w:r w:rsidR="008A3BBD">
        <w:rPr>
          <w:noProof/>
          <w:shd w:val="clear" w:color="auto" w:fill="FFFFFF" w:themeFill="background1"/>
        </w:rPr>
        <w:t>13</w:t>
      </w:r>
      <w:r w:rsidR="008A2763" w:rsidRPr="008029B2">
        <w:rPr>
          <w:noProof/>
          <w:shd w:val="clear" w:color="auto" w:fill="FFFFFF" w:themeFill="background1"/>
        </w:rPr>
        <w:fldChar w:fldCharType="end"/>
      </w:r>
      <w:bookmarkEnd w:id="305"/>
      <w:r w:rsidRPr="008029B2">
        <w:rPr>
          <w:shd w:val="clear" w:color="auto" w:fill="FFFFFF" w:themeFill="background1"/>
        </w:rPr>
        <w:t xml:space="preserve">: Innovation </w:t>
      </w:r>
      <w:r w:rsidR="00B34704" w:rsidRPr="008029B2">
        <w:rPr>
          <w:shd w:val="clear" w:color="auto" w:fill="FFFFFF" w:themeFill="background1"/>
        </w:rPr>
        <w:t>R</w:t>
      </w:r>
      <w:r w:rsidRPr="008029B2">
        <w:rPr>
          <w:shd w:val="clear" w:color="auto" w:fill="FFFFFF" w:themeFill="background1"/>
        </w:rPr>
        <w:t xml:space="preserve">ates by </w:t>
      </w:r>
      <w:r w:rsidR="00B34704" w:rsidRPr="008029B2">
        <w:rPr>
          <w:shd w:val="clear" w:color="auto" w:fill="FFFFFF" w:themeFill="background1"/>
        </w:rPr>
        <w:t>S</w:t>
      </w:r>
      <w:r w:rsidRPr="008029B2">
        <w:rPr>
          <w:shd w:val="clear" w:color="auto" w:fill="FFFFFF" w:themeFill="background1"/>
        </w:rPr>
        <w:t xml:space="preserve">ector and </w:t>
      </w:r>
      <w:r w:rsidR="00B34704" w:rsidRPr="008029B2">
        <w:rPr>
          <w:shd w:val="clear" w:color="auto" w:fill="FFFFFF" w:themeFill="background1"/>
        </w:rPr>
        <w:t>T</w:t>
      </w:r>
      <w:r w:rsidRPr="008029B2">
        <w:rPr>
          <w:shd w:val="clear" w:color="auto" w:fill="FFFFFF" w:themeFill="background1"/>
        </w:rPr>
        <w:t xml:space="preserve">ype of </w:t>
      </w:r>
      <w:r w:rsidR="00B34704" w:rsidRPr="008029B2">
        <w:rPr>
          <w:shd w:val="clear" w:color="auto" w:fill="FFFFFF" w:themeFill="background1"/>
        </w:rPr>
        <w:t>F</w:t>
      </w:r>
      <w:r w:rsidRPr="008029B2">
        <w:rPr>
          <w:shd w:val="clear" w:color="auto" w:fill="FFFFFF" w:themeFill="background1"/>
        </w:rPr>
        <w:t>irms</w:t>
      </w:r>
      <w:bookmarkEnd w:id="306"/>
    </w:p>
    <w:tbl>
      <w:tblPr>
        <w:tblW w:w="5000" w:type="pct"/>
        <w:tblLayout w:type="fixed"/>
        <w:tblLook w:val="04A0" w:firstRow="1" w:lastRow="0" w:firstColumn="1" w:lastColumn="0" w:noHBand="0" w:noVBand="1"/>
      </w:tblPr>
      <w:tblGrid>
        <w:gridCol w:w="2359"/>
        <w:gridCol w:w="1443"/>
        <w:gridCol w:w="1444"/>
        <w:gridCol w:w="1442"/>
        <w:gridCol w:w="1444"/>
        <w:gridCol w:w="1444"/>
      </w:tblGrid>
      <w:tr w:rsidR="00F970C1" w:rsidRPr="008029B2" w14:paraId="3FF96A65" w14:textId="77777777" w:rsidTr="00F970C1">
        <w:trPr>
          <w:trHeight w:val="288"/>
        </w:trPr>
        <w:tc>
          <w:tcPr>
            <w:tcW w:w="1231" w:type="pct"/>
            <w:tcBorders>
              <w:top w:val="single" w:sz="4" w:space="0" w:color="auto"/>
              <w:left w:val="nil"/>
              <w:bottom w:val="single" w:sz="4" w:space="0" w:color="auto"/>
              <w:right w:val="nil"/>
            </w:tcBorders>
            <w:shd w:val="clear" w:color="auto" w:fill="auto"/>
            <w:noWrap/>
            <w:vAlign w:val="center"/>
            <w:hideMark/>
          </w:tcPr>
          <w:p w14:paraId="5C7CE6C0"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 </w:t>
            </w:r>
          </w:p>
        </w:tc>
        <w:tc>
          <w:tcPr>
            <w:tcW w:w="753" w:type="pct"/>
            <w:tcBorders>
              <w:top w:val="single" w:sz="4" w:space="0" w:color="auto"/>
              <w:left w:val="nil"/>
              <w:bottom w:val="single" w:sz="4" w:space="0" w:color="auto"/>
              <w:right w:val="nil"/>
            </w:tcBorders>
            <w:shd w:val="clear" w:color="auto" w:fill="auto"/>
            <w:noWrap/>
            <w:vAlign w:val="center"/>
            <w:hideMark/>
          </w:tcPr>
          <w:p w14:paraId="3EAD4BDC" w14:textId="77777777" w:rsidR="00F970C1" w:rsidRPr="008029B2" w:rsidRDefault="00F970C1" w:rsidP="00D727BF">
            <w:pPr>
              <w:tabs>
                <w:tab w:val="left" w:pos="720"/>
              </w:tabs>
              <w:spacing w:after="0"/>
              <w:jc w:val="center"/>
              <w:rPr>
                <w:rFonts w:eastAsia="Times New Roman" w:cs="Times New Roman"/>
                <w:b/>
                <w:bCs/>
                <w:color w:val="000000"/>
                <w:sz w:val="20"/>
                <w:szCs w:val="20"/>
                <w:shd w:val="clear" w:color="auto" w:fill="FFFFFF" w:themeFill="background1"/>
              </w:rPr>
            </w:pPr>
            <w:r w:rsidRPr="008029B2">
              <w:rPr>
                <w:rFonts w:eastAsia="Times New Roman" w:cs="Times New Roman"/>
                <w:b/>
                <w:bCs/>
                <w:color w:val="000000"/>
                <w:sz w:val="20"/>
                <w:szCs w:val="20"/>
                <w:shd w:val="clear" w:color="auto" w:fill="FFFFFF" w:themeFill="background1"/>
              </w:rPr>
              <w:t>Product</w:t>
            </w:r>
          </w:p>
        </w:tc>
        <w:tc>
          <w:tcPr>
            <w:tcW w:w="754" w:type="pct"/>
            <w:tcBorders>
              <w:top w:val="single" w:sz="4" w:space="0" w:color="auto"/>
              <w:left w:val="nil"/>
              <w:bottom w:val="single" w:sz="4" w:space="0" w:color="auto"/>
              <w:right w:val="nil"/>
            </w:tcBorders>
            <w:shd w:val="clear" w:color="auto" w:fill="auto"/>
            <w:noWrap/>
            <w:vAlign w:val="center"/>
            <w:hideMark/>
          </w:tcPr>
          <w:p w14:paraId="19441748" w14:textId="77777777" w:rsidR="00F970C1" w:rsidRPr="008029B2" w:rsidRDefault="00F970C1" w:rsidP="00D727BF">
            <w:pPr>
              <w:tabs>
                <w:tab w:val="left" w:pos="720"/>
              </w:tabs>
              <w:spacing w:after="0"/>
              <w:jc w:val="center"/>
              <w:rPr>
                <w:rFonts w:eastAsia="Times New Roman" w:cs="Times New Roman"/>
                <w:b/>
                <w:bCs/>
                <w:color w:val="000000"/>
                <w:sz w:val="20"/>
                <w:szCs w:val="20"/>
                <w:shd w:val="clear" w:color="auto" w:fill="FFFFFF" w:themeFill="background1"/>
              </w:rPr>
            </w:pPr>
            <w:r w:rsidRPr="008029B2">
              <w:rPr>
                <w:rFonts w:eastAsia="Times New Roman" w:cs="Times New Roman"/>
                <w:b/>
                <w:bCs/>
                <w:color w:val="000000"/>
                <w:sz w:val="20"/>
                <w:szCs w:val="20"/>
                <w:shd w:val="clear" w:color="auto" w:fill="FFFFFF" w:themeFill="background1"/>
              </w:rPr>
              <w:t>Process</w:t>
            </w:r>
          </w:p>
        </w:tc>
        <w:tc>
          <w:tcPr>
            <w:tcW w:w="753" w:type="pct"/>
            <w:tcBorders>
              <w:top w:val="single" w:sz="4" w:space="0" w:color="auto"/>
              <w:left w:val="nil"/>
              <w:bottom w:val="single" w:sz="4" w:space="0" w:color="auto"/>
              <w:right w:val="nil"/>
            </w:tcBorders>
            <w:shd w:val="clear" w:color="auto" w:fill="auto"/>
            <w:noWrap/>
            <w:vAlign w:val="center"/>
            <w:hideMark/>
          </w:tcPr>
          <w:p w14:paraId="643DEF42" w14:textId="77777777" w:rsidR="00F970C1" w:rsidRPr="008029B2" w:rsidRDefault="00F970C1" w:rsidP="00D727BF">
            <w:pPr>
              <w:tabs>
                <w:tab w:val="left" w:pos="720"/>
              </w:tabs>
              <w:spacing w:after="0"/>
              <w:jc w:val="center"/>
              <w:rPr>
                <w:rFonts w:eastAsia="Times New Roman" w:cs="Times New Roman"/>
                <w:b/>
                <w:bCs/>
                <w:color w:val="000000"/>
                <w:sz w:val="20"/>
                <w:szCs w:val="20"/>
                <w:shd w:val="clear" w:color="auto" w:fill="FFFFFF" w:themeFill="background1"/>
              </w:rPr>
            </w:pPr>
            <w:r w:rsidRPr="008029B2">
              <w:rPr>
                <w:rFonts w:eastAsia="Times New Roman" w:cs="Times New Roman"/>
                <w:b/>
                <w:bCs/>
                <w:color w:val="000000"/>
                <w:sz w:val="20"/>
                <w:szCs w:val="20"/>
                <w:shd w:val="clear" w:color="auto" w:fill="FFFFFF" w:themeFill="background1"/>
              </w:rPr>
              <w:t>Product</w:t>
            </w:r>
          </w:p>
          <w:p w14:paraId="3710A978" w14:textId="60DF04F0" w:rsidR="00F970C1" w:rsidRPr="008029B2" w:rsidRDefault="008D6390" w:rsidP="00D727BF">
            <w:pPr>
              <w:tabs>
                <w:tab w:val="left" w:pos="720"/>
              </w:tabs>
              <w:spacing w:after="0"/>
              <w:jc w:val="center"/>
              <w:rPr>
                <w:rFonts w:eastAsia="Times New Roman" w:cs="Times New Roman"/>
                <w:b/>
                <w:bCs/>
                <w:color w:val="000000"/>
                <w:sz w:val="20"/>
                <w:szCs w:val="20"/>
                <w:shd w:val="clear" w:color="auto" w:fill="FFFFFF" w:themeFill="background1"/>
              </w:rPr>
            </w:pPr>
            <w:r w:rsidRPr="008029B2">
              <w:rPr>
                <w:rFonts w:eastAsia="Times New Roman" w:cs="Times New Roman"/>
                <w:b/>
                <w:bCs/>
                <w:color w:val="000000"/>
                <w:sz w:val="20"/>
                <w:szCs w:val="20"/>
                <w:shd w:val="clear" w:color="auto" w:fill="FFFFFF" w:themeFill="background1"/>
              </w:rPr>
              <w:t>o</w:t>
            </w:r>
            <w:r w:rsidR="00F970C1" w:rsidRPr="008029B2">
              <w:rPr>
                <w:rFonts w:eastAsia="Times New Roman" w:cs="Times New Roman"/>
                <w:b/>
                <w:bCs/>
                <w:color w:val="000000"/>
                <w:sz w:val="20"/>
                <w:szCs w:val="20"/>
                <w:shd w:val="clear" w:color="auto" w:fill="FFFFFF" w:themeFill="background1"/>
              </w:rPr>
              <w:t>r process</w:t>
            </w:r>
          </w:p>
        </w:tc>
        <w:tc>
          <w:tcPr>
            <w:tcW w:w="754" w:type="pct"/>
            <w:tcBorders>
              <w:top w:val="single" w:sz="4" w:space="0" w:color="auto"/>
              <w:left w:val="nil"/>
              <w:bottom w:val="single" w:sz="4" w:space="0" w:color="auto"/>
              <w:right w:val="nil"/>
            </w:tcBorders>
            <w:shd w:val="clear" w:color="auto" w:fill="auto"/>
            <w:noWrap/>
            <w:vAlign w:val="center"/>
            <w:hideMark/>
          </w:tcPr>
          <w:p w14:paraId="1542290D" w14:textId="77777777" w:rsidR="00F970C1" w:rsidRPr="008029B2" w:rsidRDefault="00F970C1" w:rsidP="00D727BF">
            <w:pPr>
              <w:tabs>
                <w:tab w:val="left" w:pos="720"/>
              </w:tabs>
              <w:spacing w:after="0"/>
              <w:jc w:val="center"/>
              <w:rPr>
                <w:rFonts w:eastAsia="Times New Roman" w:cs="Times New Roman"/>
                <w:b/>
                <w:bCs/>
                <w:color w:val="000000"/>
                <w:sz w:val="20"/>
                <w:szCs w:val="20"/>
                <w:shd w:val="clear" w:color="auto" w:fill="FFFFFF" w:themeFill="background1"/>
              </w:rPr>
            </w:pPr>
            <w:r w:rsidRPr="008029B2">
              <w:rPr>
                <w:rFonts w:eastAsia="Times New Roman" w:cs="Times New Roman"/>
                <w:b/>
                <w:bCs/>
                <w:color w:val="000000"/>
                <w:sz w:val="20"/>
                <w:szCs w:val="20"/>
                <w:shd w:val="clear" w:color="auto" w:fill="FFFFFF" w:themeFill="background1"/>
              </w:rPr>
              <w:t>Organization</w:t>
            </w:r>
          </w:p>
        </w:tc>
        <w:tc>
          <w:tcPr>
            <w:tcW w:w="754" w:type="pct"/>
            <w:tcBorders>
              <w:top w:val="single" w:sz="4" w:space="0" w:color="auto"/>
              <w:left w:val="nil"/>
              <w:bottom w:val="single" w:sz="4" w:space="0" w:color="auto"/>
              <w:right w:val="nil"/>
            </w:tcBorders>
            <w:vAlign w:val="center"/>
          </w:tcPr>
          <w:p w14:paraId="262DA400" w14:textId="77777777" w:rsidR="00F970C1" w:rsidRPr="008029B2" w:rsidRDefault="00F970C1" w:rsidP="00D727BF">
            <w:pPr>
              <w:tabs>
                <w:tab w:val="left" w:pos="720"/>
              </w:tabs>
              <w:spacing w:after="0"/>
              <w:jc w:val="center"/>
              <w:rPr>
                <w:rFonts w:eastAsia="Times New Roman" w:cs="Times New Roman"/>
                <w:b/>
                <w:bCs/>
                <w:color w:val="000000"/>
                <w:sz w:val="20"/>
                <w:szCs w:val="20"/>
                <w:shd w:val="clear" w:color="auto" w:fill="FFFFFF" w:themeFill="background1"/>
              </w:rPr>
            </w:pPr>
            <w:r w:rsidRPr="008029B2">
              <w:rPr>
                <w:rFonts w:eastAsia="Times New Roman" w:cs="Times New Roman"/>
                <w:b/>
                <w:bCs/>
                <w:color w:val="000000"/>
                <w:sz w:val="20"/>
                <w:szCs w:val="20"/>
                <w:shd w:val="clear" w:color="auto" w:fill="FFFFFF" w:themeFill="background1"/>
              </w:rPr>
              <w:t>Marketing</w:t>
            </w:r>
          </w:p>
        </w:tc>
      </w:tr>
      <w:tr w:rsidR="00F970C1" w:rsidRPr="008029B2" w14:paraId="5E40E078" w14:textId="77777777" w:rsidTr="00F970C1">
        <w:trPr>
          <w:trHeight w:val="288"/>
        </w:trPr>
        <w:tc>
          <w:tcPr>
            <w:tcW w:w="1231" w:type="pct"/>
            <w:tcBorders>
              <w:top w:val="nil"/>
              <w:left w:val="nil"/>
              <w:bottom w:val="nil"/>
              <w:right w:val="nil"/>
            </w:tcBorders>
            <w:shd w:val="clear" w:color="auto" w:fill="auto"/>
            <w:noWrap/>
            <w:vAlign w:val="center"/>
            <w:hideMark/>
          </w:tcPr>
          <w:p w14:paraId="5E7368BA"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Hotels and restaurants</w:t>
            </w:r>
          </w:p>
        </w:tc>
        <w:tc>
          <w:tcPr>
            <w:tcW w:w="753" w:type="pct"/>
            <w:tcBorders>
              <w:top w:val="nil"/>
              <w:left w:val="nil"/>
              <w:bottom w:val="nil"/>
              <w:right w:val="nil"/>
            </w:tcBorders>
            <w:shd w:val="clear" w:color="auto" w:fill="auto"/>
            <w:noWrap/>
            <w:vAlign w:val="center"/>
            <w:hideMark/>
          </w:tcPr>
          <w:p w14:paraId="0C857EB7"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13.5%</w:t>
            </w:r>
          </w:p>
        </w:tc>
        <w:tc>
          <w:tcPr>
            <w:tcW w:w="754" w:type="pct"/>
            <w:tcBorders>
              <w:top w:val="nil"/>
              <w:left w:val="nil"/>
              <w:bottom w:val="nil"/>
              <w:right w:val="nil"/>
            </w:tcBorders>
            <w:shd w:val="clear" w:color="auto" w:fill="auto"/>
            <w:noWrap/>
            <w:vAlign w:val="center"/>
            <w:hideMark/>
          </w:tcPr>
          <w:p w14:paraId="785AEF78"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17.0%</w:t>
            </w:r>
          </w:p>
        </w:tc>
        <w:tc>
          <w:tcPr>
            <w:tcW w:w="753" w:type="pct"/>
            <w:tcBorders>
              <w:top w:val="nil"/>
              <w:left w:val="nil"/>
              <w:bottom w:val="nil"/>
              <w:right w:val="nil"/>
            </w:tcBorders>
            <w:shd w:val="clear" w:color="auto" w:fill="auto"/>
            <w:noWrap/>
            <w:vAlign w:val="center"/>
            <w:hideMark/>
          </w:tcPr>
          <w:p w14:paraId="53A1C94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27.2%</w:t>
            </w:r>
          </w:p>
        </w:tc>
        <w:tc>
          <w:tcPr>
            <w:tcW w:w="754" w:type="pct"/>
            <w:tcBorders>
              <w:top w:val="nil"/>
              <w:left w:val="nil"/>
              <w:bottom w:val="nil"/>
              <w:right w:val="nil"/>
            </w:tcBorders>
            <w:shd w:val="clear" w:color="auto" w:fill="auto"/>
            <w:noWrap/>
            <w:vAlign w:val="center"/>
            <w:hideMark/>
          </w:tcPr>
          <w:p w14:paraId="00B2836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57.7%</w:t>
            </w:r>
          </w:p>
        </w:tc>
        <w:tc>
          <w:tcPr>
            <w:tcW w:w="754" w:type="pct"/>
            <w:tcBorders>
              <w:top w:val="nil"/>
              <w:left w:val="nil"/>
              <w:bottom w:val="nil"/>
              <w:right w:val="nil"/>
            </w:tcBorders>
            <w:vAlign w:val="center"/>
          </w:tcPr>
          <w:p w14:paraId="5B68CB02"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67.6%</w:t>
            </w:r>
          </w:p>
        </w:tc>
      </w:tr>
      <w:tr w:rsidR="00F970C1" w:rsidRPr="008029B2" w14:paraId="26A90C8E" w14:textId="77777777" w:rsidTr="00F970C1">
        <w:trPr>
          <w:trHeight w:val="288"/>
        </w:trPr>
        <w:tc>
          <w:tcPr>
            <w:tcW w:w="1231" w:type="pct"/>
            <w:tcBorders>
              <w:top w:val="nil"/>
              <w:left w:val="nil"/>
              <w:right w:val="nil"/>
            </w:tcBorders>
            <w:shd w:val="clear" w:color="auto" w:fill="auto"/>
            <w:noWrap/>
            <w:vAlign w:val="center"/>
            <w:hideMark/>
          </w:tcPr>
          <w:p w14:paraId="79F0519A"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Manufacturing</w:t>
            </w:r>
          </w:p>
        </w:tc>
        <w:tc>
          <w:tcPr>
            <w:tcW w:w="753" w:type="pct"/>
            <w:tcBorders>
              <w:top w:val="nil"/>
              <w:left w:val="nil"/>
              <w:right w:val="nil"/>
            </w:tcBorders>
            <w:shd w:val="clear" w:color="auto" w:fill="auto"/>
            <w:noWrap/>
            <w:vAlign w:val="center"/>
            <w:hideMark/>
          </w:tcPr>
          <w:p w14:paraId="1377845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8.2%</w:t>
            </w:r>
          </w:p>
        </w:tc>
        <w:tc>
          <w:tcPr>
            <w:tcW w:w="754" w:type="pct"/>
            <w:tcBorders>
              <w:top w:val="nil"/>
              <w:left w:val="nil"/>
              <w:right w:val="nil"/>
            </w:tcBorders>
            <w:shd w:val="clear" w:color="auto" w:fill="auto"/>
            <w:noWrap/>
            <w:vAlign w:val="center"/>
            <w:hideMark/>
          </w:tcPr>
          <w:p w14:paraId="6B1DFB1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35.5%</w:t>
            </w:r>
          </w:p>
        </w:tc>
        <w:tc>
          <w:tcPr>
            <w:tcW w:w="753" w:type="pct"/>
            <w:tcBorders>
              <w:top w:val="nil"/>
              <w:left w:val="nil"/>
              <w:right w:val="nil"/>
            </w:tcBorders>
            <w:shd w:val="clear" w:color="auto" w:fill="auto"/>
            <w:noWrap/>
            <w:vAlign w:val="center"/>
            <w:hideMark/>
          </w:tcPr>
          <w:p w14:paraId="78358AB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38.3%</w:t>
            </w:r>
          </w:p>
        </w:tc>
        <w:tc>
          <w:tcPr>
            <w:tcW w:w="754" w:type="pct"/>
            <w:tcBorders>
              <w:top w:val="nil"/>
              <w:left w:val="nil"/>
              <w:right w:val="nil"/>
            </w:tcBorders>
            <w:shd w:val="clear" w:color="auto" w:fill="auto"/>
            <w:noWrap/>
            <w:vAlign w:val="center"/>
            <w:hideMark/>
          </w:tcPr>
          <w:p w14:paraId="3918BDF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61.3%</w:t>
            </w:r>
          </w:p>
        </w:tc>
        <w:tc>
          <w:tcPr>
            <w:tcW w:w="754" w:type="pct"/>
            <w:tcBorders>
              <w:top w:val="nil"/>
              <w:left w:val="nil"/>
              <w:right w:val="nil"/>
            </w:tcBorders>
            <w:vAlign w:val="center"/>
          </w:tcPr>
          <w:p w14:paraId="053D95D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47.9%</w:t>
            </w:r>
          </w:p>
        </w:tc>
      </w:tr>
      <w:tr w:rsidR="00F970C1" w:rsidRPr="008029B2" w14:paraId="430CF241" w14:textId="77777777" w:rsidTr="00F970C1">
        <w:trPr>
          <w:trHeight w:val="288"/>
        </w:trPr>
        <w:tc>
          <w:tcPr>
            <w:tcW w:w="1231" w:type="pct"/>
            <w:tcBorders>
              <w:top w:val="nil"/>
              <w:left w:val="nil"/>
              <w:bottom w:val="single" w:sz="4" w:space="0" w:color="auto"/>
              <w:right w:val="nil"/>
            </w:tcBorders>
            <w:shd w:val="clear" w:color="auto" w:fill="auto"/>
            <w:noWrap/>
            <w:vAlign w:val="center"/>
            <w:hideMark/>
          </w:tcPr>
          <w:p w14:paraId="3E535BB5" w14:textId="6A20DAD1"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 xml:space="preserve">Wholesale and </w:t>
            </w:r>
            <w:r w:rsidR="006A7B72">
              <w:rPr>
                <w:rFonts w:eastAsia="Times New Roman" w:cs="Times New Roman"/>
                <w:color w:val="000000"/>
                <w:sz w:val="20"/>
                <w:szCs w:val="20"/>
                <w:shd w:val="clear" w:color="auto" w:fill="FFFFFF" w:themeFill="background1"/>
              </w:rPr>
              <w:t>r</w:t>
            </w:r>
            <w:r w:rsidRPr="008029B2">
              <w:rPr>
                <w:rFonts w:eastAsia="Times New Roman" w:cs="Times New Roman"/>
                <w:color w:val="000000"/>
                <w:sz w:val="20"/>
                <w:szCs w:val="20"/>
                <w:shd w:val="clear" w:color="auto" w:fill="FFFFFF" w:themeFill="background1"/>
              </w:rPr>
              <w:t>etail</w:t>
            </w:r>
          </w:p>
        </w:tc>
        <w:tc>
          <w:tcPr>
            <w:tcW w:w="753" w:type="pct"/>
            <w:tcBorders>
              <w:top w:val="nil"/>
              <w:left w:val="nil"/>
              <w:bottom w:val="single" w:sz="4" w:space="0" w:color="auto"/>
              <w:right w:val="nil"/>
            </w:tcBorders>
            <w:shd w:val="clear" w:color="auto" w:fill="auto"/>
            <w:noWrap/>
            <w:vAlign w:val="center"/>
            <w:hideMark/>
          </w:tcPr>
          <w:p w14:paraId="1EF20A78"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9.6%</w:t>
            </w:r>
          </w:p>
        </w:tc>
        <w:tc>
          <w:tcPr>
            <w:tcW w:w="754" w:type="pct"/>
            <w:tcBorders>
              <w:top w:val="nil"/>
              <w:left w:val="nil"/>
              <w:bottom w:val="single" w:sz="4" w:space="0" w:color="auto"/>
              <w:right w:val="nil"/>
            </w:tcBorders>
            <w:shd w:val="clear" w:color="auto" w:fill="auto"/>
            <w:noWrap/>
            <w:vAlign w:val="center"/>
            <w:hideMark/>
          </w:tcPr>
          <w:p w14:paraId="46885DA8"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26.7%</w:t>
            </w:r>
          </w:p>
        </w:tc>
        <w:tc>
          <w:tcPr>
            <w:tcW w:w="753" w:type="pct"/>
            <w:tcBorders>
              <w:top w:val="nil"/>
              <w:left w:val="nil"/>
              <w:bottom w:val="single" w:sz="4" w:space="0" w:color="auto"/>
              <w:right w:val="nil"/>
            </w:tcBorders>
            <w:shd w:val="clear" w:color="auto" w:fill="auto"/>
            <w:noWrap/>
            <w:vAlign w:val="center"/>
            <w:hideMark/>
          </w:tcPr>
          <w:p w14:paraId="787DDB7B"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33.6%</w:t>
            </w:r>
          </w:p>
        </w:tc>
        <w:tc>
          <w:tcPr>
            <w:tcW w:w="754" w:type="pct"/>
            <w:tcBorders>
              <w:top w:val="nil"/>
              <w:left w:val="nil"/>
              <w:bottom w:val="single" w:sz="4" w:space="0" w:color="auto"/>
              <w:right w:val="nil"/>
            </w:tcBorders>
            <w:shd w:val="clear" w:color="auto" w:fill="auto"/>
            <w:noWrap/>
            <w:vAlign w:val="center"/>
            <w:hideMark/>
          </w:tcPr>
          <w:p w14:paraId="0F59FBA4"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17.2%</w:t>
            </w:r>
          </w:p>
        </w:tc>
        <w:tc>
          <w:tcPr>
            <w:tcW w:w="754" w:type="pct"/>
            <w:tcBorders>
              <w:top w:val="nil"/>
              <w:left w:val="nil"/>
              <w:bottom w:val="single" w:sz="4" w:space="0" w:color="auto"/>
              <w:right w:val="nil"/>
            </w:tcBorders>
            <w:vAlign w:val="center"/>
          </w:tcPr>
          <w:p w14:paraId="0A178318"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43.1%</w:t>
            </w:r>
          </w:p>
        </w:tc>
      </w:tr>
      <w:tr w:rsidR="00F970C1" w:rsidRPr="008029B2" w14:paraId="5E6CE3EC" w14:textId="77777777" w:rsidTr="00F970C1">
        <w:trPr>
          <w:trHeight w:val="288"/>
        </w:trPr>
        <w:tc>
          <w:tcPr>
            <w:tcW w:w="1231" w:type="pct"/>
            <w:tcBorders>
              <w:top w:val="single" w:sz="4" w:space="0" w:color="auto"/>
              <w:left w:val="nil"/>
              <w:bottom w:val="nil"/>
              <w:right w:val="nil"/>
            </w:tcBorders>
            <w:shd w:val="clear" w:color="auto" w:fill="auto"/>
            <w:noWrap/>
            <w:vAlign w:val="center"/>
            <w:hideMark/>
          </w:tcPr>
          <w:p w14:paraId="62B68CD7"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Food</w:t>
            </w:r>
          </w:p>
        </w:tc>
        <w:tc>
          <w:tcPr>
            <w:tcW w:w="753" w:type="pct"/>
            <w:tcBorders>
              <w:top w:val="single" w:sz="4" w:space="0" w:color="auto"/>
              <w:left w:val="nil"/>
              <w:bottom w:val="nil"/>
              <w:right w:val="nil"/>
            </w:tcBorders>
            <w:shd w:val="clear" w:color="auto" w:fill="auto"/>
            <w:noWrap/>
            <w:vAlign w:val="center"/>
            <w:hideMark/>
          </w:tcPr>
          <w:p w14:paraId="1045FD28"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5.4%</w:t>
            </w:r>
          </w:p>
        </w:tc>
        <w:tc>
          <w:tcPr>
            <w:tcW w:w="754" w:type="pct"/>
            <w:tcBorders>
              <w:top w:val="single" w:sz="4" w:space="0" w:color="auto"/>
              <w:left w:val="nil"/>
              <w:bottom w:val="nil"/>
              <w:right w:val="nil"/>
            </w:tcBorders>
            <w:shd w:val="clear" w:color="auto" w:fill="auto"/>
            <w:noWrap/>
            <w:vAlign w:val="center"/>
            <w:hideMark/>
          </w:tcPr>
          <w:p w14:paraId="680DB455"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39.8%</w:t>
            </w:r>
          </w:p>
        </w:tc>
        <w:tc>
          <w:tcPr>
            <w:tcW w:w="753" w:type="pct"/>
            <w:tcBorders>
              <w:top w:val="single" w:sz="4" w:space="0" w:color="auto"/>
              <w:left w:val="nil"/>
              <w:bottom w:val="nil"/>
              <w:right w:val="nil"/>
            </w:tcBorders>
            <w:shd w:val="clear" w:color="auto" w:fill="auto"/>
            <w:noWrap/>
            <w:vAlign w:val="center"/>
            <w:hideMark/>
          </w:tcPr>
          <w:p w14:paraId="70CC01A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43.5%</w:t>
            </w:r>
          </w:p>
        </w:tc>
        <w:tc>
          <w:tcPr>
            <w:tcW w:w="754" w:type="pct"/>
            <w:tcBorders>
              <w:top w:val="single" w:sz="4" w:space="0" w:color="auto"/>
              <w:left w:val="nil"/>
              <w:bottom w:val="nil"/>
              <w:right w:val="nil"/>
            </w:tcBorders>
            <w:shd w:val="clear" w:color="auto" w:fill="auto"/>
            <w:noWrap/>
            <w:vAlign w:val="center"/>
            <w:hideMark/>
          </w:tcPr>
          <w:p w14:paraId="5D698A7D"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67.1%</w:t>
            </w:r>
          </w:p>
        </w:tc>
        <w:tc>
          <w:tcPr>
            <w:tcW w:w="754" w:type="pct"/>
            <w:tcBorders>
              <w:top w:val="single" w:sz="4" w:space="0" w:color="auto"/>
              <w:left w:val="nil"/>
              <w:bottom w:val="nil"/>
              <w:right w:val="nil"/>
            </w:tcBorders>
            <w:vAlign w:val="center"/>
          </w:tcPr>
          <w:p w14:paraId="34F2B74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58.4%</w:t>
            </w:r>
          </w:p>
        </w:tc>
      </w:tr>
      <w:tr w:rsidR="00F970C1" w:rsidRPr="008029B2" w14:paraId="7A90E38B" w14:textId="77777777" w:rsidTr="00F970C1">
        <w:trPr>
          <w:trHeight w:val="288"/>
        </w:trPr>
        <w:tc>
          <w:tcPr>
            <w:tcW w:w="1231" w:type="pct"/>
            <w:tcBorders>
              <w:top w:val="nil"/>
              <w:left w:val="nil"/>
              <w:bottom w:val="nil"/>
              <w:right w:val="nil"/>
            </w:tcBorders>
            <w:shd w:val="clear" w:color="auto" w:fill="auto"/>
            <w:noWrap/>
            <w:vAlign w:val="center"/>
            <w:hideMark/>
          </w:tcPr>
          <w:p w14:paraId="1270AE20"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Garments</w:t>
            </w:r>
          </w:p>
        </w:tc>
        <w:tc>
          <w:tcPr>
            <w:tcW w:w="753" w:type="pct"/>
            <w:tcBorders>
              <w:top w:val="nil"/>
              <w:left w:val="nil"/>
              <w:bottom w:val="nil"/>
              <w:right w:val="nil"/>
            </w:tcBorders>
            <w:shd w:val="clear" w:color="auto" w:fill="auto"/>
            <w:noWrap/>
            <w:vAlign w:val="center"/>
            <w:hideMark/>
          </w:tcPr>
          <w:p w14:paraId="07D4CFDB"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13.2%</w:t>
            </w:r>
          </w:p>
        </w:tc>
        <w:tc>
          <w:tcPr>
            <w:tcW w:w="754" w:type="pct"/>
            <w:tcBorders>
              <w:top w:val="nil"/>
              <w:left w:val="nil"/>
              <w:bottom w:val="nil"/>
              <w:right w:val="nil"/>
            </w:tcBorders>
            <w:shd w:val="clear" w:color="auto" w:fill="auto"/>
            <w:noWrap/>
            <w:vAlign w:val="center"/>
            <w:hideMark/>
          </w:tcPr>
          <w:p w14:paraId="0A36A9F4"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38.1%</w:t>
            </w:r>
          </w:p>
        </w:tc>
        <w:tc>
          <w:tcPr>
            <w:tcW w:w="753" w:type="pct"/>
            <w:tcBorders>
              <w:top w:val="nil"/>
              <w:left w:val="nil"/>
              <w:bottom w:val="nil"/>
              <w:right w:val="nil"/>
            </w:tcBorders>
            <w:shd w:val="clear" w:color="auto" w:fill="auto"/>
            <w:noWrap/>
            <w:vAlign w:val="center"/>
            <w:hideMark/>
          </w:tcPr>
          <w:p w14:paraId="6E229B41"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44.9%</w:t>
            </w:r>
          </w:p>
        </w:tc>
        <w:tc>
          <w:tcPr>
            <w:tcW w:w="754" w:type="pct"/>
            <w:tcBorders>
              <w:top w:val="nil"/>
              <w:left w:val="nil"/>
              <w:bottom w:val="nil"/>
              <w:right w:val="nil"/>
            </w:tcBorders>
            <w:shd w:val="clear" w:color="auto" w:fill="auto"/>
            <w:noWrap/>
            <w:vAlign w:val="center"/>
            <w:hideMark/>
          </w:tcPr>
          <w:p w14:paraId="40AAED7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78.9%</w:t>
            </w:r>
          </w:p>
        </w:tc>
        <w:tc>
          <w:tcPr>
            <w:tcW w:w="754" w:type="pct"/>
            <w:tcBorders>
              <w:top w:val="nil"/>
              <w:left w:val="nil"/>
              <w:bottom w:val="nil"/>
              <w:right w:val="nil"/>
            </w:tcBorders>
            <w:vAlign w:val="center"/>
          </w:tcPr>
          <w:p w14:paraId="7865F5BA"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53%</w:t>
            </w:r>
          </w:p>
        </w:tc>
      </w:tr>
      <w:tr w:rsidR="00F970C1" w:rsidRPr="008029B2" w14:paraId="4620629A" w14:textId="77777777" w:rsidTr="00F970C1">
        <w:trPr>
          <w:trHeight w:val="288"/>
        </w:trPr>
        <w:tc>
          <w:tcPr>
            <w:tcW w:w="1231" w:type="pct"/>
            <w:tcBorders>
              <w:top w:val="nil"/>
              <w:left w:val="nil"/>
              <w:bottom w:val="nil"/>
              <w:right w:val="nil"/>
            </w:tcBorders>
            <w:shd w:val="clear" w:color="auto" w:fill="auto"/>
            <w:noWrap/>
            <w:vAlign w:val="center"/>
            <w:hideMark/>
          </w:tcPr>
          <w:p w14:paraId="237638D2" w14:textId="6F7E72FB"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 xml:space="preserve">Publishing, </w:t>
            </w:r>
            <w:r w:rsidR="00CE4844">
              <w:rPr>
                <w:rFonts w:eastAsia="Times New Roman" w:cs="Times New Roman"/>
                <w:color w:val="000000"/>
                <w:sz w:val="20"/>
                <w:szCs w:val="20"/>
                <w:shd w:val="clear" w:color="auto" w:fill="FFFFFF" w:themeFill="background1"/>
              </w:rPr>
              <w:t>p</w:t>
            </w:r>
            <w:r w:rsidRPr="008029B2">
              <w:rPr>
                <w:rFonts w:eastAsia="Times New Roman" w:cs="Times New Roman"/>
                <w:color w:val="000000"/>
                <w:sz w:val="20"/>
                <w:szCs w:val="20"/>
                <w:shd w:val="clear" w:color="auto" w:fill="FFFFFF" w:themeFill="background1"/>
              </w:rPr>
              <w:t>rinting</w:t>
            </w:r>
          </w:p>
        </w:tc>
        <w:tc>
          <w:tcPr>
            <w:tcW w:w="753" w:type="pct"/>
            <w:tcBorders>
              <w:top w:val="nil"/>
              <w:left w:val="nil"/>
              <w:bottom w:val="nil"/>
              <w:right w:val="nil"/>
            </w:tcBorders>
            <w:shd w:val="clear" w:color="auto" w:fill="auto"/>
            <w:noWrap/>
            <w:vAlign w:val="center"/>
            <w:hideMark/>
          </w:tcPr>
          <w:p w14:paraId="096E845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4.8%</w:t>
            </w:r>
          </w:p>
        </w:tc>
        <w:tc>
          <w:tcPr>
            <w:tcW w:w="754" w:type="pct"/>
            <w:tcBorders>
              <w:top w:val="nil"/>
              <w:left w:val="nil"/>
              <w:bottom w:val="nil"/>
              <w:right w:val="nil"/>
            </w:tcBorders>
            <w:shd w:val="clear" w:color="auto" w:fill="auto"/>
            <w:noWrap/>
            <w:vAlign w:val="center"/>
            <w:hideMark/>
          </w:tcPr>
          <w:p w14:paraId="6FD8C6D6"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20.0%</w:t>
            </w:r>
          </w:p>
        </w:tc>
        <w:tc>
          <w:tcPr>
            <w:tcW w:w="753" w:type="pct"/>
            <w:tcBorders>
              <w:top w:val="nil"/>
              <w:left w:val="nil"/>
              <w:bottom w:val="nil"/>
              <w:right w:val="nil"/>
            </w:tcBorders>
            <w:shd w:val="clear" w:color="auto" w:fill="auto"/>
            <w:noWrap/>
            <w:vAlign w:val="center"/>
            <w:hideMark/>
          </w:tcPr>
          <w:p w14:paraId="6A5104E3"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20.0%</w:t>
            </w:r>
          </w:p>
        </w:tc>
        <w:tc>
          <w:tcPr>
            <w:tcW w:w="754" w:type="pct"/>
            <w:tcBorders>
              <w:top w:val="nil"/>
              <w:left w:val="nil"/>
              <w:bottom w:val="nil"/>
              <w:right w:val="nil"/>
            </w:tcBorders>
            <w:shd w:val="clear" w:color="auto" w:fill="auto"/>
            <w:noWrap/>
            <w:vAlign w:val="center"/>
            <w:hideMark/>
          </w:tcPr>
          <w:p w14:paraId="4135702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48.4%</w:t>
            </w:r>
          </w:p>
        </w:tc>
        <w:tc>
          <w:tcPr>
            <w:tcW w:w="754" w:type="pct"/>
            <w:tcBorders>
              <w:top w:val="nil"/>
              <w:left w:val="nil"/>
              <w:bottom w:val="nil"/>
              <w:right w:val="nil"/>
            </w:tcBorders>
            <w:vAlign w:val="center"/>
          </w:tcPr>
          <w:p w14:paraId="3A1B5889"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65.7%</w:t>
            </w:r>
          </w:p>
        </w:tc>
      </w:tr>
      <w:tr w:rsidR="00F970C1" w:rsidRPr="008029B2" w14:paraId="0F97BA0E" w14:textId="77777777" w:rsidTr="00F970C1">
        <w:trPr>
          <w:trHeight w:val="288"/>
        </w:trPr>
        <w:tc>
          <w:tcPr>
            <w:tcW w:w="1231" w:type="pct"/>
            <w:tcBorders>
              <w:top w:val="nil"/>
              <w:left w:val="nil"/>
              <w:bottom w:val="nil"/>
              <w:right w:val="nil"/>
            </w:tcBorders>
            <w:shd w:val="clear" w:color="auto" w:fill="auto"/>
            <w:noWrap/>
            <w:vAlign w:val="center"/>
            <w:hideMark/>
          </w:tcPr>
          <w:p w14:paraId="637377D3" w14:textId="097778BE" w:rsidR="00F970C1" w:rsidRPr="008029B2" w:rsidRDefault="00F970C1" w:rsidP="00D727BF">
            <w:pPr>
              <w:tabs>
                <w:tab w:val="left" w:pos="720"/>
              </w:tabs>
              <w:spacing w:after="0"/>
              <w:jc w:val="left"/>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Nonmetallic</w:t>
            </w:r>
            <w:r w:rsidR="006A7B72">
              <w:rPr>
                <w:rFonts w:eastAsia="Times New Roman" w:cs="Times New Roman"/>
                <w:color w:val="000000"/>
                <w:sz w:val="20"/>
                <w:szCs w:val="20"/>
                <w:shd w:val="clear" w:color="auto" w:fill="FFFFFF" w:themeFill="background1"/>
              </w:rPr>
              <w:t xml:space="preserve"> </w:t>
            </w:r>
            <w:r w:rsidRPr="008029B2">
              <w:rPr>
                <w:rFonts w:eastAsia="Times New Roman" w:cs="Times New Roman"/>
                <w:color w:val="000000"/>
                <w:sz w:val="20"/>
                <w:szCs w:val="20"/>
                <w:shd w:val="clear" w:color="auto" w:fill="FFFFFF" w:themeFill="background1"/>
              </w:rPr>
              <w:t>mineral products</w:t>
            </w:r>
          </w:p>
        </w:tc>
        <w:tc>
          <w:tcPr>
            <w:tcW w:w="753" w:type="pct"/>
            <w:tcBorders>
              <w:top w:val="nil"/>
              <w:left w:val="nil"/>
              <w:bottom w:val="nil"/>
              <w:right w:val="nil"/>
            </w:tcBorders>
            <w:shd w:val="clear" w:color="auto" w:fill="auto"/>
            <w:noWrap/>
            <w:vAlign w:val="center"/>
            <w:hideMark/>
          </w:tcPr>
          <w:p w14:paraId="5FC8B73C"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9.6%</w:t>
            </w:r>
          </w:p>
        </w:tc>
        <w:tc>
          <w:tcPr>
            <w:tcW w:w="754" w:type="pct"/>
            <w:tcBorders>
              <w:top w:val="nil"/>
              <w:left w:val="nil"/>
              <w:bottom w:val="nil"/>
              <w:right w:val="nil"/>
            </w:tcBorders>
            <w:shd w:val="clear" w:color="auto" w:fill="auto"/>
            <w:noWrap/>
            <w:vAlign w:val="center"/>
            <w:hideMark/>
          </w:tcPr>
          <w:p w14:paraId="322A73FB"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16.2%</w:t>
            </w:r>
          </w:p>
        </w:tc>
        <w:tc>
          <w:tcPr>
            <w:tcW w:w="753" w:type="pct"/>
            <w:tcBorders>
              <w:top w:val="nil"/>
              <w:left w:val="nil"/>
              <w:bottom w:val="nil"/>
              <w:right w:val="nil"/>
            </w:tcBorders>
            <w:shd w:val="clear" w:color="auto" w:fill="auto"/>
            <w:noWrap/>
            <w:vAlign w:val="center"/>
            <w:hideMark/>
          </w:tcPr>
          <w:p w14:paraId="21B02F57"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17.5%</w:t>
            </w:r>
          </w:p>
        </w:tc>
        <w:tc>
          <w:tcPr>
            <w:tcW w:w="754" w:type="pct"/>
            <w:tcBorders>
              <w:top w:val="nil"/>
              <w:left w:val="nil"/>
              <w:bottom w:val="nil"/>
              <w:right w:val="nil"/>
            </w:tcBorders>
            <w:shd w:val="clear" w:color="auto" w:fill="auto"/>
            <w:noWrap/>
            <w:vAlign w:val="center"/>
            <w:hideMark/>
          </w:tcPr>
          <w:p w14:paraId="7F14D732"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10.0%</w:t>
            </w:r>
          </w:p>
        </w:tc>
        <w:tc>
          <w:tcPr>
            <w:tcW w:w="754" w:type="pct"/>
            <w:tcBorders>
              <w:top w:val="nil"/>
              <w:left w:val="nil"/>
              <w:bottom w:val="nil"/>
              <w:right w:val="nil"/>
            </w:tcBorders>
            <w:vAlign w:val="center"/>
          </w:tcPr>
          <w:p w14:paraId="5D909B03"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49.2%</w:t>
            </w:r>
          </w:p>
        </w:tc>
      </w:tr>
      <w:tr w:rsidR="00F970C1" w:rsidRPr="008029B2" w14:paraId="4C625EE8" w14:textId="77777777" w:rsidTr="00F970C1">
        <w:trPr>
          <w:trHeight w:val="288"/>
        </w:trPr>
        <w:tc>
          <w:tcPr>
            <w:tcW w:w="1231" w:type="pct"/>
            <w:tcBorders>
              <w:top w:val="nil"/>
              <w:left w:val="nil"/>
              <w:bottom w:val="nil"/>
              <w:right w:val="nil"/>
            </w:tcBorders>
            <w:shd w:val="clear" w:color="auto" w:fill="auto"/>
            <w:noWrap/>
            <w:vAlign w:val="center"/>
            <w:hideMark/>
          </w:tcPr>
          <w:p w14:paraId="4AC95725"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Basic metals, products</w:t>
            </w:r>
          </w:p>
        </w:tc>
        <w:tc>
          <w:tcPr>
            <w:tcW w:w="753" w:type="pct"/>
            <w:tcBorders>
              <w:top w:val="nil"/>
              <w:left w:val="nil"/>
              <w:bottom w:val="nil"/>
              <w:right w:val="nil"/>
            </w:tcBorders>
            <w:shd w:val="clear" w:color="auto" w:fill="auto"/>
            <w:noWrap/>
            <w:vAlign w:val="center"/>
            <w:hideMark/>
          </w:tcPr>
          <w:p w14:paraId="2920F8CA"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29.2%</w:t>
            </w:r>
          </w:p>
        </w:tc>
        <w:tc>
          <w:tcPr>
            <w:tcW w:w="754" w:type="pct"/>
            <w:tcBorders>
              <w:top w:val="nil"/>
              <w:left w:val="nil"/>
              <w:bottom w:val="nil"/>
              <w:right w:val="nil"/>
            </w:tcBorders>
            <w:shd w:val="clear" w:color="auto" w:fill="auto"/>
            <w:noWrap/>
            <w:vAlign w:val="center"/>
            <w:hideMark/>
          </w:tcPr>
          <w:p w14:paraId="70F528C2"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54.3%</w:t>
            </w:r>
          </w:p>
        </w:tc>
        <w:tc>
          <w:tcPr>
            <w:tcW w:w="753" w:type="pct"/>
            <w:tcBorders>
              <w:top w:val="nil"/>
              <w:left w:val="nil"/>
              <w:bottom w:val="nil"/>
              <w:right w:val="nil"/>
            </w:tcBorders>
            <w:shd w:val="clear" w:color="auto" w:fill="auto"/>
            <w:noWrap/>
            <w:vAlign w:val="center"/>
            <w:hideMark/>
          </w:tcPr>
          <w:p w14:paraId="08299058"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56.7%</w:t>
            </w:r>
          </w:p>
        </w:tc>
        <w:tc>
          <w:tcPr>
            <w:tcW w:w="754" w:type="pct"/>
            <w:tcBorders>
              <w:top w:val="nil"/>
              <w:left w:val="nil"/>
              <w:bottom w:val="nil"/>
              <w:right w:val="nil"/>
            </w:tcBorders>
            <w:shd w:val="clear" w:color="auto" w:fill="auto"/>
            <w:noWrap/>
            <w:vAlign w:val="center"/>
            <w:hideMark/>
          </w:tcPr>
          <w:p w14:paraId="3D9328C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45.7%</w:t>
            </w:r>
          </w:p>
        </w:tc>
        <w:tc>
          <w:tcPr>
            <w:tcW w:w="754" w:type="pct"/>
            <w:tcBorders>
              <w:top w:val="nil"/>
              <w:left w:val="nil"/>
              <w:bottom w:val="nil"/>
              <w:right w:val="nil"/>
            </w:tcBorders>
            <w:vAlign w:val="center"/>
          </w:tcPr>
          <w:p w14:paraId="51914073"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45.8%</w:t>
            </w:r>
          </w:p>
        </w:tc>
      </w:tr>
      <w:tr w:rsidR="00F970C1" w:rsidRPr="008029B2" w14:paraId="75A58F33" w14:textId="77777777" w:rsidTr="00F970C1">
        <w:trPr>
          <w:trHeight w:val="288"/>
        </w:trPr>
        <w:tc>
          <w:tcPr>
            <w:tcW w:w="1231" w:type="pct"/>
            <w:tcBorders>
              <w:top w:val="nil"/>
              <w:left w:val="nil"/>
              <w:bottom w:val="nil"/>
              <w:right w:val="nil"/>
            </w:tcBorders>
            <w:shd w:val="clear" w:color="auto" w:fill="auto"/>
            <w:noWrap/>
            <w:vAlign w:val="center"/>
            <w:hideMark/>
          </w:tcPr>
          <w:p w14:paraId="74DFD008"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Furniture</w:t>
            </w:r>
          </w:p>
        </w:tc>
        <w:tc>
          <w:tcPr>
            <w:tcW w:w="753" w:type="pct"/>
            <w:tcBorders>
              <w:top w:val="nil"/>
              <w:left w:val="nil"/>
              <w:bottom w:val="nil"/>
              <w:right w:val="nil"/>
            </w:tcBorders>
            <w:shd w:val="clear" w:color="auto" w:fill="auto"/>
            <w:noWrap/>
            <w:vAlign w:val="center"/>
            <w:hideMark/>
          </w:tcPr>
          <w:p w14:paraId="493CB65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8.5%</w:t>
            </w:r>
          </w:p>
        </w:tc>
        <w:tc>
          <w:tcPr>
            <w:tcW w:w="754" w:type="pct"/>
            <w:tcBorders>
              <w:top w:val="nil"/>
              <w:left w:val="nil"/>
              <w:bottom w:val="nil"/>
              <w:right w:val="nil"/>
            </w:tcBorders>
            <w:shd w:val="clear" w:color="auto" w:fill="auto"/>
            <w:noWrap/>
            <w:vAlign w:val="center"/>
            <w:hideMark/>
          </w:tcPr>
          <w:p w14:paraId="392D30E8"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30.2%</w:t>
            </w:r>
          </w:p>
        </w:tc>
        <w:tc>
          <w:tcPr>
            <w:tcW w:w="753" w:type="pct"/>
            <w:tcBorders>
              <w:top w:val="nil"/>
              <w:left w:val="nil"/>
              <w:bottom w:val="nil"/>
              <w:right w:val="nil"/>
            </w:tcBorders>
            <w:shd w:val="clear" w:color="auto" w:fill="auto"/>
            <w:noWrap/>
            <w:vAlign w:val="center"/>
            <w:hideMark/>
          </w:tcPr>
          <w:p w14:paraId="15B9F852"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34.6%</w:t>
            </w:r>
          </w:p>
        </w:tc>
        <w:tc>
          <w:tcPr>
            <w:tcW w:w="754" w:type="pct"/>
            <w:tcBorders>
              <w:top w:val="nil"/>
              <w:left w:val="nil"/>
              <w:bottom w:val="nil"/>
              <w:right w:val="nil"/>
            </w:tcBorders>
            <w:shd w:val="clear" w:color="auto" w:fill="auto"/>
            <w:noWrap/>
            <w:vAlign w:val="center"/>
            <w:hideMark/>
          </w:tcPr>
          <w:p w14:paraId="1A781292"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56.9%</w:t>
            </w:r>
          </w:p>
        </w:tc>
        <w:tc>
          <w:tcPr>
            <w:tcW w:w="754" w:type="pct"/>
            <w:tcBorders>
              <w:top w:val="nil"/>
              <w:left w:val="nil"/>
              <w:bottom w:val="nil"/>
              <w:right w:val="nil"/>
            </w:tcBorders>
            <w:vAlign w:val="center"/>
          </w:tcPr>
          <w:p w14:paraId="0B6D2809"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25.1%</w:t>
            </w:r>
          </w:p>
        </w:tc>
      </w:tr>
      <w:tr w:rsidR="00F970C1" w:rsidRPr="008029B2" w14:paraId="64052D22" w14:textId="77777777" w:rsidTr="00F970C1">
        <w:trPr>
          <w:trHeight w:val="288"/>
        </w:trPr>
        <w:tc>
          <w:tcPr>
            <w:tcW w:w="1231" w:type="pct"/>
            <w:tcBorders>
              <w:top w:val="nil"/>
              <w:left w:val="nil"/>
              <w:bottom w:val="nil"/>
              <w:right w:val="nil"/>
            </w:tcBorders>
            <w:shd w:val="clear" w:color="auto" w:fill="auto"/>
            <w:noWrap/>
            <w:vAlign w:val="center"/>
            <w:hideMark/>
          </w:tcPr>
          <w:p w14:paraId="6B737EA0"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Motor vehicle services</w:t>
            </w:r>
          </w:p>
        </w:tc>
        <w:tc>
          <w:tcPr>
            <w:tcW w:w="753" w:type="pct"/>
            <w:tcBorders>
              <w:top w:val="nil"/>
              <w:left w:val="nil"/>
              <w:bottom w:val="nil"/>
              <w:right w:val="nil"/>
            </w:tcBorders>
            <w:shd w:val="clear" w:color="auto" w:fill="auto"/>
            <w:noWrap/>
            <w:vAlign w:val="center"/>
            <w:hideMark/>
          </w:tcPr>
          <w:p w14:paraId="48CDBDE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19.2%</w:t>
            </w:r>
          </w:p>
        </w:tc>
        <w:tc>
          <w:tcPr>
            <w:tcW w:w="754" w:type="pct"/>
            <w:tcBorders>
              <w:top w:val="nil"/>
              <w:left w:val="nil"/>
              <w:bottom w:val="nil"/>
              <w:right w:val="nil"/>
            </w:tcBorders>
            <w:shd w:val="clear" w:color="auto" w:fill="auto"/>
            <w:noWrap/>
            <w:vAlign w:val="center"/>
            <w:hideMark/>
          </w:tcPr>
          <w:p w14:paraId="17FC2C67"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16.1%</w:t>
            </w:r>
          </w:p>
        </w:tc>
        <w:tc>
          <w:tcPr>
            <w:tcW w:w="753" w:type="pct"/>
            <w:tcBorders>
              <w:top w:val="nil"/>
              <w:left w:val="nil"/>
              <w:bottom w:val="nil"/>
              <w:right w:val="nil"/>
            </w:tcBorders>
            <w:shd w:val="clear" w:color="auto" w:fill="auto"/>
            <w:noWrap/>
            <w:vAlign w:val="center"/>
            <w:hideMark/>
          </w:tcPr>
          <w:p w14:paraId="40403632"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27.4%</w:t>
            </w:r>
          </w:p>
        </w:tc>
        <w:tc>
          <w:tcPr>
            <w:tcW w:w="754" w:type="pct"/>
            <w:tcBorders>
              <w:top w:val="nil"/>
              <w:left w:val="nil"/>
              <w:bottom w:val="nil"/>
              <w:right w:val="nil"/>
            </w:tcBorders>
            <w:shd w:val="clear" w:color="auto" w:fill="auto"/>
            <w:noWrap/>
            <w:vAlign w:val="center"/>
            <w:hideMark/>
          </w:tcPr>
          <w:p w14:paraId="7A6C00A4"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44.7%</w:t>
            </w:r>
          </w:p>
        </w:tc>
        <w:tc>
          <w:tcPr>
            <w:tcW w:w="754" w:type="pct"/>
            <w:tcBorders>
              <w:top w:val="nil"/>
              <w:left w:val="nil"/>
              <w:bottom w:val="nil"/>
              <w:right w:val="nil"/>
            </w:tcBorders>
            <w:vAlign w:val="center"/>
          </w:tcPr>
          <w:p w14:paraId="1C6183AC"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27.3%</w:t>
            </w:r>
          </w:p>
        </w:tc>
      </w:tr>
      <w:tr w:rsidR="00F970C1" w:rsidRPr="008029B2" w14:paraId="3E9C76AD" w14:textId="77777777" w:rsidTr="00F970C1">
        <w:trPr>
          <w:trHeight w:val="288"/>
        </w:trPr>
        <w:tc>
          <w:tcPr>
            <w:tcW w:w="1231" w:type="pct"/>
            <w:tcBorders>
              <w:top w:val="nil"/>
              <w:left w:val="nil"/>
              <w:bottom w:val="nil"/>
              <w:right w:val="nil"/>
            </w:tcBorders>
            <w:shd w:val="clear" w:color="auto" w:fill="auto"/>
            <w:noWrap/>
            <w:vAlign w:val="center"/>
            <w:hideMark/>
          </w:tcPr>
          <w:p w14:paraId="35A14E6A"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Wholesale</w:t>
            </w:r>
          </w:p>
        </w:tc>
        <w:tc>
          <w:tcPr>
            <w:tcW w:w="753" w:type="pct"/>
            <w:tcBorders>
              <w:top w:val="nil"/>
              <w:left w:val="nil"/>
              <w:bottom w:val="nil"/>
              <w:right w:val="nil"/>
            </w:tcBorders>
            <w:shd w:val="clear" w:color="auto" w:fill="auto"/>
            <w:noWrap/>
            <w:vAlign w:val="center"/>
            <w:hideMark/>
          </w:tcPr>
          <w:p w14:paraId="084A02EA"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1.2%</w:t>
            </w:r>
          </w:p>
        </w:tc>
        <w:tc>
          <w:tcPr>
            <w:tcW w:w="754" w:type="pct"/>
            <w:tcBorders>
              <w:top w:val="nil"/>
              <w:left w:val="nil"/>
              <w:bottom w:val="nil"/>
              <w:right w:val="nil"/>
            </w:tcBorders>
            <w:shd w:val="clear" w:color="auto" w:fill="auto"/>
            <w:noWrap/>
            <w:vAlign w:val="center"/>
            <w:hideMark/>
          </w:tcPr>
          <w:p w14:paraId="1A5E8CA6"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24.5%</w:t>
            </w:r>
          </w:p>
        </w:tc>
        <w:tc>
          <w:tcPr>
            <w:tcW w:w="753" w:type="pct"/>
            <w:tcBorders>
              <w:top w:val="nil"/>
              <w:left w:val="nil"/>
              <w:bottom w:val="nil"/>
              <w:right w:val="nil"/>
            </w:tcBorders>
            <w:shd w:val="clear" w:color="auto" w:fill="auto"/>
            <w:noWrap/>
            <w:vAlign w:val="center"/>
            <w:hideMark/>
          </w:tcPr>
          <w:p w14:paraId="38467447"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25.3%</w:t>
            </w:r>
          </w:p>
        </w:tc>
        <w:tc>
          <w:tcPr>
            <w:tcW w:w="754" w:type="pct"/>
            <w:tcBorders>
              <w:top w:val="nil"/>
              <w:left w:val="nil"/>
              <w:bottom w:val="nil"/>
              <w:right w:val="nil"/>
            </w:tcBorders>
            <w:shd w:val="clear" w:color="auto" w:fill="auto"/>
            <w:noWrap/>
            <w:vAlign w:val="center"/>
            <w:hideMark/>
          </w:tcPr>
          <w:p w14:paraId="01E79593"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5.5%</w:t>
            </w:r>
          </w:p>
        </w:tc>
        <w:tc>
          <w:tcPr>
            <w:tcW w:w="754" w:type="pct"/>
            <w:tcBorders>
              <w:top w:val="nil"/>
              <w:left w:val="nil"/>
              <w:bottom w:val="nil"/>
              <w:right w:val="nil"/>
            </w:tcBorders>
            <w:vAlign w:val="center"/>
          </w:tcPr>
          <w:p w14:paraId="2C61CA59"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10%</w:t>
            </w:r>
          </w:p>
        </w:tc>
      </w:tr>
      <w:tr w:rsidR="00F970C1" w:rsidRPr="008029B2" w14:paraId="5C93B1B2" w14:textId="77777777" w:rsidTr="00F970C1">
        <w:trPr>
          <w:trHeight w:val="288"/>
        </w:trPr>
        <w:tc>
          <w:tcPr>
            <w:tcW w:w="1231" w:type="pct"/>
            <w:tcBorders>
              <w:top w:val="nil"/>
              <w:left w:val="nil"/>
              <w:bottom w:val="nil"/>
              <w:right w:val="nil"/>
            </w:tcBorders>
            <w:shd w:val="clear" w:color="auto" w:fill="auto"/>
            <w:noWrap/>
            <w:vAlign w:val="center"/>
            <w:hideMark/>
          </w:tcPr>
          <w:p w14:paraId="13819A20" w14:textId="77777777"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Retail</w:t>
            </w:r>
          </w:p>
        </w:tc>
        <w:tc>
          <w:tcPr>
            <w:tcW w:w="753" w:type="pct"/>
            <w:tcBorders>
              <w:top w:val="nil"/>
              <w:left w:val="nil"/>
              <w:bottom w:val="nil"/>
              <w:right w:val="nil"/>
            </w:tcBorders>
            <w:shd w:val="clear" w:color="auto" w:fill="auto"/>
            <w:noWrap/>
            <w:vAlign w:val="center"/>
            <w:hideMark/>
          </w:tcPr>
          <w:p w14:paraId="6E0277D8"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8.5%</w:t>
            </w:r>
          </w:p>
        </w:tc>
        <w:tc>
          <w:tcPr>
            <w:tcW w:w="754" w:type="pct"/>
            <w:tcBorders>
              <w:top w:val="nil"/>
              <w:left w:val="nil"/>
              <w:bottom w:val="nil"/>
              <w:right w:val="nil"/>
            </w:tcBorders>
            <w:shd w:val="clear" w:color="auto" w:fill="auto"/>
            <w:noWrap/>
            <w:vAlign w:val="center"/>
            <w:hideMark/>
          </w:tcPr>
          <w:p w14:paraId="6FBC787A"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41.9%</w:t>
            </w:r>
          </w:p>
        </w:tc>
        <w:tc>
          <w:tcPr>
            <w:tcW w:w="753" w:type="pct"/>
            <w:tcBorders>
              <w:top w:val="nil"/>
              <w:left w:val="nil"/>
              <w:bottom w:val="nil"/>
              <w:right w:val="nil"/>
            </w:tcBorders>
            <w:shd w:val="clear" w:color="auto" w:fill="auto"/>
            <w:noWrap/>
            <w:vAlign w:val="center"/>
            <w:hideMark/>
          </w:tcPr>
          <w:p w14:paraId="2C66C673"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46.2%</w:t>
            </w:r>
          </w:p>
        </w:tc>
        <w:tc>
          <w:tcPr>
            <w:tcW w:w="754" w:type="pct"/>
            <w:tcBorders>
              <w:top w:val="nil"/>
              <w:left w:val="nil"/>
              <w:bottom w:val="nil"/>
              <w:right w:val="nil"/>
            </w:tcBorders>
            <w:shd w:val="clear" w:color="auto" w:fill="auto"/>
            <w:noWrap/>
            <w:vAlign w:val="center"/>
            <w:hideMark/>
          </w:tcPr>
          <w:p w14:paraId="7DD7F36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20.7%</w:t>
            </w:r>
          </w:p>
        </w:tc>
        <w:tc>
          <w:tcPr>
            <w:tcW w:w="754" w:type="pct"/>
            <w:tcBorders>
              <w:top w:val="nil"/>
              <w:left w:val="nil"/>
              <w:bottom w:val="nil"/>
              <w:right w:val="nil"/>
            </w:tcBorders>
            <w:vAlign w:val="center"/>
          </w:tcPr>
          <w:p w14:paraId="60A2B201"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55%</w:t>
            </w:r>
          </w:p>
        </w:tc>
      </w:tr>
      <w:tr w:rsidR="00F970C1" w:rsidRPr="008029B2" w14:paraId="43B87BB9" w14:textId="77777777" w:rsidTr="00F970C1">
        <w:trPr>
          <w:trHeight w:val="288"/>
        </w:trPr>
        <w:tc>
          <w:tcPr>
            <w:tcW w:w="1231" w:type="pct"/>
            <w:tcBorders>
              <w:top w:val="nil"/>
              <w:left w:val="nil"/>
              <w:bottom w:val="nil"/>
              <w:right w:val="nil"/>
            </w:tcBorders>
            <w:shd w:val="clear" w:color="auto" w:fill="auto"/>
            <w:noWrap/>
            <w:vAlign w:val="center"/>
            <w:hideMark/>
          </w:tcPr>
          <w:p w14:paraId="2914D1A2" w14:textId="475FCB51" w:rsidR="00F970C1" w:rsidRPr="008029B2" w:rsidRDefault="00F970C1" w:rsidP="00D727BF">
            <w:pPr>
              <w:tabs>
                <w:tab w:val="left" w:pos="720"/>
              </w:tabs>
              <w:spacing w:after="0"/>
              <w:rPr>
                <w:rFonts w:eastAsia="Times New Roman" w:cs="Times New Roman"/>
                <w:color w:val="000000"/>
                <w:sz w:val="20"/>
                <w:szCs w:val="20"/>
                <w:shd w:val="clear" w:color="auto" w:fill="FFFFFF" w:themeFill="background1"/>
              </w:rPr>
            </w:pPr>
            <w:r w:rsidRPr="008029B2">
              <w:rPr>
                <w:rFonts w:eastAsia="Times New Roman" w:cs="Times New Roman"/>
                <w:color w:val="000000"/>
                <w:sz w:val="20"/>
                <w:szCs w:val="20"/>
                <w:shd w:val="clear" w:color="auto" w:fill="FFFFFF" w:themeFill="background1"/>
              </w:rPr>
              <w:t xml:space="preserve">Hotels &amp; </w:t>
            </w:r>
            <w:r w:rsidR="006A7B72">
              <w:rPr>
                <w:rFonts w:eastAsia="Times New Roman" w:cs="Times New Roman"/>
                <w:color w:val="000000"/>
                <w:sz w:val="20"/>
                <w:szCs w:val="20"/>
                <w:shd w:val="clear" w:color="auto" w:fill="FFFFFF" w:themeFill="background1"/>
              </w:rPr>
              <w:t>r</w:t>
            </w:r>
            <w:r w:rsidRPr="008029B2">
              <w:rPr>
                <w:rFonts w:eastAsia="Times New Roman" w:cs="Times New Roman"/>
                <w:color w:val="000000"/>
                <w:sz w:val="20"/>
                <w:szCs w:val="20"/>
                <w:shd w:val="clear" w:color="auto" w:fill="FFFFFF" w:themeFill="background1"/>
              </w:rPr>
              <w:t>estaurants</w:t>
            </w:r>
          </w:p>
        </w:tc>
        <w:tc>
          <w:tcPr>
            <w:tcW w:w="753" w:type="pct"/>
            <w:tcBorders>
              <w:top w:val="nil"/>
              <w:left w:val="nil"/>
              <w:bottom w:val="nil"/>
              <w:right w:val="nil"/>
            </w:tcBorders>
            <w:shd w:val="clear" w:color="auto" w:fill="auto"/>
            <w:noWrap/>
            <w:vAlign w:val="center"/>
            <w:hideMark/>
          </w:tcPr>
          <w:p w14:paraId="1EBAF0C5"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21.7%</w:t>
            </w:r>
          </w:p>
        </w:tc>
        <w:tc>
          <w:tcPr>
            <w:tcW w:w="754" w:type="pct"/>
            <w:tcBorders>
              <w:top w:val="nil"/>
              <w:left w:val="nil"/>
              <w:bottom w:val="nil"/>
              <w:right w:val="nil"/>
            </w:tcBorders>
            <w:shd w:val="clear" w:color="auto" w:fill="auto"/>
            <w:noWrap/>
            <w:vAlign w:val="center"/>
            <w:hideMark/>
          </w:tcPr>
          <w:p w14:paraId="04B382E5"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18.4%</w:t>
            </w:r>
          </w:p>
        </w:tc>
        <w:tc>
          <w:tcPr>
            <w:tcW w:w="753" w:type="pct"/>
            <w:tcBorders>
              <w:top w:val="nil"/>
              <w:left w:val="nil"/>
              <w:bottom w:val="nil"/>
              <w:right w:val="nil"/>
            </w:tcBorders>
            <w:shd w:val="clear" w:color="auto" w:fill="auto"/>
            <w:noWrap/>
            <w:vAlign w:val="center"/>
            <w:hideMark/>
          </w:tcPr>
          <w:p w14:paraId="75B1500C"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33.4%</w:t>
            </w:r>
          </w:p>
        </w:tc>
        <w:tc>
          <w:tcPr>
            <w:tcW w:w="754" w:type="pct"/>
            <w:tcBorders>
              <w:top w:val="nil"/>
              <w:left w:val="nil"/>
              <w:bottom w:val="nil"/>
              <w:right w:val="nil"/>
            </w:tcBorders>
            <w:shd w:val="clear" w:color="auto" w:fill="auto"/>
            <w:noWrap/>
            <w:vAlign w:val="center"/>
            <w:hideMark/>
          </w:tcPr>
          <w:p w14:paraId="2E58D9CA"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65.6%</w:t>
            </w:r>
          </w:p>
        </w:tc>
        <w:tc>
          <w:tcPr>
            <w:tcW w:w="754" w:type="pct"/>
            <w:tcBorders>
              <w:top w:val="nil"/>
              <w:left w:val="nil"/>
              <w:bottom w:val="nil"/>
              <w:right w:val="nil"/>
            </w:tcBorders>
            <w:vAlign w:val="center"/>
          </w:tcPr>
          <w:p w14:paraId="21A7F6EC"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67.6%</w:t>
            </w:r>
          </w:p>
        </w:tc>
      </w:tr>
      <w:tr w:rsidR="00F970C1" w:rsidRPr="008029B2" w14:paraId="0A9CDBFE" w14:textId="77777777" w:rsidTr="00F970C1">
        <w:trPr>
          <w:trHeight w:val="288"/>
        </w:trPr>
        <w:tc>
          <w:tcPr>
            <w:tcW w:w="1231" w:type="pct"/>
            <w:tcBorders>
              <w:top w:val="single" w:sz="4" w:space="0" w:color="auto"/>
              <w:left w:val="nil"/>
              <w:bottom w:val="nil"/>
              <w:right w:val="nil"/>
            </w:tcBorders>
            <w:shd w:val="clear" w:color="auto" w:fill="auto"/>
            <w:noWrap/>
            <w:vAlign w:val="center"/>
            <w:hideMark/>
          </w:tcPr>
          <w:p w14:paraId="176F46B2" w14:textId="4107C867"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A</w:t>
            </w:r>
            <w:r w:rsidR="00F970C1" w:rsidRPr="008029B2">
              <w:rPr>
                <w:rFonts w:eastAsia="Times New Roman" w:cs="Times New Roman"/>
                <w:color w:val="000000"/>
                <w:sz w:val="20"/>
                <w:szCs w:val="20"/>
                <w:shd w:val="clear" w:color="auto" w:fill="FFFFFF" w:themeFill="background1"/>
              </w:rPr>
              <w:t>ge</w:t>
            </w:r>
            <w:r w:rsidR="006A7B72">
              <w:rPr>
                <w:rFonts w:eastAsia="Times New Roman" w:cs="Times New Roman"/>
                <w:color w:val="000000"/>
                <w:sz w:val="20"/>
                <w:szCs w:val="20"/>
                <w:shd w:val="clear" w:color="auto" w:fill="FFFFFF" w:themeFill="background1"/>
              </w:rPr>
              <w:t xml:space="preserve"> </w:t>
            </w:r>
            <w:r w:rsidR="00F970C1" w:rsidRPr="008029B2">
              <w:rPr>
                <w:rFonts w:eastAsia="Times New Roman" w:cs="Times New Roman"/>
                <w:color w:val="000000"/>
                <w:sz w:val="20"/>
                <w:szCs w:val="20"/>
                <w:shd w:val="clear" w:color="auto" w:fill="FFFFFF" w:themeFill="background1"/>
              </w:rPr>
              <w:t>&lt;5</w:t>
            </w:r>
          </w:p>
        </w:tc>
        <w:tc>
          <w:tcPr>
            <w:tcW w:w="753" w:type="pct"/>
            <w:tcBorders>
              <w:top w:val="single" w:sz="4" w:space="0" w:color="auto"/>
              <w:left w:val="nil"/>
              <w:bottom w:val="nil"/>
              <w:right w:val="nil"/>
            </w:tcBorders>
            <w:shd w:val="clear" w:color="auto" w:fill="auto"/>
            <w:noWrap/>
            <w:vAlign w:val="center"/>
            <w:hideMark/>
          </w:tcPr>
          <w:p w14:paraId="22F7D004"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29.1%</w:t>
            </w:r>
          </w:p>
        </w:tc>
        <w:tc>
          <w:tcPr>
            <w:tcW w:w="754" w:type="pct"/>
            <w:tcBorders>
              <w:top w:val="single" w:sz="4" w:space="0" w:color="auto"/>
              <w:left w:val="nil"/>
              <w:bottom w:val="nil"/>
              <w:right w:val="nil"/>
            </w:tcBorders>
            <w:shd w:val="clear" w:color="auto" w:fill="auto"/>
            <w:noWrap/>
            <w:vAlign w:val="center"/>
            <w:hideMark/>
          </w:tcPr>
          <w:p w14:paraId="17F3E985"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36.6%</w:t>
            </w:r>
          </w:p>
        </w:tc>
        <w:tc>
          <w:tcPr>
            <w:tcW w:w="753" w:type="pct"/>
            <w:tcBorders>
              <w:top w:val="single" w:sz="4" w:space="0" w:color="auto"/>
              <w:left w:val="nil"/>
              <w:bottom w:val="nil"/>
              <w:right w:val="nil"/>
            </w:tcBorders>
            <w:shd w:val="clear" w:color="auto" w:fill="auto"/>
            <w:noWrap/>
            <w:vAlign w:val="center"/>
            <w:hideMark/>
          </w:tcPr>
          <w:p w14:paraId="03525269"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62.9%</w:t>
            </w:r>
          </w:p>
        </w:tc>
        <w:tc>
          <w:tcPr>
            <w:tcW w:w="754" w:type="pct"/>
            <w:tcBorders>
              <w:top w:val="single" w:sz="4" w:space="0" w:color="auto"/>
              <w:left w:val="nil"/>
              <w:bottom w:val="nil"/>
              <w:right w:val="nil"/>
            </w:tcBorders>
            <w:shd w:val="clear" w:color="auto" w:fill="auto"/>
            <w:noWrap/>
            <w:vAlign w:val="center"/>
            <w:hideMark/>
          </w:tcPr>
          <w:p w14:paraId="0830376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59.0%</w:t>
            </w:r>
          </w:p>
        </w:tc>
        <w:tc>
          <w:tcPr>
            <w:tcW w:w="754" w:type="pct"/>
            <w:tcBorders>
              <w:top w:val="single" w:sz="4" w:space="0" w:color="auto"/>
              <w:left w:val="nil"/>
              <w:bottom w:val="nil"/>
              <w:right w:val="nil"/>
            </w:tcBorders>
            <w:vAlign w:val="center"/>
          </w:tcPr>
          <w:p w14:paraId="3CC91E51"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43.6%</w:t>
            </w:r>
          </w:p>
        </w:tc>
      </w:tr>
      <w:tr w:rsidR="00F970C1" w:rsidRPr="008029B2" w14:paraId="50796AA4" w14:textId="77777777" w:rsidTr="00F970C1">
        <w:trPr>
          <w:trHeight w:val="288"/>
        </w:trPr>
        <w:tc>
          <w:tcPr>
            <w:tcW w:w="1231" w:type="pct"/>
            <w:tcBorders>
              <w:top w:val="nil"/>
              <w:left w:val="nil"/>
              <w:bottom w:val="nil"/>
              <w:right w:val="nil"/>
            </w:tcBorders>
            <w:shd w:val="clear" w:color="auto" w:fill="auto"/>
            <w:noWrap/>
            <w:vAlign w:val="center"/>
            <w:hideMark/>
          </w:tcPr>
          <w:p w14:paraId="3EB049E8" w14:textId="629FF96C"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A</w:t>
            </w:r>
            <w:r w:rsidR="00F970C1" w:rsidRPr="008029B2">
              <w:rPr>
                <w:rFonts w:eastAsia="Times New Roman" w:cs="Times New Roman"/>
                <w:color w:val="000000"/>
                <w:sz w:val="20"/>
                <w:szCs w:val="20"/>
                <w:shd w:val="clear" w:color="auto" w:fill="FFFFFF" w:themeFill="background1"/>
              </w:rPr>
              <w:t>ge 5</w:t>
            </w:r>
            <w:r w:rsidR="006A7B72">
              <w:rPr>
                <w:rFonts w:ascii="Calibri" w:eastAsia="Times New Roman" w:hAnsi="Calibri" w:cs="Times New Roman"/>
                <w:color w:val="000000"/>
                <w:sz w:val="20"/>
                <w:szCs w:val="20"/>
                <w:shd w:val="clear" w:color="auto" w:fill="FFFFFF" w:themeFill="background1"/>
              </w:rPr>
              <w:t>‒</w:t>
            </w:r>
            <w:r w:rsidR="00F970C1" w:rsidRPr="008029B2">
              <w:rPr>
                <w:rFonts w:eastAsia="Times New Roman" w:cs="Times New Roman"/>
                <w:color w:val="000000"/>
                <w:sz w:val="20"/>
                <w:szCs w:val="20"/>
                <w:shd w:val="clear" w:color="auto" w:fill="FFFFFF" w:themeFill="background1"/>
              </w:rPr>
              <w:t>9</w:t>
            </w:r>
          </w:p>
        </w:tc>
        <w:tc>
          <w:tcPr>
            <w:tcW w:w="753" w:type="pct"/>
            <w:tcBorders>
              <w:top w:val="nil"/>
              <w:left w:val="nil"/>
              <w:bottom w:val="nil"/>
              <w:right w:val="nil"/>
            </w:tcBorders>
            <w:shd w:val="clear" w:color="auto" w:fill="auto"/>
            <w:noWrap/>
            <w:vAlign w:val="center"/>
            <w:hideMark/>
          </w:tcPr>
          <w:p w14:paraId="0C1030B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24.0%</w:t>
            </w:r>
          </w:p>
        </w:tc>
        <w:tc>
          <w:tcPr>
            <w:tcW w:w="754" w:type="pct"/>
            <w:tcBorders>
              <w:top w:val="nil"/>
              <w:left w:val="nil"/>
              <w:bottom w:val="nil"/>
              <w:right w:val="nil"/>
            </w:tcBorders>
            <w:shd w:val="clear" w:color="auto" w:fill="auto"/>
            <w:noWrap/>
            <w:vAlign w:val="center"/>
            <w:hideMark/>
          </w:tcPr>
          <w:p w14:paraId="64287686"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24.4%</w:t>
            </w:r>
          </w:p>
        </w:tc>
        <w:tc>
          <w:tcPr>
            <w:tcW w:w="753" w:type="pct"/>
            <w:tcBorders>
              <w:top w:val="nil"/>
              <w:left w:val="nil"/>
              <w:bottom w:val="nil"/>
              <w:right w:val="nil"/>
            </w:tcBorders>
            <w:shd w:val="clear" w:color="auto" w:fill="auto"/>
            <w:noWrap/>
            <w:vAlign w:val="center"/>
            <w:hideMark/>
          </w:tcPr>
          <w:p w14:paraId="7F57E16C"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41.1%</w:t>
            </w:r>
          </w:p>
        </w:tc>
        <w:tc>
          <w:tcPr>
            <w:tcW w:w="754" w:type="pct"/>
            <w:tcBorders>
              <w:top w:val="nil"/>
              <w:left w:val="nil"/>
              <w:bottom w:val="nil"/>
              <w:right w:val="nil"/>
            </w:tcBorders>
            <w:shd w:val="clear" w:color="auto" w:fill="auto"/>
            <w:noWrap/>
            <w:vAlign w:val="center"/>
            <w:hideMark/>
          </w:tcPr>
          <w:p w14:paraId="696FD7E7"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38.2%</w:t>
            </w:r>
          </w:p>
        </w:tc>
        <w:tc>
          <w:tcPr>
            <w:tcW w:w="754" w:type="pct"/>
            <w:tcBorders>
              <w:top w:val="nil"/>
              <w:left w:val="nil"/>
              <w:bottom w:val="nil"/>
              <w:right w:val="nil"/>
            </w:tcBorders>
            <w:vAlign w:val="center"/>
          </w:tcPr>
          <w:p w14:paraId="02BAB9E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53.2%</w:t>
            </w:r>
          </w:p>
        </w:tc>
      </w:tr>
      <w:tr w:rsidR="00F970C1" w:rsidRPr="008029B2" w14:paraId="14B58F2E" w14:textId="77777777" w:rsidTr="00F970C1">
        <w:trPr>
          <w:trHeight w:val="288"/>
        </w:trPr>
        <w:tc>
          <w:tcPr>
            <w:tcW w:w="1231" w:type="pct"/>
            <w:tcBorders>
              <w:top w:val="nil"/>
              <w:left w:val="nil"/>
              <w:bottom w:val="nil"/>
              <w:right w:val="nil"/>
            </w:tcBorders>
            <w:shd w:val="clear" w:color="auto" w:fill="auto"/>
            <w:noWrap/>
            <w:vAlign w:val="center"/>
            <w:hideMark/>
          </w:tcPr>
          <w:p w14:paraId="5CFCEC1F" w14:textId="2E30948E"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A</w:t>
            </w:r>
            <w:r w:rsidR="00F970C1" w:rsidRPr="008029B2">
              <w:rPr>
                <w:rFonts w:eastAsia="Times New Roman" w:cs="Times New Roman"/>
                <w:color w:val="000000"/>
                <w:sz w:val="20"/>
                <w:szCs w:val="20"/>
                <w:shd w:val="clear" w:color="auto" w:fill="FFFFFF" w:themeFill="background1"/>
              </w:rPr>
              <w:t>ge 10</w:t>
            </w:r>
            <w:r w:rsidR="006A7B72">
              <w:rPr>
                <w:rFonts w:ascii="Calibri" w:eastAsia="Times New Roman" w:hAnsi="Calibri" w:cs="Times New Roman"/>
                <w:color w:val="000000"/>
                <w:sz w:val="20"/>
                <w:szCs w:val="20"/>
                <w:shd w:val="clear" w:color="auto" w:fill="FFFFFF" w:themeFill="background1"/>
              </w:rPr>
              <w:t>‒</w:t>
            </w:r>
            <w:r w:rsidR="00F970C1" w:rsidRPr="008029B2">
              <w:rPr>
                <w:rFonts w:eastAsia="Times New Roman" w:cs="Times New Roman"/>
                <w:color w:val="000000"/>
                <w:sz w:val="20"/>
                <w:szCs w:val="20"/>
                <w:shd w:val="clear" w:color="auto" w:fill="FFFFFF" w:themeFill="background1"/>
              </w:rPr>
              <w:t>14</w:t>
            </w:r>
          </w:p>
        </w:tc>
        <w:tc>
          <w:tcPr>
            <w:tcW w:w="753" w:type="pct"/>
            <w:tcBorders>
              <w:top w:val="nil"/>
              <w:left w:val="nil"/>
              <w:bottom w:val="nil"/>
              <w:right w:val="nil"/>
            </w:tcBorders>
            <w:shd w:val="clear" w:color="auto" w:fill="auto"/>
            <w:noWrap/>
            <w:vAlign w:val="center"/>
            <w:hideMark/>
          </w:tcPr>
          <w:p w14:paraId="6DFB4A3C"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7.3%</w:t>
            </w:r>
          </w:p>
        </w:tc>
        <w:tc>
          <w:tcPr>
            <w:tcW w:w="754" w:type="pct"/>
            <w:tcBorders>
              <w:top w:val="nil"/>
              <w:left w:val="nil"/>
              <w:bottom w:val="nil"/>
              <w:right w:val="nil"/>
            </w:tcBorders>
            <w:shd w:val="clear" w:color="auto" w:fill="auto"/>
            <w:noWrap/>
            <w:vAlign w:val="center"/>
            <w:hideMark/>
          </w:tcPr>
          <w:p w14:paraId="5C5BCBF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25.8%</w:t>
            </w:r>
          </w:p>
        </w:tc>
        <w:tc>
          <w:tcPr>
            <w:tcW w:w="753" w:type="pct"/>
            <w:tcBorders>
              <w:top w:val="nil"/>
              <w:left w:val="nil"/>
              <w:bottom w:val="nil"/>
              <w:right w:val="nil"/>
            </w:tcBorders>
            <w:shd w:val="clear" w:color="auto" w:fill="auto"/>
            <w:noWrap/>
            <w:vAlign w:val="center"/>
            <w:hideMark/>
          </w:tcPr>
          <w:p w14:paraId="48ADB434"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30.6%</w:t>
            </w:r>
          </w:p>
        </w:tc>
        <w:tc>
          <w:tcPr>
            <w:tcW w:w="754" w:type="pct"/>
            <w:tcBorders>
              <w:top w:val="nil"/>
              <w:left w:val="nil"/>
              <w:bottom w:val="nil"/>
              <w:right w:val="nil"/>
            </w:tcBorders>
            <w:shd w:val="clear" w:color="auto" w:fill="auto"/>
            <w:noWrap/>
            <w:vAlign w:val="center"/>
            <w:hideMark/>
          </w:tcPr>
          <w:p w14:paraId="4AE6FC11"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16.0%</w:t>
            </w:r>
          </w:p>
        </w:tc>
        <w:tc>
          <w:tcPr>
            <w:tcW w:w="754" w:type="pct"/>
            <w:tcBorders>
              <w:top w:val="nil"/>
              <w:left w:val="nil"/>
              <w:bottom w:val="nil"/>
              <w:right w:val="nil"/>
            </w:tcBorders>
            <w:vAlign w:val="center"/>
          </w:tcPr>
          <w:p w14:paraId="1A60F577"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49.4%</w:t>
            </w:r>
          </w:p>
        </w:tc>
      </w:tr>
      <w:tr w:rsidR="00F970C1" w:rsidRPr="008029B2" w14:paraId="514E8383" w14:textId="77777777" w:rsidTr="00F970C1">
        <w:trPr>
          <w:trHeight w:val="288"/>
        </w:trPr>
        <w:tc>
          <w:tcPr>
            <w:tcW w:w="1231" w:type="pct"/>
            <w:tcBorders>
              <w:top w:val="nil"/>
              <w:left w:val="nil"/>
              <w:bottom w:val="nil"/>
              <w:right w:val="nil"/>
            </w:tcBorders>
            <w:shd w:val="clear" w:color="auto" w:fill="auto"/>
            <w:noWrap/>
            <w:vAlign w:val="center"/>
            <w:hideMark/>
          </w:tcPr>
          <w:p w14:paraId="14428CFD" w14:textId="18BFC9C7"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A</w:t>
            </w:r>
            <w:r w:rsidR="00F970C1" w:rsidRPr="008029B2">
              <w:rPr>
                <w:rFonts w:eastAsia="Times New Roman" w:cs="Times New Roman"/>
                <w:color w:val="000000"/>
                <w:sz w:val="20"/>
                <w:szCs w:val="20"/>
                <w:shd w:val="clear" w:color="auto" w:fill="FFFFFF" w:themeFill="background1"/>
              </w:rPr>
              <w:t>ge 15</w:t>
            </w:r>
            <w:r w:rsidR="006A7B72">
              <w:rPr>
                <w:rFonts w:ascii="Calibri" w:eastAsia="Times New Roman" w:hAnsi="Calibri" w:cs="Times New Roman"/>
                <w:color w:val="000000"/>
                <w:sz w:val="20"/>
                <w:szCs w:val="20"/>
                <w:shd w:val="clear" w:color="auto" w:fill="FFFFFF" w:themeFill="background1"/>
              </w:rPr>
              <w:t>‒</w:t>
            </w:r>
            <w:r w:rsidR="00F970C1" w:rsidRPr="008029B2">
              <w:rPr>
                <w:rFonts w:eastAsia="Times New Roman" w:cs="Times New Roman"/>
                <w:color w:val="000000"/>
                <w:sz w:val="20"/>
                <w:szCs w:val="20"/>
                <w:shd w:val="clear" w:color="auto" w:fill="FFFFFF" w:themeFill="background1"/>
              </w:rPr>
              <w:t>19</w:t>
            </w:r>
          </w:p>
        </w:tc>
        <w:tc>
          <w:tcPr>
            <w:tcW w:w="753" w:type="pct"/>
            <w:tcBorders>
              <w:top w:val="nil"/>
              <w:left w:val="nil"/>
              <w:bottom w:val="nil"/>
              <w:right w:val="nil"/>
            </w:tcBorders>
            <w:shd w:val="clear" w:color="auto" w:fill="auto"/>
            <w:noWrap/>
            <w:vAlign w:val="center"/>
            <w:hideMark/>
          </w:tcPr>
          <w:p w14:paraId="58277F01"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23.0%</w:t>
            </w:r>
          </w:p>
        </w:tc>
        <w:tc>
          <w:tcPr>
            <w:tcW w:w="754" w:type="pct"/>
            <w:tcBorders>
              <w:top w:val="nil"/>
              <w:left w:val="nil"/>
              <w:bottom w:val="nil"/>
              <w:right w:val="nil"/>
            </w:tcBorders>
            <w:shd w:val="clear" w:color="auto" w:fill="auto"/>
            <w:noWrap/>
            <w:vAlign w:val="center"/>
            <w:hideMark/>
          </w:tcPr>
          <w:p w14:paraId="7E4032E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25.1%</w:t>
            </w:r>
          </w:p>
        </w:tc>
        <w:tc>
          <w:tcPr>
            <w:tcW w:w="753" w:type="pct"/>
            <w:tcBorders>
              <w:top w:val="nil"/>
              <w:left w:val="nil"/>
              <w:bottom w:val="nil"/>
              <w:right w:val="nil"/>
            </w:tcBorders>
            <w:shd w:val="clear" w:color="auto" w:fill="auto"/>
            <w:noWrap/>
            <w:vAlign w:val="center"/>
            <w:hideMark/>
          </w:tcPr>
          <w:p w14:paraId="7FEEF867"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37.5%</w:t>
            </w:r>
          </w:p>
        </w:tc>
        <w:tc>
          <w:tcPr>
            <w:tcW w:w="754" w:type="pct"/>
            <w:tcBorders>
              <w:top w:val="nil"/>
              <w:left w:val="nil"/>
              <w:bottom w:val="nil"/>
              <w:right w:val="nil"/>
            </w:tcBorders>
            <w:shd w:val="clear" w:color="auto" w:fill="auto"/>
            <w:noWrap/>
            <w:vAlign w:val="center"/>
            <w:hideMark/>
          </w:tcPr>
          <w:p w14:paraId="0DBC71B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42.0%</w:t>
            </w:r>
          </w:p>
        </w:tc>
        <w:tc>
          <w:tcPr>
            <w:tcW w:w="754" w:type="pct"/>
            <w:tcBorders>
              <w:top w:val="nil"/>
              <w:left w:val="nil"/>
              <w:bottom w:val="nil"/>
              <w:right w:val="nil"/>
            </w:tcBorders>
            <w:vAlign w:val="center"/>
          </w:tcPr>
          <w:p w14:paraId="11645646"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37.2%</w:t>
            </w:r>
          </w:p>
        </w:tc>
      </w:tr>
      <w:tr w:rsidR="00F970C1" w:rsidRPr="008029B2" w14:paraId="776FA04A" w14:textId="77777777" w:rsidTr="00F970C1">
        <w:trPr>
          <w:trHeight w:val="288"/>
        </w:trPr>
        <w:tc>
          <w:tcPr>
            <w:tcW w:w="1231" w:type="pct"/>
            <w:tcBorders>
              <w:top w:val="nil"/>
              <w:left w:val="nil"/>
              <w:bottom w:val="single" w:sz="4" w:space="0" w:color="auto"/>
              <w:right w:val="nil"/>
            </w:tcBorders>
            <w:shd w:val="clear" w:color="auto" w:fill="auto"/>
            <w:noWrap/>
            <w:vAlign w:val="center"/>
            <w:hideMark/>
          </w:tcPr>
          <w:p w14:paraId="4C180863" w14:textId="0BC87E2F"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A</w:t>
            </w:r>
            <w:r w:rsidR="00F970C1" w:rsidRPr="008029B2">
              <w:rPr>
                <w:rFonts w:eastAsia="Times New Roman" w:cs="Times New Roman"/>
                <w:color w:val="000000"/>
                <w:sz w:val="20"/>
                <w:szCs w:val="20"/>
                <w:shd w:val="clear" w:color="auto" w:fill="FFFFFF" w:themeFill="background1"/>
              </w:rPr>
              <w:t>ge 20+</w:t>
            </w:r>
          </w:p>
        </w:tc>
        <w:tc>
          <w:tcPr>
            <w:tcW w:w="753" w:type="pct"/>
            <w:tcBorders>
              <w:top w:val="nil"/>
              <w:left w:val="nil"/>
              <w:bottom w:val="single" w:sz="4" w:space="0" w:color="auto"/>
              <w:right w:val="nil"/>
            </w:tcBorders>
            <w:shd w:val="clear" w:color="auto" w:fill="auto"/>
            <w:noWrap/>
            <w:vAlign w:val="center"/>
            <w:hideMark/>
          </w:tcPr>
          <w:p w14:paraId="5106A8F6"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9.9%</w:t>
            </w:r>
          </w:p>
        </w:tc>
        <w:tc>
          <w:tcPr>
            <w:tcW w:w="754" w:type="pct"/>
            <w:tcBorders>
              <w:top w:val="nil"/>
              <w:left w:val="nil"/>
              <w:bottom w:val="single" w:sz="4" w:space="0" w:color="auto"/>
              <w:right w:val="nil"/>
            </w:tcBorders>
            <w:shd w:val="clear" w:color="auto" w:fill="auto"/>
            <w:noWrap/>
            <w:vAlign w:val="center"/>
            <w:hideMark/>
          </w:tcPr>
          <w:p w14:paraId="078CCDE5"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39.7%</w:t>
            </w:r>
          </w:p>
        </w:tc>
        <w:tc>
          <w:tcPr>
            <w:tcW w:w="753" w:type="pct"/>
            <w:tcBorders>
              <w:top w:val="nil"/>
              <w:left w:val="nil"/>
              <w:bottom w:val="single" w:sz="4" w:space="0" w:color="auto"/>
              <w:right w:val="nil"/>
            </w:tcBorders>
            <w:shd w:val="clear" w:color="auto" w:fill="auto"/>
            <w:noWrap/>
            <w:vAlign w:val="center"/>
            <w:hideMark/>
          </w:tcPr>
          <w:p w14:paraId="3FC38C94"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41.1%</w:t>
            </w:r>
          </w:p>
        </w:tc>
        <w:tc>
          <w:tcPr>
            <w:tcW w:w="754" w:type="pct"/>
            <w:tcBorders>
              <w:top w:val="nil"/>
              <w:left w:val="nil"/>
              <w:bottom w:val="single" w:sz="4" w:space="0" w:color="auto"/>
              <w:right w:val="nil"/>
            </w:tcBorders>
            <w:shd w:val="clear" w:color="auto" w:fill="auto"/>
            <w:noWrap/>
            <w:vAlign w:val="center"/>
            <w:hideMark/>
          </w:tcPr>
          <w:p w14:paraId="4BF4E10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65.2%</w:t>
            </w:r>
          </w:p>
        </w:tc>
        <w:tc>
          <w:tcPr>
            <w:tcW w:w="754" w:type="pct"/>
            <w:tcBorders>
              <w:top w:val="nil"/>
              <w:left w:val="nil"/>
              <w:bottom w:val="single" w:sz="4" w:space="0" w:color="auto"/>
              <w:right w:val="nil"/>
            </w:tcBorders>
            <w:vAlign w:val="center"/>
          </w:tcPr>
          <w:p w14:paraId="0C6AC762"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58.3%</w:t>
            </w:r>
          </w:p>
        </w:tc>
      </w:tr>
      <w:tr w:rsidR="00F970C1" w:rsidRPr="008029B2" w14:paraId="66A046E6" w14:textId="77777777" w:rsidTr="00F970C1">
        <w:trPr>
          <w:trHeight w:val="288"/>
        </w:trPr>
        <w:tc>
          <w:tcPr>
            <w:tcW w:w="1231" w:type="pct"/>
            <w:tcBorders>
              <w:top w:val="nil"/>
              <w:left w:val="nil"/>
              <w:bottom w:val="nil"/>
              <w:right w:val="nil"/>
            </w:tcBorders>
            <w:shd w:val="clear" w:color="auto" w:fill="auto"/>
            <w:noWrap/>
            <w:vAlign w:val="center"/>
            <w:hideMark/>
          </w:tcPr>
          <w:p w14:paraId="10651EBD" w14:textId="10ACA7FE"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S</w:t>
            </w:r>
            <w:r w:rsidR="00F970C1" w:rsidRPr="008029B2">
              <w:rPr>
                <w:rFonts w:eastAsia="Times New Roman" w:cs="Times New Roman"/>
                <w:color w:val="000000"/>
                <w:sz w:val="20"/>
                <w:szCs w:val="20"/>
                <w:shd w:val="clear" w:color="auto" w:fill="FFFFFF" w:themeFill="background1"/>
              </w:rPr>
              <w:t>mall</w:t>
            </w:r>
            <w:r w:rsidR="006A7B72">
              <w:rPr>
                <w:rFonts w:eastAsia="Times New Roman" w:cs="Times New Roman"/>
                <w:color w:val="000000"/>
                <w:sz w:val="20"/>
                <w:szCs w:val="20"/>
                <w:shd w:val="clear" w:color="auto" w:fill="FFFFFF" w:themeFill="background1"/>
              </w:rPr>
              <w:t xml:space="preserve"> </w:t>
            </w:r>
            <w:r w:rsidR="00F970C1" w:rsidRPr="008029B2">
              <w:rPr>
                <w:rFonts w:eastAsia="Times New Roman" w:cs="Times New Roman"/>
                <w:color w:val="000000"/>
                <w:sz w:val="20"/>
                <w:szCs w:val="20"/>
                <w:shd w:val="clear" w:color="auto" w:fill="FFFFFF" w:themeFill="background1"/>
              </w:rPr>
              <w:t>(&lt;20)</w:t>
            </w:r>
          </w:p>
        </w:tc>
        <w:tc>
          <w:tcPr>
            <w:tcW w:w="753" w:type="pct"/>
            <w:tcBorders>
              <w:top w:val="nil"/>
              <w:left w:val="nil"/>
              <w:bottom w:val="nil"/>
              <w:right w:val="nil"/>
            </w:tcBorders>
            <w:shd w:val="clear" w:color="auto" w:fill="auto"/>
            <w:noWrap/>
            <w:vAlign w:val="center"/>
            <w:hideMark/>
          </w:tcPr>
          <w:p w14:paraId="1258E2D9"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12.7%</w:t>
            </w:r>
          </w:p>
        </w:tc>
        <w:tc>
          <w:tcPr>
            <w:tcW w:w="754" w:type="pct"/>
            <w:tcBorders>
              <w:top w:val="nil"/>
              <w:left w:val="nil"/>
              <w:bottom w:val="nil"/>
              <w:right w:val="nil"/>
            </w:tcBorders>
            <w:shd w:val="clear" w:color="auto" w:fill="auto"/>
            <w:noWrap/>
            <w:vAlign w:val="center"/>
            <w:hideMark/>
          </w:tcPr>
          <w:p w14:paraId="77035C6C"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27.7%</w:t>
            </w:r>
          </w:p>
        </w:tc>
        <w:tc>
          <w:tcPr>
            <w:tcW w:w="753" w:type="pct"/>
            <w:tcBorders>
              <w:top w:val="nil"/>
              <w:left w:val="nil"/>
              <w:bottom w:val="nil"/>
              <w:right w:val="nil"/>
            </w:tcBorders>
            <w:shd w:val="clear" w:color="auto" w:fill="auto"/>
            <w:noWrap/>
            <w:vAlign w:val="center"/>
            <w:hideMark/>
          </w:tcPr>
          <w:p w14:paraId="56FD80E9"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34.8%</w:t>
            </w:r>
          </w:p>
        </w:tc>
        <w:tc>
          <w:tcPr>
            <w:tcW w:w="754" w:type="pct"/>
            <w:tcBorders>
              <w:top w:val="nil"/>
              <w:left w:val="nil"/>
              <w:bottom w:val="nil"/>
              <w:right w:val="nil"/>
            </w:tcBorders>
            <w:shd w:val="clear" w:color="auto" w:fill="auto"/>
            <w:noWrap/>
            <w:vAlign w:val="center"/>
            <w:hideMark/>
          </w:tcPr>
          <w:p w14:paraId="56475737"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54.1%</w:t>
            </w:r>
          </w:p>
        </w:tc>
        <w:tc>
          <w:tcPr>
            <w:tcW w:w="754" w:type="pct"/>
            <w:tcBorders>
              <w:top w:val="nil"/>
              <w:left w:val="nil"/>
              <w:bottom w:val="nil"/>
              <w:right w:val="nil"/>
            </w:tcBorders>
            <w:vAlign w:val="center"/>
          </w:tcPr>
          <w:p w14:paraId="09E9BA64"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50.4%</w:t>
            </w:r>
          </w:p>
        </w:tc>
      </w:tr>
      <w:tr w:rsidR="00F970C1" w:rsidRPr="008029B2" w14:paraId="0E8E1414" w14:textId="77777777" w:rsidTr="00F970C1">
        <w:trPr>
          <w:trHeight w:val="288"/>
        </w:trPr>
        <w:tc>
          <w:tcPr>
            <w:tcW w:w="1231" w:type="pct"/>
            <w:tcBorders>
              <w:top w:val="nil"/>
              <w:left w:val="nil"/>
              <w:bottom w:val="nil"/>
              <w:right w:val="nil"/>
            </w:tcBorders>
            <w:shd w:val="clear" w:color="auto" w:fill="auto"/>
            <w:noWrap/>
            <w:vAlign w:val="center"/>
            <w:hideMark/>
          </w:tcPr>
          <w:p w14:paraId="2DCCC4B7" w14:textId="310143E9"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M</w:t>
            </w:r>
            <w:r w:rsidR="00F970C1" w:rsidRPr="008029B2">
              <w:rPr>
                <w:rFonts w:eastAsia="Times New Roman" w:cs="Times New Roman"/>
                <w:color w:val="000000"/>
                <w:sz w:val="20"/>
                <w:szCs w:val="20"/>
                <w:shd w:val="clear" w:color="auto" w:fill="FFFFFF" w:themeFill="background1"/>
              </w:rPr>
              <w:t>edium</w:t>
            </w:r>
            <w:r w:rsidR="006A7B72">
              <w:rPr>
                <w:rFonts w:eastAsia="Times New Roman" w:cs="Times New Roman"/>
                <w:color w:val="000000"/>
                <w:sz w:val="20"/>
                <w:szCs w:val="20"/>
                <w:shd w:val="clear" w:color="auto" w:fill="FFFFFF" w:themeFill="background1"/>
              </w:rPr>
              <w:t xml:space="preserve"> </w:t>
            </w:r>
            <w:r w:rsidR="00F970C1" w:rsidRPr="008029B2">
              <w:rPr>
                <w:rFonts w:eastAsia="Times New Roman" w:cs="Times New Roman"/>
                <w:color w:val="000000"/>
                <w:sz w:val="20"/>
                <w:szCs w:val="20"/>
                <w:shd w:val="clear" w:color="auto" w:fill="FFFFFF" w:themeFill="background1"/>
              </w:rPr>
              <w:t>(20</w:t>
            </w:r>
            <w:r w:rsidR="006A7B72">
              <w:rPr>
                <w:rFonts w:ascii="Calibri" w:eastAsia="Times New Roman" w:hAnsi="Calibri" w:cs="Times New Roman"/>
                <w:color w:val="000000"/>
                <w:sz w:val="20"/>
                <w:szCs w:val="20"/>
                <w:shd w:val="clear" w:color="auto" w:fill="FFFFFF" w:themeFill="background1"/>
              </w:rPr>
              <w:t>‒</w:t>
            </w:r>
            <w:r w:rsidR="00F970C1" w:rsidRPr="008029B2">
              <w:rPr>
                <w:rFonts w:eastAsia="Times New Roman" w:cs="Times New Roman"/>
                <w:color w:val="000000"/>
                <w:sz w:val="20"/>
                <w:szCs w:val="20"/>
                <w:shd w:val="clear" w:color="auto" w:fill="FFFFFF" w:themeFill="background1"/>
              </w:rPr>
              <w:t>99)</w:t>
            </w:r>
          </w:p>
        </w:tc>
        <w:tc>
          <w:tcPr>
            <w:tcW w:w="753" w:type="pct"/>
            <w:tcBorders>
              <w:top w:val="nil"/>
              <w:left w:val="nil"/>
              <w:bottom w:val="nil"/>
              <w:right w:val="nil"/>
            </w:tcBorders>
            <w:shd w:val="clear" w:color="auto" w:fill="auto"/>
            <w:noWrap/>
            <w:vAlign w:val="center"/>
            <w:hideMark/>
          </w:tcPr>
          <w:p w14:paraId="23A36E2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17.1%</w:t>
            </w:r>
          </w:p>
        </w:tc>
        <w:tc>
          <w:tcPr>
            <w:tcW w:w="754" w:type="pct"/>
            <w:tcBorders>
              <w:top w:val="nil"/>
              <w:left w:val="nil"/>
              <w:bottom w:val="nil"/>
              <w:right w:val="nil"/>
            </w:tcBorders>
            <w:shd w:val="clear" w:color="auto" w:fill="auto"/>
            <w:noWrap/>
            <w:vAlign w:val="center"/>
            <w:hideMark/>
          </w:tcPr>
          <w:p w14:paraId="4FC6C269"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35.7%</w:t>
            </w:r>
          </w:p>
        </w:tc>
        <w:tc>
          <w:tcPr>
            <w:tcW w:w="753" w:type="pct"/>
            <w:tcBorders>
              <w:top w:val="nil"/>
              <w:left w:val="nil"/>
              <w:bottom w:val="nil"/>
              <w:right w:val="nil"/>
            </w:tcBorders>
            <w:shd w:val="clear" w:color="auto" w:fill="auto"/>
            <w:noWrap/>
            <w:vAlign w:val="center"/>
            <w:hideMark/>
          </w:tcPr>
          <w:p w14:paraId="171D1EF9"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45.6%</w:t>
            </w:r>
          </w:p>
        </w:tc>
        <w:tc>
          <w:tcPr>
            <w:tcW w:w="754" w:type="pct"/>
            <w:tcBorders>
              <w:top w:val="nil"/>
              <w:left w:val="nil"/>
              <w:bottom w:val="nil"/>
              <w:right w:val="nil"/>
            </w:tcBorders>
            <w:shd w:val="clear" w:color="auto" w:fill="auto"/>
            <w:noWrap/>
            <w:vAlign w:val="center"/>
            <w:hideMark/>
          </w:tcPr>
          <w:p w14:paraId="5339EE5A"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30.8%</w:t>
            </w:r>
          </w:p>
        </w:tc>
        <w:tc>
          <w:tcPr>
            <w:tcW w:w="754" w:type="pct"/>
            <w:tcBorders>
              <w:top w:val="nil"/>
              <w:left w:val="nil"/>
              <w:bottom w:val="nil"/>
              <w:right w:val="nil"/>
            </w:tcBorders>
            <w:vAlign w:val="center"/>
          </w:tcPr>
          <w:p w14:paraId="7079DFDD"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44.5%</w:t>
            </w:r>
          </w:p>
        </w:tc>
      </w:tr>
      <w:tr w:rsidR="00F970C1" w:rsidRPr="008029B2" w14:paraId="3CBA452A" w14:textId="77777777" w:rsidTr="00F970C1">
        <w:trPr>
          <w:trHeight w:val="288"/>
        </w:trPr>
        <w:tc>
          <w:tcPr>
            <w:tcW w:w="1231" w:type="pct"/>
            <w:tcBorders>
              <w:top w:val="nil"/>
              <w:left w:val="nil"/>
              <w:bottom w:val="nil"/>
              <w:right w:val="nil"/>
            </w:tcBorders>
            <w:shd w:val="clear" w:color="auto" w:fill="auto"/>
            <w:noWrap/>
            <w:vAlign w:val="center"/>
            <w:hideMark/>
          </w:tcPr>
          <w:p w14:paraId="7BA5013A" w14:textId="18970888"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L</w:t>
            </w:r>
            <w:r w:rsidR="00F970C1" w:rsidRPr="008029B2">
              <w:rPr>
                <w:rFonts w:eastAsia="Times New Roman" w:cs="Times New Roman"/>
                <w:color w:val="000000"/>
                <w:sz w:val="20"/>
                <w:szCs w:val="20"/>
                <w:shd w:val="clear" w:color="auto" w:fill="FFFFFF" w:themeFill="background1"/>
              </w:rPr>
              <w:t>arge</w:t>
            </w:r>
            <w:r w:rsidR="006A7B72">
              <w:rPr>
                <w:rFonts w:eastAsia="Times New Roman" w:cs="Times New Roman"/>
                <w:color w:val="000000"/>
                <w:sz w:val="20"/>
                <w:szCs w:val="20"/>
                <w:shd w:val="clear" w:color="auto" w:fill="FFFFFF" w:themeFill="background1"/>
              </w:rPr>
              <w:t xml:space="preserve"> </w:t>
            </w:r>
            <w:r w:rsidR="00F970C1" w:rsidRPr="008029B2">
              <w:rPr>
                <w:rFonts w:eastAsia="Times New Roman" w:cs="Times New Roman"/>
                <w:color w:val="000000"/>
                <w:sz w:val="20"/>
                <w:szCs w:val="20"/>
                <w:shd w:val="clear" w:color="auto" w:fill="FFFFFF" w:themeFill="background1"/>
              </w:rPr>
              <w:t>(100 and over)</w:t>
            </w:r>
          </w:p>
        </w:tc>
        <w:tc>
          <w:tcPr>
            <w:tcW w:w="753" w:type="pct"/>
            <w:tcBorders>
              <w:top w:val="nil"/>
              <w:left w:val="nil"/>
              <w:bottom w:val="nil"/>
              <w:right w:val="nil"/>
            </w:tcBorders>
            <w:shd w:val="clear" w:color="auto" w:fill="auto"/>
            <w:noWrap/>
            <w:vAlign w:val="center"/>
            <w:hideMark/>
          </w:tcPr>
          <w:p w14:paraId="042D1698"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26.4%</w:t>
            </w:r>
          </w:p>
        </w:tc>
        <w:tc>
          <w:tcPr>
            <w:tcW w:w="754" w:type="pct"/>
            <w:tcBorders>
              <w:top w:val="nil"/>
              <w:left w:val="nil"/>
              <w:bottom w:val="nil"/>
              <w:right w:val="nil"/>
            </w:tcBorders>
            <w:shd w:val="clear" w:color="auto" w:fill="auto"/>
            <w:noWrap/>
            <w:vAlign w:val="center"/>
            <w:hideMark/>
          </w:tcPr>
          <w:p w14:paraId="50C876E5"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50.4%</w:t>
            </w:r>
          </w:p>
        </w:tc>
        <w:tc>
          <w:tcPr>
            <w:tcW w:w="753" w:type="pct"/>
            <w:tcBorders>
              <w:top w:val="nil"/>
              <w:left w:val="nil"/>
              <w:bottom w:val="nil"/>
              <w:right w:val="nil"/>
            </w:tcBorders>
            <w:shd w:val="clear" w:color="auto" w:fill="auto"/>
            <w:noWrap/>
            <w:vAlign w:val="center"/>
            <w:hideMark/>
          </w:tcPr>
          <w:p w14:paraId="35861971"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57.6%</w:t>
            </w:r>
          </w:p>
        </w:tc>
        <w:tc>
          <w:tcPr>
            <w:tcW w:w="754" w:type="pct"/>
            <w:tcBorders>
              <w:top w:val="nil"/>
              <w:left w:val="nil"/>
              <w:bottom w:val="nil"/>
              <w:right w:val="nil"/>
            </w:tcBorders>
            <w:shd w:val="clear" w:color="auto" w:fill="auto"/>
            <w:noWrap/>
            <w:vAlign w:val="center"/>
            <w:hideMark/>
          </w:tcPr>
          <w:p w14:paraId="748ACD41"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59.0%</w:t>
            </w:r>
          </w:p>
        </w:tc>
        <w:tc>
          <w:tcPr>
            <w:tcW w:w="754" w:type="pct"/>
            <w:tcBorders>
              <w:top w:val="nil"/>
              <w:left w:val="nil"/>
              <w:bottom w:val="nil"/>
              <w:right w:val="nil"/>
            </w:tcBorders>
            <w:vAlign w:val="center"/>
          </w:tcPr>
          <w:p w14:paraId="0BF12237"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48.7%</w:t>
            </w:r>
          </w:p>
        </w:tc>
      </w:tr>
      <w:tr w:rsidR="00F970C1" w:rsidRPr="008029B2" w14:paraId="28DCBB77" w14:textId="77777777" w:rsidTr="00F970C1">
        <w:trPr>
          <w:trHeight w:val="288"/>
        </w:trPr>
        <w:tc>
          <w:tcPr>
            <w:tcW w:w="1231" w:type="pct"/>
            <w:tcBorders>
              <w:top w:val="single" w:sz="4" w:space="0" w:color="auto"/>
              <w:left w:val="nil"/>
              <w:bottom w:val="nil"/>
              <w:right w:val="nil"/>
            </w:tcBorders>
            <w:shd w:val="clear" w:color="auto" w:fill="auto"/>
            <w:noWrap/>
            <w:vAlign w:val="center"/>
            <w:hideMark/>
          </w:tcPr>
          <w:p w14:paraId="50FC240A" w14:textId="536DC01B"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N</w:t>
            </w:r>
            <w:r w:rsidR="00F970C1" w:rsidRPr="008029B2">
              <w:rPr>
                <w:rFonts w:eastAsia="Times New Roman" w:cs="Times New Roman"/>
                <w:color w:val="000000"/>
                <w:sz w:val="20"/>
                <w:szCs w:val="20"/>
                <w:shd w:val="clear" w:color="auto" w:fill="FFFFFF" w:themeFill="background1"/>
              </w:rPr>
              <w:t>o trader</w:t>
            </w:r>
          </w:p>
        </w:tc>
        <w:tc>
          <w:tcPr>
            <w:tcW w:w="753" w:type="pct"/>
            <w:tcBorders>
              <w:top w:val="single" w:sz="4" w:space="0" w:color="auto"/>
              <w:left w:val="nil"/>
              <w:bottom w:val="nil"/>
              <w:right w:val="nil"/>
            </w:tcBorders>
            <w:shd w:val="clear" w:color="auto" w:fill="auto"/>
            <w:noWrap/>
            <w:vAlign w:val="center"/>
            <w:hideMark/>
          </w:tcPr>
          <w:p w14:paraId="73FF6DEB"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13.6%</w:t>
            </w:r>
          </w:p>
        </w:tc>
        <w:tc>
          <w:tcPr>
            <w:tcW w:w="754" w:type="pct"/>
            <w:tcBorders>
              <w:top w:val="single" w:sz="4" w:space="0" w:color="auto"/>
              <w:left w:val="nil"/>
              <w:bottom w:val="nil"/>
              <w:right w:val="nil"/>
            </w:tcBorders>
            <w:shd w:val="clear" w:color="auto" w:fill="auto"/>
            <w:noWrap/>
            <w:vAlign w:val="center"/>
            <w:hideMark/>
          </w:tcPr>
          <w:p w14:paraId="2928CBDB"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27.4%</w:t>
            </w:r>
          </w:p>
        </w:tc>
        <w:tc>
          <w:tcPr>
            <w:tcW w:w="753" w:type="pct"/>
            <w:tcBorders>
              <w:top w:val="single" w:sz="4" w:space="0" w:color="auto"/>
              <w:left w:val="nil"/>
              <w:bottom w:val="nil"/>
              <w:right w:val="nil"/>
            </w:tcBorders>
            <w:shd w:val="clear" w:color="auto" w:fill="auto"/>
            <w:noWrap/>
            <w:vAlign w:val="center"/>
            <w:hideMark/>
          </w:tcPr>
          <w:p w14:paraId="1D215139"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36.1%</w:t>
            </w:r>
          </w:p>
        </w:tc>
        <w:tc>
          <w:tcPr>
            <w:tcW w:w="754" w:type="pct"/>
            <w:tcBorders>
              <w:top w:val="single" w:sz="4" w:space="0" w:color="auto"/>
              <w:left w:val="nil"/>
              <w:bottom w:val="nil"/>
              <w:right w:val="nil"/>
            </w:tcBorders>
            <w:shd w:val="clear" w:color="auto" w:fill="auto"/>
            <w:noWrap/>
            <w:vAlign w:val="center"/>
            <w:hideMark/>
          </w:tcPr>
          <w:p w14:paraId="2235C82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47.7%</w:t>
            </w:r>
          </w:p>
        </w:tc>
        <w:tc>
          <w:tcPr>
            <w:tcW w:w="754" w:type="pct"/>
            <w:tcBorders>
              <w:top w:val="single" w:sz="4" w:space="0" w:color="auto"/>
              <w:left w:val="nil"/>
              <w:bottom w:val="nil"/>
              <w:right w:val="nil"/>
            </w:tcBorders>
            <w:vAlign w:val="center"/>
          </w:tcPr>
          <w:p w14:paraId="044D69B3"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47.4%</w:t>
            </w:r>
          </w:p>
        </w:tc>
      </w:tr>
      <w:tr w:rsidR="00F970C1" w:rsidRPr="008029B2" w14:paraId="2A81EE9C" w14:textId="77777777" w:rsidTr="00F970C1">
        <w:trPr>
          <w:trHeight w:val="288"/>
        </w:trPr>
        <w:tc>
          <w:tcPr>
            <w:tcW w:w="1231" w:type="pct"/>
            <w:tcBorders>
              <w:top w:val="nil"/>
              <w:left w:val="nil"/>
              <w:bottom w:val="nil"/>
              <w:right w:val="nil"/>
            </w:tcBorders>
            <w:shd w:val="clear" w:color="auto" w:fill="auto"/>
            <w:noWrap/>
            <w:vAlign w:val="center"/>
            <w:hideMark/>
          </w:tcPr>
          <w:p w14:paraId="371089FD" w14:textId="7CE97892"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I</w:t>
            </w:r>
            <w:r w:rsidR="00F970C1" w:rsidRPr="008029B2">
              <w:rPr>
                <w:rFonts w:eastAsia="Times New Roman" w:cs="Times New Roman"/>
                <w:color w:val="000000"/>
                <w:sz w:val="20"/>
                <w:szCs w:val="20"/>
                <w:shd w:val="clear" w:color="auto" w:fill="FFFFFF" w:themeFill="background1"/>
              </w:rPr>
              <w:t>mporter</w:t>
            </w:r>
          </w:p>
        </w:tc>
        <w:tc>
          <w:tcPr>
            <w:tcW w:w="753" w:type="pct"/>
            <w:tcBorders>
              <w:top w:val="nil"/>
              <w:left w:val="nil"/>
              <w:bottom w:val="nil"/>
              <w:right w:val="nil"/>
            </w:tcBorders>
            <w:shd w:val="clear" w:color="auto" w:fill="auto"/>
            <w:noWrap/>
            <w:vAlign w:val="center"/>
            <w:hideMark/>
          </w:tcPr>
          <w:p w14:paraId="108A8CE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23.7%</w:t>
            </w:r>
          </w:p>
        </w:tc>
        <w:tc>
          <w:tcPr>
            <w:tcW w:w="754" w:type="pct"/>
            <w:tcBorders>
              <w:top w:val="nil"/>
              <w:left w:val="nil"/>
              <w:bottom w:val="nil"/>
              <w:right w:val="nil"/>
            </w:tcBorders>
            <w:shd w:val="clear" w:color="auto" w:fill="auto"/>
            <w:noWrap/>
            <w:vAlign w:val="center"/>
            <w:hideMark/>
          </w:tcPr>
          <w:p w14:paraId="2E4B184F"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59.1%</w:t>
            </w:r>
          </w:p>
        </w:tc>
        <w:tc>
          <w:tcPr>
            <w:tcW w:w="753" w:type="pct"/>
            <w:tcBorders>
              <w:top w:val="nil"/>
              <w:left w:val="nil"/>
              <w:bottom w:val="nil"/>
              <w:right w:val="nil"/>
            </w:tcBorders>
            <w:shd w:val="clear" w:color="auto" w:fill="auto"/>
            <w:noWrap/>
            <w:vAlign w:val="center"/>
            <w:hideMark/>
          </w:tcPr>
          <w:p w14:paraId="11F06B9D"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62.2%</w:t>
            </w:r>
          </w:p>
        </w:tc>
        <w:tc>
          <w:tcPr>
            <w:tcW w:w="754" w:type="pct"/>
            <w:tcBorders>
              <w:top w:val="nil"/>
              <w:left w:val="nil"/>
              <w:bottom w:val="nil"/>
              <w:right w:val="nil"/>
            </w:tcBorders>
            <w:shd w:val="clear" w:color="auto" w:fill="auto"/>
            <w:noWrap/>
            <w:vAlign w:val="center"/>
            <w:hideMark/>
          </w:tcPr>
          <w:p w14:paraId="4F5D228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48.7%</w:t>
            </w:r>
          </w:p>
        </w:tc>
        <w:tc>
          <w:tcPr>
            <w:tcW w:w="754" w:type="pct"/>
            <w:tcBorders>
              <w:top w:val="nil"/>
              <w:left w:val="nil"/>
              <w:bottom w:val="nil"/>
              <w:right w:val="nil"/>
            </w:tcBorders>
            <w:vAlign w:val="center"/>
          </w:tcPr>
          <w:p w14:paraId="430178B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72.2%</w:t>
            </w:r>
          </w:p>
        </w:tc>
      </w:tr>
      <w:tr w:rsidR="00F970C1" w:rsidRPr="008029B2" w14:paraId="6AA26AB1" w14:textId="77777777" w:rsidTr="00F970C1">
        <w:trPr>
          <w:trHeight w:val="288"/>
        </w:trPr>
        <w:tc>
          <w:tcPr>
            <w:tcW w:w="1231" w:type="pct"/>
            <w:tcBorders>
              <w:top w:val="nil"/>
              <w:left w:val="nil"/>
              <w:bottom w:val="nil"/>
              <w:right w:val="nil"/>
            </w:tcBorders>
            <w:shd w:val="clear" w:color="auto" w:fill="auto"/>
            <w:noWrap/>
            <w:vAlign w:val="center"/>
            <w:hideMark/>
          </w:tcPr>
          <w:p w14:paraId="55ABAB7D" w14:textId="0818837B"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E</w:t>
            </w:r>
            <w:r w:rsidR="00F970C1" w:rsidRPr="008029B2">
              <w:rPr>
                <w:rFonts w:eastAsia="Times New Roman" w:cs="Times New Roman"/>
                <w:color w:val="000000"/>
                <w:sz w:val="20"/>
                <w:szCs w:val="20"/>
                <w:shd w:val="clear" w:color="auto" w:fill="FFFFFF" w:themeFill="background1"/>
              </w:rPr>
              <w:t>xporter</w:t>
            </w:r>
          </w:p>
        </w:tc>
        <w:tc>
          <w:tcPr>
            <w:tcW w:w="753" w:type="pct"/>
            <w:tcBorders>
              <w:top w:val="nil"/>
              <w:left w:val="nil"/>
              <w:bottom w:val="nil"/>
              <w:right w:val="nil"/>
            </w:tcBorders>
            <w:shd w:val="clear" w:color="auto" w:fill="auto"/>
            <w:noWrap/>
            <w:vAlign w:val="center"/>
            <w:hideMark/>
          </w:tcPr>
          <w:p w14:paraId="35DECBED"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14.8%</w:t>
            </w:r>
          </w:p>
        </w:tc>
        <w:tc>
          <w:tcPr>
            <w:tcW w:w="754" w:type="pct"/>
            <w:tcBorders>
              <w:top w:val="nil"/>
              <w:left w:val="nil"/>
              <w:bottom w:val="nil"/>
              <w:right w:val="nil"/>
            </w:tcBorders>
            <w:shd w:val="clear" w:color="auto" w:fill="auto"/>
            <w:noWrap/>
            <w:vAlign w:val="center"/>
            <w:hideMark/>
          </w:tcPr>
          <w:p w14:paraId="3F42240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26.2%</w:t>
            </w:r>
          </w:p>
        </w:tc>
        <w:tc>
          <w:tcPr>
            <w:tcW w:w="753" w:type="pct"/>
            <w:tcBorders>
              <w:top w:val="nil"/>
              <w:left w:val="nil"/>
              <w:bottom w:val="nil"/>
              <w:right w:val="nil"/>
            </w:tcBorders>
            <w:shd w:val="clear" w:color="auto" w:fill="auto"/>
            <w:noWrap/>
            <w:vAlign w:val="center"/>
            <w:hideMark/>
          </w:tcPr>
          <w:p w14:paraId="676E0892"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30.1%</w:t>
            </w:r>
          </w:p>
        </w:tc>
        <w:tc>
          <w:tcPr>
            <w:tcW w:w="754" w:type="pct"/>
            <w:tcBorders>
              <w:top w:val="nil"/>
              <w:left w:val="nil"/>
              <w:bottom w:val="nil"/>
              <w:right w:val="nil"/>
            </w:tcBorders>
            <w:shd w:val="clear" w:color="auto" w:fill="auto"/>
            <w:noWrap/>
            <w:vAlign w:val="center"/>
            <w:hideMark/>
          </w:tcPr>
          <w:p w14:paraId="034BC0E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40.3%</w:t>
            </w:r>
          </w:p>
        </w:tc>
        <w:tc>
          <w:tcPr>
            <w:tcW w:w="754" w:type="pct"/>
            <w:tcBorders>
              <w:top w:val="nil"/>
              <w:left w:val="nil"/>
              <w:bottom w:val="nil"/>
              <w:right w:val="nil"/>
            </w:tcBorders>
            <w:vAlign w:val="center"/>
          </w:tcPr>
          <w:p w14:paraId="0C350F8E"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59.2%</w:t>
            </w:r>
          </w:p>
        </w:tc>
      </w:tr>
      <w:tr w:rsidR="00F970C1" w:rsidRPr="008029B2" w14:paraId="757314DB" w14:textId="77777777" w:rsidTr="00F970C1">
        <w:trPr>
          <w:trHeight w:val="288"/>
        </w:trPr>
        <w:tc>
          <w:tcPr>
            <w:tcW w:w="1231" w:type="pct"/>
            <w:tcBorders>
              <w:top w:val="nil"/>
              <w:left w:val="nil"/>
              <w:bottom w:val="single" w:sz="4" w:space="0" w:color="auto"/>
              <w:right w:val="nil"/>
            </w:tcBorders>
            <w:shd w:val="clear" w:color="auto" w:fill="auto"/>
            <w:noWrap/>
            <w:vAlign w:val="center"/>
            <w:hideMark/>
          </w:tcPr>
          <w:p w14:paraId="73E3EA4B" w14:textId="65C3B1CF"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T</w:t>
            </w:r>
            <w:r w:rsidR="00F970C1" w:rsidRPr="008029B2">
              <w:rPr>
                <w:rFonts w:eastAsia="Times New Roman" w:cs="Times New Roman"/>
                <w:color w:val="000000"/>
                <w:sz w:val="20"/>
                <w:szCs w:val="20"/>
                <w:shd w:val="clear" w:color="auto" w:fill="FFFFFF" w:themeFill="background1"/>
              </w:rPr>
              <w:t>wo-way trader</w:t>
            </w:r>
          </w:p>
        </w:tc>
        <w:tc>
          <w:tcPr>
            <w:tcW w:w="753" w:type="pct"/>
            <w:tcBorders>
              <w:top w:val="nil"/>
              <w:left w:val="nil"/>
              <w:bottom w:val="single" w:sz="4" w:space="0" w:color="auto"/>
              <w:right w:val="nil"/>
            </w:tcBorders>
            <w:shd w:val="clear" w:color="auto" w:fill="auto"/>
            <w:noWrap/>
            <w:vAlign w:val="center"/>
            <w:hideMark/>
          </w:tcPr>
          <w:p w14:paraId="09A046A5"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34.6%</w:t>
            </w:r>
          </w:p>
        </w:tc>
        <w:tc>
          <w:tcPr>
            <w:tcW w:w="754" w:type="pct"/>
            <w:tcBorders>
              <w:top w:val="nil"/>
              <w:left w:val="nil"/>
              <w:bottom w:val="single" w:sz="4" w:space="0" w:color="auto"/>
              <w:right w:val="nil"/>
            </w:tcBorders>
            <w:shd w:val="clear" w:color="auto" w:fill="auto"/>
            <w:noWrap/>
            <w:vAlign w:val="center"/>
            <w:hideMark/>
          </w:tcPr>
          <w:p w14:paraId="64C2E41B"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37.8%</w:t>
            </w:r>
          </w:p>
        </w:tc>
        <w:tc>
          <w:tcPr>
            <w:tcW w:w="753" w:type="pct"/>
            <w:tcBorders>
              <w:top w:val="nil"/>
              <w:left w:val="nil"/>
              <w:bottom w:val="single" w:sz="4" w:space="0" w:color="auto"/>
              <w:right w:val="nil"/>
            </w:tcBorders>
            <w:shd w:val="clear" w:color="auto" w:fill="auto"/>
            <w:noWrap/>
            <w:vAlign w:val="center"/>
            <w:hideMark/>
          </w:tcPr>
          <w:p w14:paraId="23B5DA8B"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47.1%</w:t>
            </w:r>
          </w:p>
        </w:tc>
        <w:tc>
          <w:tcPr>
            <w:tcW w:w="754" w:type="pct"/>
            <w:tcBorders>
              <w:top w:val="nil"/>
              <w:left w:val="nil"/>
              <w:bottom w:val="single" w:sz="4" w:space="0" w:color="auto"/>
              <w:right w:val="nil"/>
            </w:tcBorders>
            <w:shd w:val="clear" w:color="auto" w:fill="auto"/>
            <w:noWrap/>
            <w:vAlign w:val="center"/>
            <w:hideMark/>
          </w:tcPr>
          <w:p w14:paraId="128DCE35"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45.0%</w:t>
            </w:r>
          </w:p>
        </w:tc>
        <w:tc>
          <w:tcPr>
            <w:tcW w:w="754" w:type="pct"/>
            <w:tcBorders>
              <w:top w:val="nil"/>
              <w:left w:val="nil"/>
              <w:bottom w:val="single" w:sz="4" w:space="0" w:color="auto"/>
              <w:right w:val="nil"/>
            </w:tcBorders>
            <w:vAlign w:val="center"/>
          </w:tcPr>
          <w:p w14:paraId="652C7435"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63.9%</w:t>
            </w:r>
          </w:p>
        </w:tc>
      </w:tr>
      <w:tr w:rsidR="00F970C1" w:rsidRPr="008029B2" w14:paraId="2FCF296F" w14:textId="77777777" w:rsidTr="00F970C1">
        <w:trPr>
          <w:trHeight w:val="288"/>
        </w:trPr>
        <w:tc>
          <w:tcPr>
            <w:tcW w:w="1231" w:type="pct"/>
            <w:tcBorders>
              <w:top w:val="nil"/>
              <w:left w:val="nil"/>
              <w:bottom w:val="nil"/>
              <w:right w:val="nil"/>
            </w:tcBorders>
            <w:shd w:val="clear" w:color="auto" w:fill="auto"/>
            <w:noWrap/>
            <w:vAlign w:val="center"/>
            <w:hideMark/>
          </w:tcPr>
          <w:p w14:paraId="5AF3FC36" w14:textId="2CA09CC2"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N</w:t>
            </w:r>
            <w:r w:rsidR="00F970C1" w:rsidRPr="008029B2">
              <w:rPr>
                <w:rFonts w:eastAsia="Times New Roman" w:cs="Times New Roman"/>
                <w:color w:val="000000"/>
                <w:sz w:val="20"/>
                <w:szCs w:val="20"/>
                <w:shd w:val="clear" w:color="auto" w:fill="FFFFFF" w:themeFill="background1"/>
              </w:rPr>
              <w:t>ational</w:t>
            </w:r>
          </w:p>
        </w:tc>
        <w:tc>
          <w:tcPr>
            <w:tcW w:w="753" w:type="pct"/>
            <w:tcBorders>
              <w:top w:val="nil"/>
              <w:left w:val="nil"/>
              <w:bottom w:val="nil"/>
              <w:right w:val="nil"/>
            </w:tcBorders>
            <w:shd w:val="clear" w:color="auto" w:fill="auto"/>
            <w:noWrap/>
            <w:vAlign w:val="center"/>
            <w:hideMark/>
          </w:tcPr>
          <w:p w14:paraId="5D1F77C3"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14.1%</w:t>
            </w:r>
          </w:p>
        </w:tc>
        <w:tc>
          <w:tcPr>
            <w:tcW w:w="754" w:type="pct"/>
            <w:tcBorders>
              <w:top w:val="nil"/>
              <w:left w:val="nil"/>
              <w:bottom w:val="nil"/>
              <w:right w:val="nil"/>
            </w:tcBorders>
            <w:shd w:val="clear" w:color="auto" w:fill="auto"/>
            <w:noWrap/>
            <w:vAlign w:val="center"/>
            <w:hideMark/>
          </w:tcPr>
          <w:p w14:paraId="1B424D02"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30.2%</w:t>
            </w:r>
          </w:p>
        </w:tc>
        <w:tc>
          <w:tcPr>
            <w:tcW w:w="753" w:type="pct"/>
            <w:tcBorders>
              <w:top w:val="nil"/>
              <w:left w:val="nil"/>
              <w:bottom w:val="nil"/>
              <w:right w:val="nil"/>
            </w:tcBorders>
            <w:shd w:val="clear" w:color="auto" w:fill="auto"/>
            <w:noWrap/>
            <w:vAlign w:val="center"/>
            <w:hideMark/>
          </w:tcPr>
          <w:p w14:paraId="5990FF0C"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38.1%</w:t>
            </w:r>
          </w:p>
        </w:tc>
        <w:tc>
          <w:tcPr>
            <w:tcW w:w="754" w:type="pct"/>
            <w:tcBorders>
              <w:top w:val="nil"/>
              <w:left w:val="nil"/>
              <w:bottom w:val="nil"/>
              <w:right w:val="nil"/>
            </w:tcBorders>
            <w:shd w:val="clear" w:color="auto" w:fill="auto"/>
            <w:noWrap/>
            <w:vAlign w:val="center"/>
            <w:hideMark/>
          </w:tcPr>
          <w:p w14:paraId="2A95477A"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47.2%</w:t>
            </w:r>
          </w:p>
        </w:tc>
        <w:tc>
          <w:tcPr>
            <w:tcW w:w="754" w:type="pct"/>
            <w:tcBorders>
              <w:top w:val="nil"/>
              <w:left w:val="nil"/>
              <w:bottom w:val="nil"/>
              <w:right w:val="nil"/>
            </w:tcBorders>
            <w:vAlign w:val="center"/>
          </w:tcPr>
          <w:p w14:paraId="3BE3DE2D"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51.6%</w:t>
            </w:r>
          </w:p>
        </w:tc>
      </w:tr>
      <w:tr w:rsidR="00F970C1" w:rsidRPr="008029B2" w14:paraId="4A2AFBA5" w14:textId="77777777" w:rsidTr="00F970C1">
        <w:trPr>
          <w:trHeight w:val="288"/>
        </w:trPr>
        <w:tc>
          <w:tcPr>
            <w:tcW w:w="1231" w:type="pct"/>
            <w:tcBorders>
              <w:top w:val="nil"/>
              <w:left w:val="nil"/>
              <w:bottom w:val="single" w:sz="4" w:space="0" w:color="auto"/>
              <w:right w:val="nil"/>
            </w:tcBorders>
            <w:shd w:val="clear" w:color="auto" w:fill="auto"/>
            <w:noWrap/>
            <w:vAlign w:val="center"/>
            <w:hideMark/>
          </w:tcPr>
          <w:p w14:paraId="39754CEF" w14:textId="654109BA" w:rsidR="00F970C1" w:rsidRPr="008029B2" w:rsidRDefault="00CE4844" w:rsidP="00D727BF">
            <w:pPr>
              <w:tabs>
                <w:tab w:val="left" w:pos="720"/>
              </w:tabs>
              <w:spacing w:after="0"/>
              <w:rPr>
                <w:rFonts w:eastAsia="Times New Roman" w:cs="Times New Roman"/>
                <w:color w:val="000000"/>
                <w:sz w:val="20"/>
                <w:szCs w:val="20"/>
                <w:shd w:val="clear" w:color="auto" w:fill="FFFFFF" w:themeFill="background1"/>
              </w:rPr>
            </w:pPr>
            <w:r>
              <w:rPr>
                <w:rFonts w:eastAsia="Times New Roman" w:cs="Times New Roman"/>
                <w:color w:val="000000"/>
                <w:sz w:val="20"/>
                <w:szCs w:val="20"/>
                <w:shd w:val="clear" w:color="auto" w:fill="FFFFFF" w:themeFill="background1"/>
              </w:rPr>
              <w:t>F</w:t>
            </w:r>
            <w:r w:rsidR="00F970C1" w:rsidRPr="008029B2">
              <w:rPr>
                <w:rFonts w:eastAsia="Times New Roman" w:cs="Times New Roman"/>
                <w:color w:val="000000"/>
                <w:sz w:val="20"/>
                <w:szCs w:val="20"/>
                <w:shd w:val="clear" w:color="auto" w:fill="FFFFFF" w:themeFill="background1"/>
              </w:rPr>
              <w:t>oreign</w:t>
            </w:r>
          </w:p>
        </w:tc>
        <w:tc>
          <w:tcPr>
            <w:tcW w:w="753" w:type="pct"/>
            <w:tcBorders>
              <w:top w:val="nil"/>
              <w:left w:val="nil"/>
              <w:bottom w:val="single" w:sz="4" w:space="0" w:color="auto"/>
              <w:right w:val="nil"/>
            </w:tcBorders>
            <w:shd w:val="clear" w:color="auto" w:fill="auto"/>
            <w:noWrap/>
            <w:vAlign w:val="center"/>
            <w:hideMark/>
          </w:tcPr>
          <w:p w14:paraId="64153CD9"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12.4%</w:t>
            </w:r>
          </w:p>
        </w:tc>
        <w:tc>
          <w:tcPr>
            <w:tcW w:w="754" w:type="pct"/>
            <w:tcBorders>
              <w:top w:val="nil"/>
              <w:left w:val="nil"/>
              <w:bottom w:val="single" w:sz="4" w:space="0" w:color="auto"/>
              <w:right w:val="nil"/>
            </w:tcBorders>
            <w:shd w:val="clear" w:color="auto" w:fill="auto"/>
            <w:noWrap/>
            <w:vAlign w:val="center"/>
            <w:hideMark/>
          </w:tcPr>
          <w:p w14:paraId="1DCC2A60"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28.6%</w:t>
            </w:r>
          </w:p>
        </w:tc>
        <w:tc>
          <w:tcPr>
            <w:tcW w:w="753" w:type="pct"/>
            <w:tcBorders>
              <w:top w:val="nil"/>
              <w:left w:val="nil"/>
              <w:bottom w:val="single" w:sz="4" w:space="0" w:color="auto"/>
              <w:right w:val="nil"/>
            </w:tcBorders>
            <w:shd w:val="clear" w:color="auto" w:fill="auto"/>
            <w:noWrap/>
            <w:vAlign w:val="center"/>
            <w:hideMark/>
          </w:tcPr>
          <w:p w14:paraId="3C825AAD"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31.3%</w:t>
            </w:r>
          </w:p>
        </w:tc>
        <w:tc>
          <w:tcPr>
            <w:tcW w:w="754" w:type="pct"/>
            <w:tcBorders>
              <w:top w:val="nil"/>
              <w:left w:val="nil"/>
              <w:bottom w:val="single" w:sz="4" w:space="0" w:color="auto"/>
              <w:right w:val="nil"/>
            </w:tcBorders>
            <w:shd w:val="clear" w:color="auto" w:fill="auto"/>
            <w:noWrap/>
            <w:vAlign w:val="center"/>
            <w:hideMark/>
          </w:tcPr>
          <w:p w14:paraId="6FDD625B"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47.6%</w:t>
            </w:r>
          </w:p>
        </w:tc>
        <w:tc>
          <w:tcPr>
            <w:tcW w:w="754" w:type="pct"/>
            <w:tcBorders>
              <w:top w:val="nil"/>
              <w:left w:val="nil"/>
              <w:bottom w:val="single" w:sz="4" w:space="0" w:color="auto"/>
              <w:right w:val="nil"/>
            </w:tcBorders>
            <w:vAlign w:val="center"/>
          </w:tcPr>
          <w:p w14:paraId="1B133027" w14:textId="77777777" w:rsidR="00F970C1" w:rsidRPr="008029B2" w:rsidRDefault="00F970C1" w:rsidP="00D727BF">
            <w:pPr>
              <w:tabs>
                <w:tab w:val="left" w:pos="720"/>
              </w:tabs>
              <w:spacing w:after="0"/>
              <w:jc w:val="center"/>
              <w:rPr>
                <w:rFonts w:cs="Times New Roman"/>
                <w:color w:val="000000"/>
                <w:sz w:val="20"/>
                <w:szCs w:val="20"/>
                <w:shd w:val="clear" w:color="auto" w:fill="FFFFFF" w:themeFill="background1"/>
              </w:rPr>
            </w:pPr>
            <w:r w:rsidRPr="008029B2">
              <w:rPr>
                <w:rFonts w:cs="Times New Roman"/>
                <w:color w:val="000000"/>
                <w:sz w:val="20"/>
                <w:szCs w:val="20"/>
                <w:shd w:val="clear" w:color="auto" w:fill="FFFFFF" w:themeFill="background1"/>
              </w:rPr>
              <w:t>51.2%</w:t>
            </w:r>
          </w:p>
        </w:tc>
      </w:tr>
    </w:tbl>
    <w:p w14:paraId="6E04BA9C" w14:textId="25B106E6" w:rsidR="00F970C1" w:rsidRPr="008029B2" w:rsidRDefault="00F970C1" w:rsidP="00D727BF">
      <w:pPr>
        <w:pStyle w:val="FootnoteText"/>
        <w:tabs>
          <w:tab w:val="left" w:pos="720"/>
        </w:tabs>
        <w:spacing w:after="240"/>
        <w:rPr>
          <w:rFonts w:ascii="Times New Roman" w:eastAsia="Calibri" w:hAnsi="Times New Roman"/>
          <w:shd w:val="clear" w:color="auto" w:fill="FFFFFF" w:themeFill="background1"/>
        </w:rPr>
      </w:pPr>
      <w:r w:rsidRPr="008029B2">
        <w:rPr>
          <w:rFonts w:ascii="Times New Roman" w:eastAsia="Calibri" w:hAnsi="Times New Roman"/>
          <w:shd w:val="clear" w:color="auto" w:fill="FFFFFF" w:themeFill="background1"/>
        </w:rPr>
        <w:t>Source: Authors</w:t>
      </w:r>
      <w:r w:rsidR="00863D16">
        <w:rPr>
          <w:rFonts w:ascii="Times New Roman" w:eastAsia="Calibri" w:hAnsi="Times New Roman"/>
          <w:shd w:val="clear" w:color="auto" w:fill="FFFFFF" w:themeFill="background1"/>
        </w:rPr>
        <w:t>’</w:t>
      </w:r>
      <w:r w:rsidR="008D6390" w:rsidRPr="008029B2">
        <w:rPr>
          <w:rFonts w:ascii="Times New Roman" w:eastAsia="Calibri" w:hAnsi="Times New Roman"/>
          <w:shd w:val="clear" w:color="auto" w:fill="FFFFFF" w:themeFill="background1"/>
        </w:rPr>
        <w:t xml:space="preserve"> calculations from </w:t>
      </w:r>
      <w:r w:rsidRPr="008029B2">
        <w:rPr>
          <w:rFonts w:ascii="Times New Roman" w:eastAsia="Calibri" w:hAnsi="Times New Roman"/>
          <w:shd w:val="clear" w:color="auto" w:fill="FFFFFF" w:themeFill="background1"/>
        </w:rPr>
        <w:t>Enterprise Survey</w:t>
      </w:r>
      <w:r w:rsidR="008D6390" w:rsidRPr="008029B2">
        <w:rPr>
          <w:rFonts w:ascii="Times New Roman" w:eastAsia="Calibri" w:hAnsi="Times New Roman"/>
          <w:shd w:val="clear" w:color="auto" w:fill="FFFFFF" w:themeFill="background1"/>
        </w:rPr>
        <w:t xml:space="preserve"> 2014</w:t>
      </w:r>
      <w:r w:rsidR="006A7B72">
        <w:rPr>
          <w:rFonts w:ascii="Calibri" w:eastAsia="Calibri" w:hAnsi="Calibri"/>
          <w:shd w:val="clear" w:color="auto" w:fill="FFFFFF" w:themeFill="background1"/>
        </w:rPr>
        <w:t>‒</w:t>
      </w:r>
      <w:r w:rsidR="008D6390" w:rsidRPr="008029B2">
        <w:rPr>
          <w:rFonts w:ascii="Times New Roman" w:eastAsia="Calibri" w:hAnsi="Times New Roman"/>
          <w:shd w:val="clear" w:color="auto" w:fill="FFFFFF" w:themeFill="background1"/>
        </w:rPr>
        <w:t>15</w:t>
      </w:r>
    </w:p>
    <w:p w14:paraId="37CE0347" w14:textId="4CD39047" w:rsidR="00F970C1" w:rsidRPr="008029B2" w:rsidRDefault="00F060B0" w:rsidP="00D727BF">
      <w:pPr>
        <w:pStyle w:val="ParagraphNumbering"/>
        <w:numPr>
          <w:ilvl w:val="0"/>
          <w:numId w:val="0"/>
        </w:numPr>
        <w:tabs>
          <w:tab w:val="left" w:pos="720"/>
        </w:tabs>
        <w:spacing w:before="240" w:after="240"/>
        <w:rPr>
          <w:rFonts w:eastAsia="Calibri"/>
          <w:b/>
          <w:shd w:val="clear" w:color="auto" w:fill="FFFFFF" w:themeFill="background1"/>
        </w:rPr>
      </w:pPr>
      <w:r>
        <w:rPr>
          <w:rFonts w:eastAsia="Calibri"/>
          <w:b/>
          <w:shd w:val="clear" w:color="auto" w:fill="FFFFFF" w:themeFill="background1"/>
        </w:rPr>
        <w:lastRenderedPageBreak/>
        <w:tab/>
      </w:r>
      <w:r w:rsidR="00F970C1" w:rsidRPr="008029B2">
        <w:rPr>
          <w:rFonts w:eastAsia="Calibri"/>
          <w:b/>
          <w:shd w:val="clear" w:color="auto" w:fill="FFFFFF" w:themeFill="background1"/>
        </w:rPr>
        <w:t xml:space="preserve">Firms that engage in R&amp;D are more likely to introduce innovations. </w:t>
      </w:r>
      <w:r w:rsidR="00F970C1" w:rsidRPr="008029B2">
        <w:rPr>
          <w:rFonts w:eastAsia="Calibri"/>
          <w:shd w:val="clear" w:color="auto" w:fill="FFFFFF" w:themeFill="background1"/>
        </w:rPr>
        <w:t>The econometric results</w:t>
      </w:r>
      <w:r w:rsidR="00497A4D">
        <w:rPr>
          <w:rFonts w:eastAsia="Calibri"/>
          <w:shd w:val="clear" w:color="auto" w:fill="FFFFFF" w:themeFill="background1"/>
        </w:rPr>
        <w:t>—</w:t>
      </w:r>
      <w:r w:rsidR="00F970C1" w:rsidRPr="008029B2">
        <w:rPr>
          <w:rFonts w:eastAsia="Calibri"/>
          <w:shd w:val="clear" w:color="auto" w:fill="FFFFFF" w:themeFill="background1"/>
        </w:rPr>
        <w:t xml:space="preserve">detailed </w:t>
      </w:r>
      <w:r w:rsidR="00D62CA4" w:rsidRPr="008029B2">
        <w:rPr>
          <w:rFonts w:eastAsia="Calibri"/>
          <w:shd w:val="clear" w:color="auto" w:fill="FFFFFF" w:themeFill="background1"/>
        </w:rPr>
        <w:t xml:space="preserve">at length </w:t>
      </w:r>
      <w:r w:rsidR="00F970C1" w:rsidRPr="008029B2">
        <w:rPr>
          <w:rFonts w:eastAsia="Calibri"/>
          <w:shd w:val="clear" w:color="auto" w:fill="FFFFFF" w:themeFill="background1"/>
        </w:rPr>
        <w:t>in the background paper</w:t>
      </w:r>
      <w:r w:rsidR="00497A4D">
        <w:rPr>
          <w:rFonts w:eastAsia="Calibri"/>
          <w:shd w:val="clear" w:color="auto" w:fill="FFFFFF" w:themeFill="background1"/>
        </w:rPr>
        <w:t>—</w:t>
      </w:r>
      <w:r w:rsidR="00293526" w:rsidRPr="008029B2">
        <w:rPr>
          <w:rFonts w:eastAsia="Calibri"/>
          <w:shd w:val="clear" w:color="auto" w:fill="FFFFFF" w:themeFill="background1"/>
        </w:rPr>
        <w:t>i</w:t>
      </w:r>
      <w:r w:rsidR="00F970C1" w:rsidRPr="008029B2">
        <w:rPr>
          <w:rFonts w:eastAsia="Calibri"/>
          <w:shd w:val="clear" w:color="auto" w:fill="FFFFFF" w:themeFill="background1"/>
        </w:rPr>
        <w:t xml:space="preserve">ndicate that investing in knowledge activities via R&amp;D </w:t>
      </w:r>
      <w:r w:rsidR="007162AD" w:rsidRPr="008029B2">
        <w:rPr>
          <w:rFonts w:eastAsia="Calibri"/>
          <w:shd w:val="clear" w:color="auto" w:fill="FFFFFF" w:themeFill="background1"/>
        </w:rPr>
        <w:t xml:space="preserve">increases </w:t>
      </w:r>
      <w:r w:rsidR="00F970C1" w:rsidRPr="008029B2">
        <w:rPr>
          <w:rFonts w:eastAsia="Calibri"/>
          <w:shd w:val="clear" w:color="auto" w:fill="FFFFFF" w:themeFill="background1"/>
        </w:rPr>
        <w:t>the probability</w:t>
      </w:r>
      <w:r w:rsidR="00293526" w:rsidRPr="008029B2">
        <w:rPr>
          <w:rFonts w:eastAsia="Calibri"/>
          <w:shd w:val="clear" w:color="auto" w:fill="FFFFFF" w:themeFill="background1"/>
        </w:rPr>
        <w:t xml:space="preserve">, as well as the intensity, </w:t>
      </w:r>
      <w:r w:rsidR="00F970C1" w:rsidRPr="008029B2">
        <w:rPr>
          <w:rFonts w:eastAsia="Calibri"/>
          <w:shd w:val="clear" w:color="auto" w:fill="FFFFFF" w:themeFill="background1"/>
        </w:rPr>
        <w:t>of introducing a technological innovation. The tables and methodology are detailed in the background paper.</w:t>
      </w:r>
    </w:p>
    <w:p w14:paraId="756082A6" w14:textId="6F64E1C1" w:rsidR="00F970C1" w:rsidRPr="008029B2" w:rsidRDefault="00F060B0" w:rsidP="00D727BF">
      <w:pPr>
        <w:pStyle w:val="ParagraphNumbering"/>
        <w:numPr>
          <w:ilvl w:val="0"/>
          <w:numId w:val="0"/>
        </w:numPr>
        <w:tabs>
          <w:tab w:val="left" w:pos="720"/>
        </w:tabs>
        <w:spacing w:before="240" w:after="240"/>
        <w:rPr>
          <w:rFonts w:eastAsia="Calibri"/>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Other factors, such as market competition, spillovers</w:t>
      </w:r>
      <w:r w:rsidR="00497A4D">
        <w:rPr>
          <w:rFonts w:eastAsia="Calibri"/>
          <w:b/>
          <w:shd w:val="clear" w:color="auto" w:fill="FFFFFF" w:themeFill="background1"/>
        </w:rPr>
        <w:t>,</w:t>
      </w:r>
      <w:r w:rsidR="00F970C1" w:rsidRPr="008029B2">
        <w:rPr>
          <w:rFonts w:eastAsia="Calibri"/>
          <w:b/>
          <w:shd w:val="clear" w:color="auto" w:fill="FFFFFF" w:themeFill="background1"/>
        </w:rPr>
        <w:t xml:space="preserve"> and agglomeration seem to affect </w:t>
      </w:r>
      <w:r w:rsidR="007162AD" w:rsidRPr="008029B2">
        <w:rPr>
          <w:rFonts w:eastAsia="Calibri"/>
          <w:b/>
          <w:shd w:val="clear" w:color="auto" w:fill="FFFFFF" w:themeFill="background1"/>
        </w:rPr>
        <w:t>a</w:t>
      </w:r>
      <w:r w:rsidR="00F970C1" w:rsidRPr="008029B2">
        <w:rPr>
          <w:rFonts w:eastAsia="Calibri"/>
          <w:b/>
          <w:shd w:val="clear" w:color="auto" w:fill="FFFFFF" w:themeFill="background1"/>
        </w:rPr>
        <w:t xml:space="preserve"> firm</w:t>
      </w:r>
      <w:r w:rsidR="00863D16">
        <w:rPr>
          <w:rFonts w:eastAsia="Calibri"/>
          <w:b/>
          <w:shd w:val="clear" w:color="auto" w:fill="FFFFFF" w:themeFill="background1"/>
        </w:rPr>
        <w:t>’</w:t>
      </w:r>
      <w:r w:rsidR="007162AD" w:rsidRPr="008029B2">
        <w:rPr>
          <w:rFonts w:eastAsia="Calibri"/>
          <w:b/>
          <w:shd w:val="clear" w:color="auto" w:fill="FFFFFF" w:themeFill="background1"/>
        </w:rPr>
        <w:t>s</w:t>
      </w:r>
      <w:r w:rsidR="00F970C1" w:rsidRPr="008029B2">
        <w:rPr>
          <w:rFonts w:eastAsia="Calibri"/>
          <w:b/>
          <w:shd w:val="clear" w:color="auto" w:fill="FFFFFF" w:themeFill="background1"/>
        </w:rPr>
        <w:t xml:space="preserve"> willingness to innovate.</w:t>
      </w:r>
      <w:r w:rsidR="00F970C1" w:rsidRPr="008029B2">
        <w:rPr>
          <w:rFonts w:eastAsia="Calibri"/>
          <w:shd w:val="clear" w:color="auto" w:fill="FFFFFF" w:themeFill="background1"/>
        </w:rPr>
        <w:t xml:space="preserve"> </w:t>
      </w:r>
      <w:r w:rsidR="007162AD" w:rsidRPr="008029B2">
        <w:rPr>
          <w:rFonts w:eastAsia="Calibri"/>
          <w:shd w:val="clear" w:color="auto" w:fill="FFFFFF" w:themeFill="background1"/>
        </w:rPr>
        <w:t>F</w:t>
      </w:r>
      <w:r w:rsidR="00F970C1" w:rsidRPr="008029B2">
        <w:rPr>
          <w:rFonts w:eastAsia="Calibri"/>
          <w:shd w:val="clear" w:color="auto" w:fill="FFFFFF" w:themeFill="background1"/>
        </w:rPr>
        <w:t xml:space="preserve">irms operating in </w:t>
      </w:r>
      <w:r w:rsidR="007162AD" w:rsidRPr="008029B2">
        <w:rPr>
          <w:rFonts w:eastAsia="Calibri"/>
          <w:shd w:val="clear" w:color="auto" w:fill="FFFFFF" w:themeFill="background1"/>
        </w:rPr>
        <w:t xml:space="preserve">a </w:t>
      </w:r>
      <w:r w:rsidR="00F970C1" w:rsidRPr="008029B2">
        <w:rPr>
          <w:rFonts w:eastAsia="Calibri"/>
          <w:shd w:val="clear" w:color="auto" w:fill="FFFFFF" w:themeFill="background1"/>
        </w:rPr>
        <w:t xml:space="preserve">monopolistic market are less likely to introduce innovations, which </w:t>
      </w:r>
      <w:r w:rsidR="007162AD" w:rsidRPr="008029B2">
        <w:rPr>
          <w:rFonts w:eastAsia="Calibri"/>
          <w:shd w:val="clear" w:color="auto" w:fill="FFFFFF" w:themeFill="background1"/>
        </w:rPr>
        <w:t xml:space="preserve">implies that </w:t>
      </w:r>
      <w:r w:rsidR="00F970C1" w:rsidRPr="008029B2">
        <w:rPr>
          <w:rFonts w:eastAsia="Calibri"/>
          <w:shd w:val="clear" w:color="auto" w:fill="FFFFFF" w:themeFill="background1"/>
        </w:rPr>
        <w:t xml:space="preserve">competition </w:t>
      </w:r>
      <w:r w:rsidR="007461B9" w:rsidRPr="008029B2">
        <w:rPr>
          <w:rFonts w:eastAsia="Calibri"/>
          <w:shd w:val="clear" w:color="auto" w:fill="FFFFFF" w:themeFill="background1"/>
        </w:rPr>
        <w:t>may be</w:t>
      </w:r>
      <w:r w:rsidR="00F970C1" w:rsidRPr="008029B2">
        <w:rPr>
          <w:rFonts w:eastAsia="Calibri"/>
          <w:shd w:val="clear" w:color="auto" w:fill="FFFFFF" w:themeFill="background1"/>
        </w:rPr>
        <w:t xml:space="preserve"> an important determinant of innovation. In a more competitive market, firms </w:t>
      </w:r>
      <w:r w:rsidR="007162AD" w:rsidRPr="008029B2">
        <w:rPr>
          <w:rFonts w:eastAsia="Calibri"/>
          <w:shd w:val="clear" w:color="auto" w:fill="FFFFFF" w:themeFill="background1"/>
        </w:rPr>
        <w:t xml:space="preserve">are incentivized </w:t>
      </w:r>
      <w:r w:rsidR="00F970C1" w:rsidRPr="008029B2">
        <w:rPr>
          <w:rFonts w:eastAsia="Calibri"/>
          <w:shd w:val="clear" w:color="auto" w:fill="FFFFFF" w:themeFill="background1"/>
        </w:rPr>
        <w:t xml:space="preserve">to introduce novelty and new products in order to increase their market share. Regarding the introduction of technological innovations, having more innovators in the vicinity increases the probability of introducing a product or process innovation, although not its intensity. Regarding innovation intensity, location in </w:t>
      </w:r>
      <w:r w:rsidR="007162AD" w:rsidRPr="008029B2">
        <w:rPr>
          <w:rFonts w:eastAsia="Calibri"/>
          <w:shd w:val="clear" w:color="auto" w:fill="FFFFFF" w:themeFill="background1"/>
        </w:rPr>
        <w:t>a</w:t>
      </w:r>
      <w:r w:rsidR="004A428A" w:rsidRPr="008029B2">
        <w:rPr>
          <w:rFonts w:eastAsia="Calibri"/>
          <w:shd w:val="clear" w:color="auto" w:fill="FFFFFF" w:themeFill="background1"/>
        </w:rPr>
        <w:t xml:space="preserve"> </w:t>
      </w:r>
      <w:r w:rsidR="004A428A" w:rsidRPr="008029B2">
        <w:rPr>
          <w:shd w:val="clear" w:color="auto" w:fill="FFFFFF" w:themeFill="background1"/>
        </w:rPr>
        <w:t>city with a high concentration of business activity</w:t>
      </w:r>
      <w:r w:rsidR="007162AD" w:rsidRPr="008029B2">
        <w:rPr>
          <w:rFonts w:eastAsia="Calibri"/>
          <w:shd w:val="clear" w:color="auto" w:fill="FFFFFF" w:themeFill="background1"/>
        </w:rPr>
        <w:t xml:space="preserve"> </w:t>
      </w:r>
      <w:r w:rsidR="00F970C1" w:rsidRPr="008029B2">
        <w:rPr>
          <w:rFonts w:eastAsia="Calibri"/>
          <w:shd w:val="clear" w:color="auto" w:fill="FFFFFF" w:themeFill="background1"/>
        </w:rPr>
        <w:t xml:space="preserve">as a proxy for agglomeration increases the intensity of innovation. </w:t>
      </w:r>
      <w:r w:rsidR="007162AD" w:rsidRPr="008029B2">
        <w:rPr>
          <w:rFonts w:eastAsia="Calibri"/>
          <w:shd w:val="clear" w:color="auto" w:fill="FFFFFF" w:themeFill="background1"/>
        </w:rPr>
        <w:t>Y</w:t>
      </w:r>
      <w:r w:rsidR="00F970C1" w:rsidRPr="008029B2">
        <w:rPr>
          <w:rFonts w:eastAsia="Calibri"/>
          <w:shd w:val="clear" w:color="auto" w:fill="FFFFFF" w:themeFill="background1"/>
        </w:rPr>
        <w:t xml:space="preserve">ounger firms </w:t>
      </w:r>
      <w:r w:rsidR="007162AD" w:rsidRPr="008029B2">
        <w:rPr>
          <w:rFonts w:eastAsia="Calibri"/>
          <w:shd w:val="clear" w:color="auto" w:fill="FFFFFF" w:themeFill="background1"/>
        </w:rPr>
        <w:t xml:space="preserve">also </w:t>
      </w:r>
      <w:r w:rsidR="00F970C1" w:rsidRPr="008029B2">
        <w:rPr>
          <w:rFonts w:eastAsia="Calibri"/>
          <w:shd w:val="clear" w:color="auto" w:fill="FFFFFF" w:themeFill="background1"/>
        </w:rPr>
        <w:t>tend to have more innovation intensity.</w:t>
      </w:r>
    </w:p>
    <w:p w14:paraId="12811291" w14:textId="59C0B94B" w:rsidR="008B7EA8" w:rsidRPr="008029B2" w:rsidRDefault="008B7EA8" w:rsidP="00D727BF">
      <w:pPr>
        <w:pStyle w:val="Heading3"/>
        <w:numPr>
          <w:ilvl w:val="0"/>
          <w:numId w:val="0"/>
        </w:numPr>
        <w:tabs>
          <w:tab w:val="left" w:pos="720"/>
        </w:tabs>
        <w:spacing w:before="240"/>
        <w:jc w:val="center"/>
        <w:rPr>
          <w:shd w:val="clear" w:color="auto" w:fill="FFFFFF" w:themeFill="background1"/>
        </w:rPr>
      </w:pPr>
      <w:r w:rsidRPr="008029B2">
        <w:rPr>
          <w:shd w:val="clear" w:color="auto" w:fill="FFFFFF" w:themeFill="background1"/>
        </w:rPr>
        <w:t>Characteristics of innovative processes</w:t>
      </w:r>
    </w:p>
    <w:p w14:paraId="559D5E67" w14:textId="6290928E" w:rsidR="00F970C1" w:rsidRPr="008029B2" w:rsidRDefault="00F060B0" w:rsidP="00D727BF">
      <w:pPr>
        <w:pStyle w:val="ParagraphNumbering"/>
        <w:numPr>
          <w:ilvl w:val="0"/>
          <w:numId w:val="0"/>
        </w:numPr>
        <w:tabs>
          <w:tab w:val="left" w:pos="720"/>
        </w:tabs>
        <w:spacing w:before="240" w:after="240"/>
        <w:rPr>
          <w:rFonts w:eastAsia="Calibri"/>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 xml:space="preserve">Firms in Nigeria do not cooperate to develop product innovations, and there are no innovation linkages with academia </w:t>
      </w:r>
      <w:r w:rsidR="007162AD" w:rsidRPr="008029B2">
        <w:rPr>
          <w:rFonts w:eastAsia="Calibri"/>
          <w:b/>
          <w:shd w:val="clear" w:color="auto" w:fill="FFFFFF" w:themeFill="background1"/>
        </w:rPr>
        <w:t xml:space="preserve">or </w:t>
      </w:r>
      <w:r w:rsidR="00F970C1" w:rsidRPr="008029B2">
        <w:rPr>
          <w:rFonts w:eastAsia="Calibri"/>
          <w:b/>
          <w:shd w:val="clear" w:color="auto" w:fill="FFFFFF" w:themeFill="background1"/>
        </w:rPr>
        <w:t>government institutions.</w:t>
      </w:r>
      <w:r w:rsidR="00F970C1" w:rsidRPr="008029B2">
        <w:rPr>
          <w:rFonts w:eastAsia="Calibri"/>
          <w:shd w:val="clear" w:color="auto" w:fill="FFFFFF" w:themeFill="background1"/>
        </w:rPr>
        <w:t xml:space="preserve"> One important element to consider regarding innovation is how </w:t>
      </w:r>
      <w:r w:rsidR="007162AD" w:rsidRPr="008029B2">
        <w:rPr>
          <w:rFonts w:eastAsia="Calibri"/>
          <w:shd w:val="clear" w:color="auto" w:fill="FFFFFF" w:themeFill="background1"/>
        </w:rPr>
        <w:t>it</w:t>
      </w:r>
      <w:r w:rsidR="00F970C1" w:rsidRPr="008029B2">
        <w:rPr>
          <w:rFonts w:eastAsia="Calibri"/>
          <w:shd w:val="clear" w:color="auto" w:fill="FFFFFF" w:themeFill="background1"/>
        </w:rPr>
        <w:t xml:space="preserve"> is developed. The </w:t>
      </w:r>
      <w:r w:rsidR="005468C9" w:rsidRPr="008029B2">
        <w:rPr>
          <w:rFonts w:eastAsia="Calibri"/>
          <w:shd w:val="clear" w:color="auto" w:fill="FFFFFF" w:themeFill="background1"/>
        </w:rPr>
        <w:t xml:space="preserve">Enterprise </w:t>
      </w:r>
      <w:r w:rsidR="007162AD" w:rsidRPr="008029B2">
        <w:rPr>
          <w:rFonts w:eastAsia="Calibri"/>
          <w:shd w:val="clear" w:color="auto" w:fill="FFFFFF" w:themeFill="background1"/>
        </w:rPr>
        <w:t>S</w:t>
      </w:r>
      <w:r w:rsidR="00F970C1" w:rsidRPr="008029B2">
        <w:rPr>
          <w:rFonts w:eastAsia="Calibri"/>
          <w:shd w:val="clear" w:color="auto" w:fill="FFFFFF" w:themeFill="background1"/>
        </w:rPr>
        <w:t>urvey ask</w:t>
      </w:r>
      <w:r w:rsidR="007162AD" w:rsidRPr="008029B2">
        <w:rPr>
          <w:rFonts w:eastAsia="Calibri"/>
          <w:shd w:val="clear" w:color="auto" w:fill="FFFFFF" w:themeFill="background1"/>
        </w:rPr>
        <w:t>ed</w:t>
      </w:r>
      <w:r w:rsidR="00F970C1" w:rsidRPr="008029B2">
        <w:rPr>
          <w:rFonts w:eastAsia="Calibri"/>
          <w:shd w:val="clear" w:color="auto" w:fill="FFFFFF" w:themeFill="background1"/>
        </w:rPr>
        <w:t xml:space="preserve"> the extent to which innovations are developed in </w:t>
      </w:r>
      <w:r w:rsidR="007162AD" w:rsidRPr="008029B2">
        <w:rPr>
          <w:rFonts w:eastAsia="Calibri"/>
          <w:shd w:val="clear" w:color="auto" w:fill="FFFFFF" w:themeFill="background1"/>
        </w:rPr>
        <w:t xml:space="preserve">the </w:t>
      </w:r>
      <w:r w:rsidR="005468C9" w:rsidRPr="008029B2">
        <w:rPr>
          <w:rFonts w:eastAsia="Calibri"/>
          <w:shd w:val="clear" w:color="auto" w:fill="FFFFFF" w:themeFill="background1"/>
        </w:rPr>
        <w:t xml:space="preserve">enterprise </w:t>
      </w:r>
      <w:r w:rsidR="00F970C1" w:rsidRPr="008029B2">
        <w:rPr>
          <w:rFonts w:eastAsia="Calibri"/>
          <w:shd w:val="clear" w:color="auto" w:fill="FFFFFF" w:themeFill="background1"/>
        </w:rPr>
        <w:t xml:space="preserve">or in cooperation with other firms or institutions. </w:t>
      </w:r>
      <w:r w:rsidR="007162AD" w:rsidRPr="008029B2">
        <w:rPr>
          <w:rFonts w:eastAsia="Calibri"/>
          <w:shd w:val="clear" w:color="auto" w:fill="FFFFFF" w:themeFill="background1"/>
        </w:rPr>
        <w:t xml:space="preserve">In </w:t>
      </w:r>
      <w:r w:rsidR="00F970C1" w:rsidRPr="008029B2">
        <w:rPr>
          <w:rFonts w:eastAsia="Calibri"/>
          <w:shd w:val="clear" w:color="auto" w:fill="FFFFFF" w:themeFill="background1"/>
        </w:rPr>
        <w:t xml:space="preserve">the case of product innovations, </w:t>
      </w:r>
      <w:r w:rsidR="00AF173B" w:rsidRPr="008029B2">
        <w:rPr>
          <w:rFonts w:eastAsia="Calibri"/>
          <w:highlight w:val="yellow"/>
          <w:shd w:val="clear" w:color="auto" w:fill="FFFFFF" w:themeFill="background1"/>
        </w:rPr>
        <w:fldChar w:fldCharType="begin"/>
      </w:r>
      <w:r w:rsidR="00AF173B" w:rsidRPr="008029B2">
        <w:rPr>
          <w:rFonts w:eastAsia="Calibri"/>
          <w:shd w:val="clear" w:color="auto" w:fill="FFFFFF" w:themeFill="background1"/>
        </w:rPr>
        <w:instrText xml:space="preserve"> REF _Ref429759299 \h </w:instrText>
      </w:r>
      <w:r w:rsidR="00AF173B" w:rsidRPr="008029B2">
        <w:rPr>
          <w:rFonts w:eastAsia="Calibri"/>
          <w:highlight w:val="yellow"/>
          <w:shd w:val="clear" w:color="auto" w:fill="FFFFFF" w:themeFill="background1"/>
        </w:rPr>
      </w:r>
      <w:r w:rsidR="00AF173B" w:rsidRPr="008029B2">
        <w:rPr>
          <w:rFonts w:eastAsia="Calibri"/>
          <w:highlight w:val="yellow"/>
          <w:shd w:val="clear" w:color="auto" w:fill="FFFFFF" w:themeFill="background1"/>
        </w:rPr>
        <w:fldChar w:fldCharType="separate"/>
      </w:r>
      <w:r w:rsidR="00497A4D">
        <w:rPr>
          <w:shd w:val="clear" w:color="auto" w:fill="FFFFFF" w:themeFill="background1"/>
        </w:rPr>
        <w:t>f</w:t>
      </w:r>
      <w:r w:rsidR="008A3BBD" w:rsidRPr="008029B2">
        <w:rPr>
          <w:shd w:val="clear" w:color="auto" w:fill="FFFFFF" w:themeFill="background1"/>
        </w:rPr>
        <w:t xml:space="preserve">igure </w:t>
      </w:r>
      <w:r w:rsidR="008A3BBD">
        <w:rPr>
          <w:noProof/>
          <w:shd w:val="clear" w:color="auto" w:fill="FFFFFF" w:themeFill="background1"/>
        </w:rPr>
        <w:t>60</w:t>
      </w:r>
      <w:r w:rsidR="00AF173B" w:rsidRPr="008029B2">
        <w:rPr>
          <w:rFonts w:eastAsia="Calibri"/>
          <w:highlight w:val="yellow"/>
          <w:shd w:val="clear" w:color="auto" w:fill="FFFFFF" w:themeFill="background1"/>
        </w:rPr>
        <w:fldChar w:fldCharType="end"/>
      </w:r>
      <w:r w:rsidR="00F970C1" w:rsidRPr="008029B2">
        <w:rPr>
          <w:rFonts w:eastAsia="Calibri"/>
          <w:shd w:val="clear" w:color="auto" w:fill="FFFFFF" w:themeFill="background1"/>
        </w:rPr>
        <w:t xml:space="preserve"> </w:t>
      </w:r>
      <w:r w:rsidR="007162AD" w:rsidRPr="008029B2">
        <w:rPr>
          <w:rFonts w:eastAsia="Calibri"/>
          <w:shd w:val="clear" w:color="auto" w:fill="FFFFFF" w:themeFill="background1"/>
        </w:rPr>
        <w:t xml:space="preserve">shows </w:t>
      </w:r>
      <w:r w:rsidR="00F970C1" w:rsidRPr="008029B2">
        <w:rPr>
          <w:rFonts w:eastAsia="Calibri"/>
          <w:shd w:val="clear" w:color="auto" w:fill="FFFFFF" w:themeFill="background1"/>
        </w:rPr>
        <w:t xml:space="preserve">how </w:t>
      </w:r>
      <w:r w:rsidR="00366981" w:rsidRPr="008029B2">
        <w:rPr>
          <w:rFonts w:eastAsia="Calibri"/>
          <w:shd w:val="clear" w:color="auto" w:fill="FFFFFF" w:themeFill="background1"/>
        </w:rPr>
        <w:t>innovations are</w:t>
      </w:r>
      <w:r w:rsidR="00F970C1" w:rsidRPr="008029B2">
        <w:rPr>
          <w:rFonts w:eastAsia="Calibri"/>
          <w:shd w:val="clear" w:color="auto" w:fill="FFFFFF" w:themeFill="background1"/>
        </w:rPr>
        <w:t xml:space="preserve"> developed </w:t>
      </w:r>
      <w:r w:rsidR="007162AD" w:rsidRPr="008029B2">
        <w:rPr>
          <w:rFonts w:eastAsia="Calibri"/>
          <w:shd w:val="clear" w:color="auto" w:fill="FFFFFF" w:themeFill="background1"/>
        </w:rPr>
        <w:t>in</w:t>
      </w:r>
      <w:r w:rsidR="00F970C1" w:rsidRPr="008029B2">
        <w:rPr>
          <w:rFonts w:eastAsia="Calibri"/>
          <w:shd w:val="clear" w:color="auto" w:fill="FFFFFF" w:themeFill="background1"/>
        </w:rPr>
        <w:t xml:space="preserve"> our sample of African countries. We classify the sources of product innovation in four groups: </w:t>
      </w:r>
      <w:r w:rsidR="001113C5" w:rsidRPr="008029B2">
        <w:rPr>
          <w:rFonts w:eastAsia="Calibri"/>
          <w:shd w:val="clear" w:color="auto" w:fill="FFFFFF" w:themeFill="background1"/>
        </w:rPr>
        <w:t>(a)</w:t>
      </w:r>
      <w:r w:rsidR="00F970C1" w:rsidRPr="008029B2">
        <w:rPr>
          <w:rFonts w:eastAsia="Calibri"/>
          <w:shd w:val="clear" w:color="auto" w:fill="FFFFFF" w:themeFill="background1"/>
        </w:rPr>
        <w:t xml:space="preserve"> developed using own ideas in</w:t>
      </w:r>
      <w:r w:rsidR="00F927B8" w:rsidRPr="008029B2">
        <w:rPr>
          <w:rFonts w:eastAsia="Calibri"/>
          <w:shd w:val="clear" w:color="auto" w:fill="FFFFFF" w:themeFill="background1"/>
        </w:rPr>
        <w:t xml:space="preserve"> the</w:t>
      </w:r>
      <w:r w:rsidR="00F970C1" w:rsidRPr="008029B2">
        <w:rPr>
          <w:rFonts w:eastAsia="Calibri"/>
          <w:shd w:val="clear" w:color="auto" w:fill="FFFFFF" w:themeFill="background1"/>
        </w:rPr>
        <w:t xml:space="preserve"> </w:t>
      </w:r>
      <w:r w:rsidR="005468C9" w:rsidRPr="008029B2">
        <w:rPr>
          <w:rFonts w:eastAsia="Calibri"/>
          <w:shd w:val="clear" w:color="auto" w:fill="FFFFFF" w:themeFill="background1"/>
        </w:rPr>
        <w:t>enterprise</w:t>
      </w:r>
      <w:r w:rsidR="00F970C1" w:rsidRPr="008029B2">
        <w:rPr>
          <w:rFonts w:eastAsia="Calibri"/>
          <w:shd w:val="clear" w:color="auto" w:fill="FFFFFF" w:themeFill="background1"/>
        </w:rPr>
        <w:t xml:space="preserve">, including the hiring of specialized staff or companies; </w:t>
      </w:r>
      <w:r w:rsidR="001113C5" w:rsidRPr="008029B2">
        <w:rPr>
          <w:rFonts w:eastAsia="Calibri"/>
          <w:shd w:val="clear" w:color="auto" w:fill="FFFFFF" w:themeFill="background1"/>
        </w:rPr>
        <w:t>(b)</w:t>
      </w:r>
      <w:r w:rsidR="00F970C1" w:rsidRPr="008029B2">
        <w:rPr>
          <w:rFonts w:eastAsia="Calibri"/>
          <w:shd w:val="clear" w:color="auto" w:fill="FFFFFF" w:themeFill="background1"/>
        </w:rPr>
        <w:t xml:space="preserve"> developed in cooperation by other firms or consultants; </w:t>
      </w:r>
      <w:r w:rsidR="001113C5" w:rsidRPr="008029B2">
        <w:rPr>
          <w:rFonts w:eastAsia="Calibri"/>
          <w:shd w:val="clear" w:color="auto" w:fill="FFFFFF" w:themeFill="background1"/>
        </w:rPr>
        <w:t>(c)</w:t>
      </w:r>
      <w:r w:rsidR="00F970C1" w:rsidRPr="008029B2">
        <w:rPr>
          <w:rFonts w:eastAsia="Calibri"/>
          <w:shd w:val="clear" w:color="auto" w:fill="FFFFFF" w:themeFill="background1"/>
        </w:rPr>
        <w:t xml:space="preserve"> developed </w:t>
      </w:r>
      <w:r w:rsidR="00F927B8" w:rsidRPr="008029B2">
        <w:rPr>
          <w:rFonts w:eastAsia="Calibri"/>
          <w:shd w:val="clear" w:color="auto" w:fill="FFFFFF" w:themeFill="background1"/>
        </w:rPr>
        <w:t xml:space="preserve">by other firms; and </w:t>
      </w:r>
      <w:r w:rsidR="001113C5" w:rsidRPr="008029B2">
        <w:rPr>
          <w:rFonts w:eastAsia="Calibri"/>
          <w:shd w:val="clear" w:color="auto" w:fill="FFFFFF" w:themeFill="background1"/>
        </w:rPr>
        <w:t>(d)</w:t>
      </w:r>
      <w:r w:rsidR="00F970C1" w:rsidRPr="008029B2">
        <w:rPr>
          <w:rFonts w:eastAsia="Calibri"/>
          <w:shd w:val="clear" w:color="auto" w:fill="FFFFFF" w:themeFill="background1"/>
        </w:rPr>
        <w:t xml:space="preserve"> developed in cooperation with academia or government institutions. The</w:t>
      </w:r>
      <w:r w:rsidR="00F927B8" w:rsidRPr="008029B2">
        <w:rPr>
          <w:rFonts w:eastAsia="Calibri"/>
          <w:shd w:val="clear" w:color="auto" w:fill="FFFFFF" w:themeFill="background1"/>
        </w:rPr>
        <w:t xml:space="preserve"> figure </w:t>
      </w:r>
      <w:r w:rsidR="00F970C1" w:rsidRPr="008029B2">
        <w:rPr>
          <w:rFonts w:eastAsia="Calibri"/>
          <w:shd w:val="clear" w:color="auto" w:fill="FFFFFF" w:themeFill="background1"/>
        </w:rPr>
        <w:t xml:space="preserve">shows that Nigeria </w:t>
      </w:r>
      <w:r w:rsidR="00293526" w:rsidRPr="008029B2">
        <w:rPr>
          <w:rFonts w:eastAsia="Calibri"/>
          <w:shd w:val="clear" w:color="auto" w:fill="FFFFFF" w:themeFill="background1"/>
        </w:rPr>
        <w:t xml:space="preserve">exhibits the lowest degree of cooperation among countries </w:t>
      </w:r>
      <w:r w:rsidR="00F970C1" w:rsidRPr="008029B2">
        <w:rPr>
          <w:rFonts w:eastAsia="Calibri"/>
          <w:shd w:val="clear" w:color="auto" w:fill="FFFFFF" w:themeFill="background1"/>
        </w:rPr>
        <w:t xml:space="preserve">in the region. </w:t>
      </w:r>
      <w:r w:rsidR="00293526" w:rsidRPr="008029B2">
        <w:rPr>
          <w:rFonts w:eastAsia="Calibri"/>
          <w:shd w:val="clear" w:color="auto" w:fill="FFFFFF" w:themeFill="background1"/>
        </w:rPr>
        <w:t xml:space="preserve">Approximately </w:t>
      </w:r>
      <w:r w:rsidR="00F970C1" w:rsidRPr="008029B2">
        <w:rPr>
          <w:rFonts w:eastAsia="Calibri"/>
          <w:shd w:val="clear" w:color="auto" w:fill="FFFFFF" w:themeFill="background1"/>
        </w:rPr>
        <w:t xml:space="preserve">85 percent of firms with a product innovation </w:t>
      </w:r>
      <w:r w:rsidR="00F927B8" w:rsidRPr="008029B2">
        <w:rPr>
          <w:rFonts w:eastAsia="Calibri"/>
          <w:shd w:val="clear" w:color="auto" w:fill="FFFFFF" w:themeFill="background1"/>
        </w:rPr>
        <w:t>develop it ent</w:t>
      </w:r>
      <w:r w:rsidR="00F970C1" w:rsidRPr="008029B2">
        <w:rPr>
          <w:rFonts w:eastAsia="Calibri"/>
          <w:shd w:val="clear" w:color="auto" w:fill="FFFFFF" w:themeFill="background1"/>
        </w:rPr>
        <w:t xml:space="preserve">irely in-house. In addition, innovation linkages with university and academia are absent. </w:t>
      </w:r>
      <w:r w:rsidR="00F927B8" w:rsidRPr="008029B2">
        <w:rPr>
          <w:rFonts w:eastAsia="Calibri"/>
          <w:shd w:val="clear" w:color="auto" w:fill="FFFFFF" w:themeFill="background1"/>
        </w:rPr>
        <w:t xml:space="preserve">The limited </w:t>
      </w:r>
      <w:r w:rsidR="00F970C1" w:rsidRPr="008029B2">
        <w:rPr>
          <w:rFonts w:eastAsia="Calibri"/>
          <w:shd w:val="clear" w:color="auto" w:fill="FFFFFF" w:themeFill="background1"/>
        </w:rPr>
        <w:t xml:space="preserve">external cooperation in the development of product innovations </w:t>
      </w:r>
      <w:r w:rsidR="00F927B8" w:rsidRPr="008029B2">
        <w:rPr>
          <w:rFonts w:eastAsia="Calibri"/>
          <w:shd w:val="clear" w:color="auto" w:fill="FFFFFF" w:themeFill="background1"/>
        </w:rPr>
        <w:t xml:space="preserve">in Nigeria </w:t>
      </w:r>
      <w:r w:rsidR="00293526" w:rsidRPr="008029B2">
        <w:rPr>
          <w:rFonts w:eastAsia="Calibri"/>
          <w:shd w:val="clear" w:color="auto" w:fill="FFFFFF" w:themeFill="background1"/>
        </w:rPr>
        <w:t xml:space="preserve">suggests </w:t>
      </w:r>
      <w:r w:rsidR="00F927B8" w:rsidRPr="008029B2">
        <w:rPr>
          <w:rFonts w:eastAsia="Calibri"/>
          <w:shd w:val="clear" w:color="auto" w:fill="FFFFFF" w:themeFill="background1"/>
        </w:rPr>
        <w:t xml:space="preserve">that </w:t>
      </w:r>
      <w:r w:rsidR="00F970C1" w:rsidRPr="008029B2">
        <w:rPr>
          <w:rFonts w:eastAsia="Calibri"/>
          <w:shd w:val="clear" w:color="auto" w:fill="FFFFFF" w:themeFill="background1"/>
        </w:rPr>
        <w:t>innovations are bounded by the internal capabilities of the firm.</w:t>
      </w:r>
      <w:r w:rsidR="00F428F9" w:rsidRPr="008029B2">
        <w:rPr>
          <w:rFonts w:eastAsia="Calibri"/>
          <w:shd w:val="clear" w:color="auto" w:fill="FFFFFF" w:themeFill="background1"/>
        </w:rPr>
        <w:t xml:space="preserve"> </w:t>
      </w:r>
    </w:p>
    <w:p w14:paraId="113B848A" w14:textId="21A51C2A" w:rsidR="00AF173B" w:rsidRPr="008029B2" w:rsidRDefault="00AF173B" w:rsidP="00D727BF">
      <w:pPr>
        <w:pStyle w:val="Caption"/>
        <w:keepNext/>
        <w:tabs>
          <w:tab w:val="left" w:pos="720"/>
        </w:tabs>
        <w:jc w:val="center"/>
        <w:rPr>
          <w:shd w:val="clear" w:color="auto" w:fill="FFFFFF" w:themeFill="background1"/>
        </w:rPr>
      </w:pPr>
      <w:bookmarkStart w:id="307" w:name="_Ref429759299"/>
      <w:bookmarkStart w:id="308" w:name="_Toc445449678"/>
      <w:r w:rsidRPr="008029B2">
        <w:rPr>
          <w:shd w:val="clear" w:color="auto" w:fill="FFFFFF" w:themeFill="background1"/>
        </w:rPr>
        <w:lastRenderedPageBreak/>
        <w:t xml:space="preserve">Figure </w:t>
      </w:r>
      <w:r w:rsidR="00D92B55" w:rsidRPr="008029B2">
        <w:rPr>
          <w:shd w:val="clear" w:color="auto" w:fill="FFFFFF" w:themeFill="background1"/>
        </w:rPr>
        <w:fldChar w:fldCharType="begin"/>
      </w:r>
      <w:r w:rsidR="00D92B55" w:rsidRPr="008029B2">
        <w:rPr>
          <w:shd w:val="clear" w:color="auto" w:fill="FFFFFF" w:themeFill="background1"/>
        </w:rPr>
        <w:instrText xml:space="preserve"> SEQ Figure \* ARABIC </w:instrText>
      </w:r>
      <w:r w:rsidR="00D92B55" w:rsidRPr="008029B2">
        <w:rPr>
          <w:shd w:val="clear" w:color="auto" w:fill="FFFFFF" w:themeFill="background1"/>
        </w:rPr>
        <w:fldChar w:fldCharType="separate"/>
      </w:r>
      <w:r w:rsidR="008A3BBD">
        <w:rPr>
          <w:noProof/>
          <w:shd w:val="clear" w:color="auto" w:fill="FFFFFF" w:themeFill="background1"/>
        </w:rPr>
        <w:t>60</w:t>
      </w:r>
      <w:r w:rsidR="00D92B55" w:rsidRPr="008029B2">
        <w:rPr>
          <w:shd w:val="clear" w:color="auto" w:fill="FFFFFF" w:themeFill="background1"/>
        </w:rPr>
        <w:fldChar w:fldCharType="end"/>
      </w:r>
      <w:bookmarkEnd w:id="307"/>
      <w:r w:rsidRPr="008029B2">
        <w:rPr>
          <w:shd w:val="clear" w:color="auto" w:fill="FFFFFF" w:themeFill="background1"/>
        </w:rPr>
        <w:t xml:space="preserve">: How </w:t>
      </w:r>
      <w:r w:rsidR="00B34704" w:rsidRPr="008029B2">
        <w:rPr>
          <w:shd w:val="clear" w:color="auto" w:fill="FFFFFF" w:themeFill="background1"/>
        </w:rPr>
        <w:t>W</w:t>
      </w:r>
      <w:r w:rsidRPr="008029B2">
        <w:rPr>
          <w:shd w:val="clear" w:color="auto" w:fill="FFFFFF" w:themeFill="background1"/>
        </w:rPr>
        <w:t xml:space="preserve">ere </w:t>
      </w:r>
      <w:r w:rsidR="00B34704" w:rsidRPr="008029B2">
        <w:rPr>
          <w:shd w:val="clear" w:color="auto" w:fill="FFFFFF" w:themeFill="background1"/>
        </w:rPr>
        <w:t>P</w:t>
      </w:r>
      <w:r w:rsidRPr="008029B2">
        <w:rPr>
          <w:shd w:val="clear" w:color="auto" w:fill="FFFFFF" w:themeFill="background1"/>
        </w:rPr>
        <w:t xml:space="preserve">roduct </w:t>
      </w:r>
      <w:r w:rsidR="00B34704" w:rsidRPr="008029B2">
        <w:rPr>
          <w:shd w:val="clear" w:color="auto" w:fill="FFFFFF" w:themeFill="background1"/>
        </w:rPr>
        <w:t>I</w:t>
      </w:r>
      <w:r w:rsidRPr="008029B2">
        <w:rPr>
          <w:shd w:val="clear" w:color="auto" w:fill="FFFFFF" w:themeFill="background1"/>
        </w:rPr>
        <w:t xml:space="preserve">nnovations </w:t>
      </w:r>
      <w:r w:rsidR="00B34704" w:rsidRPr="008029B2">
        <w:rPr>
          <w:shd w:val="clear" w:color="auto" w:fill="FFFFFF" w:themeFill="background1"/>
        </w:rPr>
        <w:t>D</w:t>
      </w:r>
      <w:r w:rsidRPr="008029B2">
        <w:rPr>
          <w:shd w:val="clear" w:color="auto" w:fill="FFFFFF" w:themeFill="background1"/>
        </w:rPr>
        <w:t>eveloped?</w:t>
      </w:r>
      <w:bookmarkEnd w:id="308"/>
    </w:p>
    <w:p w14:paraId="335863EC" w14:textId="77777777" w:rsidR="00F970C1" w:rsidRPr="008029B2" w:rsidRDefault="00F970C1" w:rsidP="00D727BF">
      <w:pPr>
        <w:tabs>
          <w:tab w:val="left" w:pos="720"/>
        </w:tabs>
        <w:spacing w:after="160" w:line="259" w:lineRule="auto"/>
        <w:rPr>
          <w:rFonts w:ascii="Calibri" w:eastAsia="Calibri" w:hAnsi="Calibri" w:cs="Times New Roman"/>
          <w:sz w:val="22"/>
          <w:shd w:val="clear" w:color="auto" w:fill="FFFFFF" w:themeFill="background1"/>
        </w:rPr>
      </w:pPr>
      <w:r w:rsidRPr="008029B2">
        <w:rPr>
          <w:noProof/>
          <w:shd w:val="clear" w:color="auto" w:fill="FFFFFF" w:themeFill="background1"/>
        </w:rPr>
        <w:drawing>
          <wp:inline distT="0" distB="0" distL="0" distR="0" wp14:anchorId="279CEE32" wp14:editId="4A6AAD69">
            <wp:extent cx="5967046" cy="3317631"/>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0FE1AA4" w14:textId="19954E25" w:rsidR="00AF173B" w:rsidRPr="008029B2" w:rsidRDefault="00AF173B" w:rsidP="00D727BF">
      <w:pPr>
        <w:pStyle w:val="FootnoteText"/>
        <w:tabs>
          <w:tab w:val="left" w:pos="720"/>
        </w:tabs>
        <w:spacing w:after="240"/>
        <w:rPr>
          <w:rFonts w:ascii="Times New Roman" w:hAnsi="Times New Roman"/>
          <w:shd w:val="clear" w:color="auto" w:fill="FFFFFF" w:themeFill="background1"/>
        </w:rPr>
      </w:pPr>
      <w:r w:rsidRPr="008029B2">
        <w:rPr>
          <w:rFonts w:ascii="Times New Roman" w:hAnsi="Times New Roman"/>
          <w:shd w:val="clear" w:color="auto" w:fill="FFFFFF" w:themeFill="background1"/>
        </w:rPr>
        <w:t>Source:</w:t>
      </w:r>
      <w:r w:rsidR="00F428F9" w:rsidRPr="008029B2">
        <w:rPr>
          <w:rFonts w:ascii="Times New Roman" w:hAnsi="Times New Roman"/>
          <w:shd w:val="clear" w:color="auto" w:fill="FFFFFF" w:themeFill="background1"/>
        </w:rPr>
        <w:t xml:space="preserve"> </w:t>
      </w:r>
      <w:r w:rsidRPr="008029B2">
        <w:rPr>
          <w:rFonts w:ascii="Times New Roman" w:hAnsi="Times New Roman"/>
          <w:shd w:val="clear" w:color="auto" w:fill="FFFFFF" w:themeFill="background1"/>
        </w:rPr>
        <w:t>Authors</w:t>
      </w:r>
      <w:r w:rsidR="00863D16">
        <w:rPr>
          <w:rFonts w:ascii="Times New Roman" w:hAnsi="Times New Roman"/>
          <w:shd w:val="clear" w:color="auto" w:fill="FFFFFF" w:themeFill="background1"/>
        </w:rPr>
        <w:t>’</w:t>
      </w:r>
      <w:r w:rsidRPr="008029B2">
        <w:rPr>
          <w:rFonts w:ascii="Times New Roman" w:hAnsi="Times New Roman"/>
          <w:shd w:val="clear" w:color="auto" w:fill="FFFFFF" w:themeFill="background1"/>
        </w:rPr>
        <w:t xml:space="preserve"> calculation</w:t>
      </w:r>
      <w:r w:rsidR="00F927B8" w:rsidRPr="008029B2">
        <w:rPr>
          <w:rFonts w:ascii="Times New Roman" w:hAnsi="Times New Roman"/>
          <w:shd w:val="clear" w:color="auto" w:fill="FFFFFF" w:themeFill="background1"/>
        </w:rPr>
        <w:t>s</w:t>
      </w:r>
      <w:r w:rsidRPr="008029B2">
        <w:rPr>
          <w:rFonts w:ascii="Times New Roman" w:hAnsi="Times New Roman"/>
          <w:shd w:val="clear" w:color="auto" w:fill="FFFFFF" w:themeFill="background1"/>
        </w:rPr>
        <w:t xml:space="preserve"> based on </w:t>
      </w:r>
      <w:r w:rsidR="00F927B8" w:rsidRPr="008029B2">
        <w:rPr>
          <w:rFonts w:ascii="Times New Roman" w:hAnsi="Times New Roman"/>
          <w:shd w:val="clear" w:color="auto" w:fill="FFFFFF" w:themeFill="background1"/>
        </w:rPr>
        <w:t>Enterprise Survey 2014</w:t>
      </w:r>
      <w:r w:rsidR="00497A4D">
        <w:rPr>
          <w:rFonts w:ascii="Calibri" w:hAnsi="Calibri"/>
          <w:shd w:val="clear" w:color="auto" w:fill="FFFFFF" w:themeFill="background1"/>
        </w:rPr>
        <w:t>‒</w:t>
      </w:r>
      <w:r w:rsidR="00F927B8" w:rsidRPr="008029B2">
        <w:rPr>
          <w:rFonts w:ascii="Times New Roman" w:hAnsi="Times New Roman"/>
          <w:shd w:val="clear" w:color="auto" w:fill="FFFFFF" w:themeFill="background1"/>
        </w:rPr>
        <w:t xml:space="preserve">15 </w:t>
      </w:r>
    </w:p>
    <w:p w14:paraId="2F4C9E60" w14:textId="2AF134BB" w:rsidR="00F970C1" w:rsidRPr="008029B2" w:rsidRDefault="008B7EA8" w:rsidP="00D727BF">
      <w:pPr>
        <w:pStyle w:val="Heading2"/>
        <w:tabs>
          <w:tab w:val="left" w:pos="720"/>
        </w:tabs>
        <w:spacing w:before="240"/>
        <w:rPr>
          <w:shd w:val="clear" w:color="auto" w:fill="FFFFFF" w:themeFill="background1"/>
        </w:rPr>
      </w:pPr>
      <w:r w:rsidRPr="008029B2">
        <w:rPr>
          <w:shd w:val="clear" w:color="auto" w:fill="FFFFFF" w:themeFill="background1"/>
        </w:rPr>
        <w:t xml:space="preserve"> </w:t>
      </w:r>
      <w:bookmarkStart w:id="309" w:name="_Toc444877523"/>
      <w:bookmarkStart w:id="310" w:name="_Toc445450294"/>
      <w:r w:rsidR="00F970C1" w:rsidRPr="008029B2">
        <w:rPr>
          <w:shd w:val="clear" w:color="auto" w:fill="FFFFFF" w:themeFill="background1"/>
        </w:rPr>
        <w:t>The Impact of Innovations on Firm-</w:t>
      </w:r>
      <w:r w:rsidR="00497A4D">
        <w:rPr>
          <w:shd w:val="clear" w:color="auto" w:fill="FFFFFF" w:themeFill="background1"/>
        </w:rPr>
        <w:t>L</w:t>
      </w:r>
      <w:r w:rsidR="00F970C1" w:rsidRPr="008029B2">
        <w:rPr>
          <w:shd w:val="clear" w:color="auto" w:fill="FFFFFF" w:themeFill="background1"/>
        </w:rPr>
        <w:t>evel Productivity</w:t>
      </w:r>
      <w:bookmarkEnd w:id="309"/>
      <w:bookmarkEnd w:id="310"/>
    </w:p>
    <w:p w14:paraId="1555B18F" w14:textId="230998EE" w:rsidR="00F970C1" w:rsidRPr="008029B2" w:rsidRDefault="00F060B0" w:rsidP="00D727BF">
      <w:pPr>
        <w:pStyle w:val="ParagraphNumbering"/>
        <w:numPr>
          <w:ilvl w:val="0"/>
          <w:numId w:val="0"/>
        </w:numPr>
        <w:tabs>
          <w:tab w:val="left" w:pos="720"/>
        </w:tabs>
        <w:spacing w:after="240"/>
        <w:rPr>
          <w:rFonts w:eastAsia="Calibri"/>
          <w:shd w:val="clear" w:color="auto" w:fill="FFFFFF" w:themeFill="background1"/>
        </w:rPr>
      </w:pPr>
      <w:r>
        <w:rPr>
          <w:rFonts w:eastAsia="Calibri"/>
          <w:shd w:val="clear" w:color="auto" w:fill="FFFFFF" w:themeFill="background1"/>
        </w:rPr>
        <w:tab/>
      </w:r>
      <w:r w:rsidR="00F970C1" w:rsidRPr="008029B2">
        <w:rPr>
          <w:rFonts w:eastAsia="Calibri"/>
          <w:shd w:val="clear" w:color="auto" w:fill="FFFFFF" w:themeFill="background1"/>
        </w:rPr>
        <w:t xml:space="preserve">The empirical results presented in this </w:t>
      </w:r>
      <w:r w:rsidR="00F927B8" w:rsidRPr="008029B2">
        <w:rPr>
          <w:rFonts w:eastAsia="Calibri"/>
          <w:shd w:val="clear" w:color="auto" w:fill="FFFFFF" w:themeFill="background1"/>
        </w:rPr>
        <w:t>c</w:t>
      </w:r>
      <w:r w:rsidR="00F970C1" w:rsidRPr="008029B2">
        <w:rPr>
          <w:rFonts w:eastAsia="Calibri"/>
          <w:shd w:val="clear" w:color="auto" w:fill="FFFFFF" w:themeFill="background1"/>
        </w:rPr>
        <w:t xml:space="preserve">hapter are estimates from a model </w:t>
      </w:r>
      <w:r w:rsidR="00F02D79" w:rsidRPr="008029B2">
        <w:rPr>
          <w:rFonts w:eastAsia="Calibri"/>
          <w:shd w:val="clear" w:color="auto" w:fill="FFFFFF" w:themeFill="background1"/>
        </w:rPr>
        <w:t xml:space="preserve">that </w:t>
      </w:r>
      <w:r w:rsidR="00F970C1" w:rsidRPr="008029B2">
        <w:rPr>
          <w:rFonts w:eastAsia="Calibri"/>
          <w:shd w:val="clear" w:color="auto" w:fill="FFFFFF" w:themeFill="background1"/>
        </w:rPr>
        <w:t xml:space="preserve">simultaneously </w:t>
      </w:r>
      <w:r w:rsidR="00F02D79" w:rsidRPr="008029B2">
        <w:rPr>
          <w:rFonts w:eastAsia="Calibri"/>
          <w:shd w:val="clear" w:color="auto" w:fill="FFFFFF" w:themeFill="background1"/>
        </w:rPr>
        <w:t xml:space="preserve">solves </w:t>
      </w:r>
      <w:r w:rsidR="00F970C1" w:rsidRPr="008029B2">
        <w:rPr>
          <w:rFonts w:eastAsia="Calibri"/>
          <w:shd w:val="clear" w:color="auto" w:fill="FFFFFF" w:themeFill="background1"/>
        </w:rPr>
        <w:t>three different equations</w:t>
      </w:r>
      <w:r w:rsidR="00F02D79" w:rsidRPr="008029B2">
        <w:rPr>
          <w:rFonts w:eastAsia="Calibri"/>
          <w:shd w:val="clear" w:color="auto" w:fill="FFFFFF" w:themeFill="background1"/>
        </w:rPr>
        <w:t>, representing th</w:t>
      </w:r>
      <w:r w:rsidR="00F970C1" w:rsidRPr="008029B2">
        <w:rPr>
          <w:rFonts w:eastAsia="Calibri"/>
          <w:shd w:val="clear" w:color="auto" w:fill="FFFFFF" w:themeFill="background1"/>
        </w:rPr>
        <w:t>e logical framework between innovation and productivity (</w:t>
      </w:r>
      <w:r w:rsidR="00F02D79" w:rsidRPr="008029B2">
        <w:rPr>
          <w:rFonts w:eastAsia="Calibri"/>
          <w:shd w:val="clear" w:color="auto" w:fill="FFFFFF" w:themeFill="background1"/>
        </w:rPr>
        <w:t>the C</w:t>
      </w:r>
      <w:r w:rsidR="00F970C1" w:rsidRPr="008029B2">
        <w:rPr>
          <w:rFonts w:eastAsia="Calibri"/>
          <w:shd w:val="clear" w:color="auto" w:fill="FFFFFF" w:themeFill="background1"/>
        </w:rPr>
        <w:t>r</w:t>
      </w:r>
      <w:r w:rsidR="000A6A72">
        <w:rPr>
          <w:rFonts w:eastAsia="Calibri"/>
          <w:shd w:val="clear" w:color="auto" w:fill="FFFFFF" w:themeFill="background1"/>
        </w:rPr>
        <w:t>é</w:t>
      </w:r>
      <w:r w:rsidR="00F970C1" w:rsidRPr="008029B2">
        <w:rPr>
          <w:rFonts w:eastAsia="Calibri"/>
          <w:shd w:val="clear" w:color="auto" w:fill="FFFFFF" w:themeFill="background1"/>
        </w:rPr>
        <w:t>pon-Duguet-Mairesse model</w:t>
      </w:r>
      <w:r w:rsidR="00B11B25" w:rsidRPr="008029B2">
        <w:rPr>
          <w:rFonts w:eastAsia="Calibri"/>
          <w:shd w:val="clear" w:color="auto" w:fill="FFFFFF" w:themeFill="background1"/>
        </w:rPr>
        <w:t>).</w:t>
      </w:r>
      <w:r w:rsidR="004A428A" w:rsidRPr="008029B2">
        <w:rPr>
          <w:rStyle w:val="FootnoteReference"/>
          <w:rFonts w:eastAsia="Calibri"/>
          <w:shd w:val="clear" w:color="auto" w:fill="FFFFFF" w:themeFill="background1"/>
        </w:rPr>
        <w:footnoteReference w:id="61"/>
      </w:r>
      <w:r w:rsidR="00F970C1" w:rsidRPr="008029B2">
        <w:rPr>
          <w:rFonts w:eastAsia="Calibri"/>
          <w:shd w:val="clear" w:color="auto" w:fill="FFFFFF" w:themeFill="background1"/>
        </w:rPr>
        <w:t xml:space="preserve"> The details are provided in the background paper. This section focuses on sales per worker as a proxy for labor productivity, thereby looking at the relationship </w:t>
      </w:r>
      <w:r w:rsidR="00F02D79" w:rsidRPr="008029B2">
        <w:rPr>
          <w:rFonts w:eastAsia="Calibri"/>
          <w:shd w:val="clear" w:color="auto" w:fill="FFFFFF" w:themeFill="background1"/>
        </w:rPr>
        <w:t xml:space="preserve">among </w:t>
      </w:r>
      <w:r w:rsidR="00F970C1" w:rsidRPr="008029B2">
        <w:rPr>
          <w:rFonts w:eastAsia="Calibri"/>
          <w:shd w:val="clear" w:color="auto" w:fill="FFFFFF" w:themeFill="background1"/>
        </w:rPr>
        <w:t>knowledge capital inputs,</w:t>
      </w:r>
      <w:r w:rsidR="00F970C1" w:rsidRPr="008029B2">
        <w:rPr>
          <w:rStyle w:val="FootnoteReference"/>
          <w:rFonts w:eastAsia="Calibri"/>
          <w:shd w:val="clear" w:color="auto" w:fill="FFFFFF" w:themeFill="background1"/>
        </w:rPr>
        <w:footnoteReference w:id="62"/>
      </w:r>
      <w:r w:rsidR="00F970C1" w:rsidRPr="008029B2">
        <w:rPr>
          <w:rFonts w:eastAsia="Calibri"/>
          <w:shd w:val="clear" w:color="auto" w:fill="FFFFFF" w:themeFill="background1"/>
        </w:rPr>
        <w:t xml:space="preserve"> innovation outcomes</w:t>
      </w:r>
      <w:r w:rsidR="00F02D79" w:rsidRPr="008029B2">
        <w:rPr>
          <w:rFonts w:eastAsia="Calibri"/>
          <w:shd w:val="clear" w:color="auto" w:fill="FFFFFF" w:themeFill="background1"/>
        </w:rPr>
        <w:t>,</w:t>
      </w:r>
      <w:r w:rsidR="00F970C1" w:rsidRPr="008029B2">
        <w:rPr>
          <w:rStyle w:val="FootnoteReference"/>
          <w:rFonts w:eastAsia="Calibri"/>
          <w:shd w:val="clear" w:color="auto" w:fill="FFFFFF" w:themeFill="background1"/>
        </w:rPr>
        <w:footnoteReference w:id="63"/>
      </w:r>
      <w:r w:rsidR="00F970C1" w:rsidRPr="008029B2">
        <w:rPr>
          <w:rFonts w:eastAsia="Calibri"/>
          <w:shd w:val="clear" w:color="auto" w:fill="FFFFFF" w:themeFill="background1"/>
        </w:rPr>
        <w:t xml:space="preserve"> and labor productivity. </w:t>
      </w:r>
    </w:p>
    <w:p w14:paraId="138981FC" w14:textId="7D418D0F" w:rsidR="00F970C1" w:rsidRPr="008029B2" w:rsidRDefault="00F060B0" w:rsidP="00D727BF">
      <w:pPr>
        <w:pStyle w:val="ParagraphNumbering"/>
        <w:numPr>
          <w:ilvl w:val="0"/>
          <w:numId w:val="0"/>
        </w:numPr>
        <w:tabs>
          <w:tab w:val="left" w:pos="720"/>
        </w:tabs>
        <w:spacing w:after="240"/>
        <w:rPr>
          <w:rFonts w:eastAsia="Calibri"/>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Innovation in Nigerian firms does not appear to have an impact on productivity.</w:t>
      </w:r>
      <w:r w:rsidR="00F970C1" w:rsidRPr="008029B2">
        <w:rPr>
          <w:rFonts w:eastAsia="Calibri"/>
          <w:shd w:val="clear" w:color="auto" w:fill="FFFFFF" w:themeFill="background1"/>
        </w:rPr>
        <w:t xml:space="preserve"> The estimation does not provide evidence of positive and statistically significant returns to innovation. Neither the coefficient on technological </w:t>
      </w:r>
      <w:r w:rsidR="00F02D79" w:rsidRPr="008029B2">
        <w:rPr>
          <w:rFonts w:eastAsia="Calibri"/>
          <w:shd w:val="clear" w:color="auto" w:fill="FFFFFF" w:themeFill="background1"/>
        </w:rPr>
        <w:t xml:space="preserve">(process or product) </w:t>
      </w:r>
      <w:r w:rsidR="00F970C1" w:rsidRPr="008029B2">
        <w:rPr>
          <w:rFonts w:eastAsia="Calibri"/>
          <w:shd w:val="clear" w:color="auto" w:fill="FFFFFF" w:themeFill="background1"/>
        </w:rPr>
        <w:t>innovation</w:t>
      </w:r>
      <w:r w:rsidR="00F02D79" w:rsidRPr="008029B2">
        <w:rPr>
          <w:rFonts w:eastAsia="Calibri"/>
          <w:shd w:val="clear" w:color="auto" w:fill="FFFFFF" w:themeFill="background1"/>
        </w:rPr>
        <w:t xml:space="preserve">, </w:t>
      </w:r>
      <w:r w:rsidR="00F970C1" w:rsidRPr="008029B2">
        <w:rPr>
          <w:rFonts w:eastAsia="Calibri"/>
          <w:shd w:val="clear" w:color="auto" w:fill="FFFFFF" w:themeFill="background1"/>
        </w:rPr>
        <w:t>nor the coefficient on innovation intensity</w:t>
      </w:r>
      <w:r w:rsidR="00F02D79" w:rsidRPr="008029B2">
        <w:rPr>
          <w:rFonts w:eastAsia="Calibri"/>
          <w:shd w:val="clear" w:color="auto" w:fill="FFFFFF" w:themeFill="background1"/>
        </w:rPr>
        <w:t>,</w:t>
      </w:r>
      <w:r w:rsidR="00F970C1" w:rsidRPr="008029B2">
        <w:rPr>
          <w:rFonts w:eastAsia="Calibri"/>
          <w:shd w:val="clear" w:color="auto" w:fill="FFFFFF" w:themeFill="background1"/>
        </w:rPr>
        <w:t xml:space="preserve"> is statistically significant. This is likely the result of very low investment in knowledge capital and </w:t>
      </w:r>
      <w:r w:rsidR="00293526" w:rsidRPr="008029B2">
        <w:rPr>
          <w:rFonts w:eastAsia="Calibri"/>
          <w:shd w:val="clear" w:color="auto" w:fill="FFFFFF" w:themeFill="background1"/>
        </w:rPr>
        <w:t xml:space="preserve">limited </w:t>
      </w:r>
      <w:r w:rsidR="00F970C1" w:rsidRPr="008029B2">
        <w:rPr>
          <w:rFonts w:eastAsia="Calibri"/>
          <w:shd w:val="clear" w:color="auto" w:fill="FFFFFF" w:themeFill="background1"/>
        </w:rPr>
        <w:t xml:space="preserve">cooperation </w:t>
      </w:r>
      <w:r w:rsidR="00F02D79" w:rsidRPr="008029B2">
        <w:rPr>
          <w:rFonts w:eastAsia="Calibri"/>
          <w:shd w:val="clear" w:color="auto" w:fill="FFFFFF" w:themeFill="background1"/>
        </w:rPr>
        <w:t>on</w:t>
      </w:r>
      <w:r w:rsidR="00F970C1" w:rsidRPr="008029B2">
        <w:rPr>
          <w:rFonts w:eastAsia="Calibri"/>
          <w:shd w:val="clear" w:color="auto" w:fill="FFFFFF" w:themeFill="background1"/>
        </w:rPr>
        <w:t xml:space="preserve"> innovation, which</w:t>
      </w:r>
      <w:r w:rsidR="00F02D79" w:rsidRPr="008029B2">
        <w:rPr>
          <w:rFonts w:eastAsia="Calibri"/>
          <w:shd w:val="clear" w:color="auto" w:fill="FFFFFF" w:themeFill="background1"/>
        </w:rPr>
        <w:t xml:space="preserve"> significantly</w:t>
      </w:r>
      <w:r w:rsidR="00F970C1" w:rsidRPr="008029B2">
        <w:rPr>
          <w:rFonts w:eastAsia="Calibri"/>
          <w:shd w:val="clear" w:color="auto" w:fill="FFFFFF" w:themeFill="background1"/>
        </w:rPr>
        <w:t xml:space="preserve"> </w:t>
      </w:r>
      <w:r w:rsidR="00293526" w:rsidRPr="008029B2">
        <w:rPr>
          <w:rFonts w:eastAsia="Calibri"/>
          <w:shd w:val="clear" w:color="auto" w:fill="FFFFFF" w:themeFill="background1"/>
        </w:rPr>
        <w:lastRenderedPageBreak/>
        <w:t xml:space="preserve">constrains </w:t>
      </w:r>
      <w:r w:rsidR="00F970C1" w:rsidRPr="008029B2">
        <w:rPr>
          <w:rFonts w:eastAsia="Calibri"/>
          <w:shd w:val="clear" w:color="auto" w:fill="FFFFFF" w:themeFill="background1"/>
        </w:rPr>
        <w:t xml:space="preserve">the quality of innovations introduced. </w:t>
      </w:r>
      <w:r w:rsidR="00F02D79" w:rsidRPr="008029B2">
        <w:rPr>
          <w:rFonts w:eastAsia="Calibri"/>
          <w:shd w:val="clear" w:color="auto" w:fill="FFFFFF" w:themeFill="background1"/>
        </w:rPr>
        <w:t>T</w:t>
      </w:r>
      <w:r w:rsidR="00F970C1" w:rsidRPr="008029B2">
        <w:rPr>
          <w:rFonts w:eastAsia="Calibri"/>
          <w:shd w:val="clear" w:color="auto" w:fill="FFFFFF" w:themeFill="background1"/>
        </w:rPr>
        <w:t xml:space="preserve">he fact that </w:t>
      </w:r>
      <w:r w:rsidR="00F02D79" w:rsidRPr="008029B2">
        <w:rPr>
          <w:rFonts w:eastAsia="Calibri"/>
          <w:shd w:val="clear" w:color="auto" w:fill="FFFFFF" w:themeFill="background1"/>
        </w:rPr>
        <w:t xml:space="preserve">firm-level </w:t>
      </w:r>
      <w:r w:rsidR="00F970C1" w:rsidRPr="008029B2">
        <w:rPr>
          <w:rFonts w:eastAsia="Calibri"/>
          <w:shd w:val="clear" w:color="auto" w:fill="FFFFFF" w:themeFill="background1"/>
        </w:rPr>
        <w:t xml:space="preserve">product innovations include mostly marginal improvements may also explain the findings. These results also hold when we look </w:t>
      </w:r>
      <w:r w:rsidR="00293526" w:rsidRPr="008029B2">
        <w:rPr>
          <w:rFonts w:eastAsia="Calibri"/>
          <w:shd w:val="clear" w:color="auto" w:fill="FFFFFF" w:themeFill="background1"/>
        </w:rPr>
        <w:t xml:space="preserve">exclusively </w:t>
      </w:r>
      <w:r w:rsidR="00F02D79" w:rsidRPr="008029B2">
        <w:rPr>
          <w:rFonts w:eastAsia="Calibri"/>
          <w:shd w:val="clear" w:color="auto" w:fill="FFFFFF" w:themeFill="background1"/>
        </w:rPr>
        <w:t>at</w:t>
      </w:r>
      <w:r w:rsidR="00F970C1" w:rsidRPr="008029B2">
        <w:rPr>
          <w:rFonts w:eastAsia="Calibri"/>
          <w:shd w:val="clear" w:color="auto" w:fill="FFFFFF" w:themeFill="background1"/>
        </w:rPr>
        <w:t xml:space="preserve"> more radical innovations, which significantly </w:t>
      </w:r>
      <w:r w:rsidR="00293526" w:rsidRPr="008029B2">
        <w:rPr>
          <w:rFonts w:eastAsia="Calibri"/>
          <w:shd w:val="clear" w:color="auto" w:fill="FFFFFF" w:themeFill="background1"/>
        </w:rPr>
        <w:t xml:space="preserve">calls into </w:t>
      </w:r>
      <w:r w:rsidR="00F970C1" w:rsidRPr="008029B2">
        <w:rPr>
          <w:rFonts w:eastAsia="Calibri"/>
          <w:shd w:val="clear" w:color="auto" w:fill="FFFFFF" w:themeFill="background1"/>
        </w:rPr>
        <w:t>question</w:t>
      </w:r>
      <w:r w:rsidR="00293526" w:rsidRPr="008029B2">
        <w:rPr>
          <w:rFonts w:eastAsia="Calibri"/>
          <w:shd w:val="clear" w:color="auto" w:fill="FFFFFF" w:themeFill="background1"/>
        </w:rPr>
        <w:t xml:space="preserve"> </w:t>
      </w:r>
      <w:r w:rsidR="00F970C1" w:rsidRPr="008029B2">
        <w:rPr>
          <w:rFonts w:eastAsia="Calibri"/>
          <w:shd w:val="clear" w:color="auto" w:fill="FFFFFF" w:themeFill="background1"/>
        </w:rPr>
        <w:t xml:space="preserve">the quality of innovation </w:t>
      </w:r>
      <w:r w:rsidR="00293526" w:rsidRPr="008029B2">
        <w:rPr>
          <w:rFonts w:eastAsia="Calibri"/>
          <w:shd w:val="clear" w:color="auto" w:fill="FFFFFF" w:themeFill="background1"/>
        </w:rPr>
        <w:t>among</w:t>
      </w:r>
      <w:r w:rsidR="00F970C1" w:rsidRPr="008029B2">
        <w:rPr>
          <w:rFonts w:eastAsia="Calibri"/>
          <w:shd w:val="clear" w:color="auto" w:fill="FFFFFF" w:themeFill="background1"/>
        </w:rPr>
        <w:t xml:space="preserve"> Nigerian firms.</w:t>
      </w:r>
    </w:p>
    <w:p w14:paraId="1D4C5B85" w14:textId="423C9FFA" w:rsidR="00F970C1" w:rsidRPr="008029B2" w:rsidRDefault="00F060B0" w:rsidP="00D727BF">
      <w:pPr>
        <w:pStyle w:val="ParagraphNumbering"/>
        <w:numPr>
          <w:ilvl w:val="0"/>
          <w:numId w:val="0"/>
        </w:numPr>
        <w:tabs>
          <w:tab w:val="left" w:pos="720"/>
        </w:tabs>
        <w:spacing w:after="240"/>
        <w:rPr>
          <w:rFonts w:eastAsia="Calibri"/>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 xml:space="preserve">These results are </w:t>
      </w:r>
      <w:r w:rsidR="00AF3406" w:rsidRPr="008029B2">
        <w:rPr>
          <w:rFonts w:eastAsia="Calibri"/>
          <w:b/>
          <w:shd w:val="clear" w:color="auto" w:fill="FFFFFF" w:themeFill="background1"/>
        </w:rPr>
        <w:t>contrary to</w:t>
      </w:r>
      <w:r w:rsidR="00F970C1" w:rsidRPr="008029B2">
        <w:rPr>
          <w:rFonts w:eastAsia="Calibri"/>
          <w:b/>
          <w:shd w:val="clear" w:color="auto" w:fill="FFFFFF" w:themeFill="background1"/>
        </w:rPr>
        <w:t xml:space="preserve"> most </w:t>
      </w:r>
      <w:r w:rsidR="00F02D79" w:rsidRPr="008029B2">
        <w:rPr>
          <w:rFonts w:eastAsia="Calibri"/>
          <w:b/>
          <w:shd w:val="clear" w:color="auto" w:fill="FFFFFF" w:themeFill="background1"/>
        </w:rPr>
        <w:t xml:space="preserve">findings </w:t>
      </w:r>
      <w:r w:rsidR="00F970C1" w:rsidRPr="008029B2">
        <w:rPr>
          <w:rFonts w:eastAsia="Calibri"/>
          <w:b/>
          <w:shd w:val="clear" w:color="auto" w:fill="FFFFFF" w:themeFill="background1"/>
        </w:rPr>
        <w:t xml:space="preserve">of the empirical literature </w:t>
      </w:r>
      <w:r w:rsidR="00AF3406" w:rsidRPr="008029B2">
        <w:rPr>
          <w:rFonts w:eastAsia="Calibri"/>
          <w:b/>
          <w:shd w:val="clear" w:color="auto" w:fill="FFFFFF" w:themeFill="background1"/>
        </w:rPr>
        <w:t xml:space="preserve">on </w:t>
      </w:r>
      <w:r w:rsidR="00F970C1" w:rsidRPr="008029B2">
        <w:rPr>
          <w:rFonts w:eastAsia="Calibri"/>
          <w:b/>
          <w:shd w:val="clear" w:color="auto" w:fill="FFFFFF" w:themeFill="background1"/>
        </w:rPr>
        <w:t>OECD countries but similar to those estimated for developing countries.</w:t>
      </w:r>
      <w:r w:rsidR="00F970C1" w:rsidRPr="008029B2">
        <w:rPr>
          <w:rFonts w:eastAsia="Calibri"/>
          <w:shd w:val="clear" w:color="auto" w:fill="FFFFFF" w:themeFill="background1"/>
        </w:rPr>
        <w:t xml:space="preserve"> Mohnen and Hall (2013)</w:t>
      </w:r>
      <w:r w:rsidR="0029508E" w:rsidRPr="008029B2">
        <w:rPr>
          <w:rStyle w:val="FootnoteReference"/>
          <w:rFonts w:eastAsia="Calibri"/>
          <w:shd w:val="clear" w:color="auto" w:fill="FFFFFF" w:themeFill="background1"/>
        </w:rPr>
        <w:footnoteReference w:id="64"/>
      </w:r>
      <w:r w:rsidR="00F970C1" w:rsidRPr="008029B2">
        <w:rPr>
          <w:rFonts w:eastAsia="Calibri"/>
          <w:shd w:val="clear" w:color="auto" w:fill="FFFFFF" w:themeFill="background1"/>
        </w:rPr>
        <w:t xml:space="preserve"> provide a literature review of the empirical evidence</w:t>
      </w:r>
      <w:r w:rsidR="004A428A" w:rsidRPr="008029B2">
        <w:rPr>
          <w:rFonts w:eastAsia="Calibri"/>
          <w:shd w:val="clear" w:color="auto" w:fill="FFFFFF" w:themeFill="background1"/>
        </w:rPr>
        <w:t xml:space="preserve"> </w:t>
      </w:r>
      <w:r w:rsidR="00F970C1" w:rsidRPr="008029B2">
        <w:rPr>
          <w:rFonts w:eastAsia="Calibri"/>
          <w:shd w:val="clear" w:color="auto" w:fill="FFFFFF" w:themeFill="background1"/>
        </w:rPr>
        <w:t>and suggest that</w:t>
      </w:r>
      <w:r w:rsidR="00F228CE">
        <w:rPr>
          <w:rFonts w:eastAsia="Calibri"/>
          <w:shd w:val="clear" w:color="auto" w:fill="FFFFFF" w:themeFill="background1"/>
        </w:rPr>
        <w:t>,</w:t>
      </w:r>
      <w:r w:rsidR="00F970C1" w:rsidRPr="008029B2">
        <w:rPr>
          <w:rFonts w:eastAsia="Calibri"/>
          <w:shd w:val="clear" w:color="auto" w:fill="FFFFFF" w:themeFill="background1"/>
        </w:rPr>
        <w:t xml:space="preserve"> in most studies</w:t>
      </w:r>
      <w:r w:rsidR="004A428A" w:rsidRPr="008029B2">
        <w:rPr>
          <w:rFonts w:eastAsia="Calibri"/>
          <w:shd w:val="clear" w:color="auto" w:fill="FFFFFF" w:themeFill="background1"/>
        </w:rPr>
        <w:t xml:space="preserve"> </w:t>
      </w:r>
      <w:r w:rsidR="004A428A" w:rsidRPr="008029B2">
        <w:rPr>
          <w:shd w:val="clear" w:color="auto" w:fill="FFFFFF" w:themeFill="background1"/>
        </w:rPr>
        <w:t>for OECD countries</w:t>
      </w:r>
      <w:r w:rsidR="00F02D79" w:rsidRPr="008029B2">
        <w:rPr>
          <w:rFonts w:eastAsia="Calibri"/>
          <w:shd w:val="clear" w:color="auto" w:fill="FFFFFF" w:themeFill="background1"/>
        </w:rPr>
        <w:t>,</w:t>
      </w:r>
      <w:r w:rsidR="00F970C1" w:rsidRPr="008029B2">
        <w:rPr>
          <w:rFonts w:eastAsia="Calibri"/>
          <w:shd w:val="clear" w:color="auto" w:fill="FFFFFF" w:themeFill="background1"/>
        </w:rPr>
        <w:t xml:space="preserve"> the innovation dummy representing technological innovation is found to increase productivity</w:t>
      </w:r>
      <w:r w:rsidR="00F02D79" w:rsidRPr="008029B2">
        <w:rPr>
          <w:rFonts w:eastAsia="Calibri"/>
          <w:shd w:val="clear" w:color="auto" w:fill="FFFFFF" w:themeFill="background1"/>
        </w:rPr>
        <w:t xml:space="preserve">. However, </w:t>
      </w:r>
      <w:r w:rsidR="00F970C1" w:rsidRPr="008029B2">
        <w:rPr>
          <w:rFonts w:eastAsia="Calibri"/>
          <w:shd w:val="clear" w:color="auto" w:fill="FFFFFF" w:themeFill="background1"/>
        </w:rPr>
        <w:t>when the impact for product and process innovation is explored separately, there is more heterogeneity of impacts</w:t>
      </w:r>
      <w:r w:rsidR="00F02D79" w:rsidRPr="008029B2">
        <w:rPr>
          <w:rFonts w:eastAsia="Calibri"/>
          <w:shd w:val="clear" w:color="auto" w:fill="FFFFFF" w:themeFill="background1"/>
        </w:rPr>
        <w:t xml:space="preserve">, and </w:t>
      </w:r>
      <w:r w:rsidR="00F970C1" w:rsidRPr="008029B2">
        <w:rPr>
          <w:rFonts w:eastAsia="Calibri"/>
          <w:shd w:val="clear" w:color="auto" w:fill="FFFFFF" w:themeFill="background1"/>
        </w:rPr>
        <w:t xml:space="preserve">for innovative sales the coefficients are mainly positive. In </w:t>
      </w:r>
      <w:r w:rsidR="00D10BB5" w:rsidRPr="008029B2">
        <w:rPr>
          <w:rFonts w:eastAsia="Calibri"/>
          <w:shd w:val="clear" w:color="auto" w:fill="FFFFFF" w:themeFill="background1"/>
        </w:rPr>
        <w:t xml:space="preserve">this study, </w:t>
      </w:r>
      <w:r w:rsidR="00F970C1" w:rsidRPr="008029B2">
        <w:rPr>
          <w:rFonts w:eastAsia="Calibri"/>
          <w:shd w:val="clear" w:color="auto" w:fill="FFFFFF" w:themeFill="background1"/>
        </w:rPr>
        <w:t>and in line with other evidence in developing countries such as Goedhuys (2007)</w:t>
      </w:r>
      <w:r w:rsidR="0029508E" w:rsidRPr="008029B2">
        <w:rPr>
          <w:rStyle w:val="FootnoteReference"/>
          <w:rFonts w:eastAsia="Calibri"/>
          <w:shd w:val="clear" w:color="auto" w:fill="FFFFFF" w:themeFill="background1"/>
        </w:rPr>
        <w:footnoteReference w:id="65"/>
      </w:r>
      <w:r w:rsidR="00F970C1" w:rsidRPr="008029B2">
        <w:rPr>
          <w:rFonts w:eastAsia="Calibri"/>
          <w:shd w:val="clear" w:color="auto" w:fill="FFFFFF" w:themeFill="background1"/>
        </w:rPr>
        <w:t xml:space="preserve"> for Tanzania and Cirera (2015)</w:t>
      </w:r>
      <w:r w:rsidR="0029508E" w:rsidRPr="008029B2">
        <w:rPr>
          <w:rStyle w:val="FootnoteReference"/>
          <w:rFonts w:eastAsia="Calibri"/>
          <w:shd w:val="clear" w:color="auto" w:fill="FFFFFF" w:themeFill="background1"/>
        </w:rPr>
        <w:footnoteReference w:id="66"/>
      </w:r>
      <w:r w:rsidR="00F970C1" w:rsidRPr="008029B2">
        <w:rPr>
          <w:rFonts w:eastAsia="Calibri"/>
          <w:shd w:val="clear" w:color="auto" w:fill="FFFFFF" w:themeFill="background1"/>
        </w:rPr>
        <w:t xml:space="preserve"> in Kenya, we find no impact of innovation in Nigeria.</w:t>
      </w:r>
    </w:p>
    <w:p w14:paraId="155FAEEC" w14:textId="2AD21888" w:rsidR="00F970C1" w:rsidRPr="008029B2" w:rsidRDefault="008B7EA8" w:rsidP="00D727BF">
      <w:pPr>
        <w:pStyle w:val="Heading2"/>
        <w:tabs>
          <w:tab w:val="left" w:pos="720"/>
        </w:tabs>
        <w:spacing w:before="0"/>
        <w:rPr>
          <w:shd w:val="clear" w:color="auto" w:fill="FFFFFF" w:themeFill="background1"/>
        </w:rPr>
      </w:pPr>
      <w:r w:rsidRPr="008029B2">
        <w:rPr>
          <w:shd w:val="clear" w:color="auto" w:fill="FFFFFF" w:themeFill="background1"/>
        </w:rPr>
        <w:t xml:space="preserve"> </w:t>
      </w:r>
      <w:bookmarkStart w:id="311" w:name="_Toc444877524"/>
      <w:bookmarkStart w:id="312" w:name="_Toc445450295"/>
      <w:r w:rsidR="00F970C1" w:rsidRPr="008029B2">
        <w:rPr>
          <w:shd w:val="clear" w:color="auto" w:fill="FFFFFF" w:themeFill="background1"/>
        </w:rPr>
        <w:t xml:space="preserve">Conclusions and Policy </w:t>
      </w:r>
      <w:r w:rsidRPr="008029B2">
        <w:rPr>
          <w:shd w:val="clear" w:color="auto" w:fill="FFFFFF" w:themeFill="background1"/>
        </w:rPr>
        <w:t>Implications</w:t>
      </w:r>
      <w:bookmarkEnd w:id="311"/>
      <w:bookmarkEnd w:id="312"/>
    </w:p>
    <w:p w14:paraId="12C650A7" w14:textId="5903E3A9" w:rsidR="00F970C1" w:rsidRPr="008029B2" w:rsidRDefault="00F060B0" w:rsidP="00D727BF">
      <w:pPr>
        <w:pStyle w:val="ParagraphNumbering"/>
        <w:numPr>
          <w:ilvl w:val="0"/>
          <w:numId w:val="0"/>
        </w:numPr>
        <w:tabs>
          <w:tab w:val="left" w:pos="720"/>
        </w:tabs>
        <w:spacing w:after="240"/>
        <w:rPr>
          <w:rFonts w:eastAsia="Calibri"/>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Th</w:t>
      </w:r>
      <w:r w:rsidR="00D10BB5" w:rsidRPr="008029B2">
        <w:rPr>
          <w:rFonts w:eastAsia="Calibri"/>
          <w:b/>
          <w:shd w:val="clear" w:color="auto" w:fill="FFFFFF" w:themeFill="background1"/>
        </w:rPr>
        <w:t xml:space="preserve">is chapter presents </w:t>
      </w:r>
      <w:r w:rsidR="00F970C1" w:rsidRPr="008029B2">
        <w:rPr>
          <w:rFonts w:eastAsia="Calibri"/>
          <w:b/>
          <w:shd w:val="clear" w:color="auto" w:fill="FFFFFF" w:themeFill="background1"/>
        </w:rPr>
        <w:t>several important findings.</w:t>
      </w:r>
      <w:r w:rsidR="00F970C1" w:rsidRPr="008029B2">
        <w:rPr>
          <w:rFonts w:eastAsia="Calibri"/>
          <w:shd w:val="clear" w:color="auto" w:fill="FFFFFF" w:themeFill="background1"/>
        </w:rPr>
        <w:t xml:space="preserve"> </w:t>
      </w:r>
      <w:r w:rsidR="00CB51F6" w:rsidRPr="008029B2">
        <w:rPr>
          <w:rFonts w:eastAsia="Calibri"/>
          <w:shd w:val="clear" w:color="auto" w:fill="FFFFFF" w:themeFill="background1"/>
        </w:rPr>
        <w:t>T</w:t>
      </w:r>
      <w:r w:rsidR="00F970C1" w:rsidRPr="008029B2">
        <w:rPr>
          <w:rFonts w:eastAsia="Calibri"/>
          <w:shd w:val="clear" w:color="auto" w:fill="FFFFFF" w:themeFill="background1"/>
        </w:rPr>
        <w:t xml:space="preserve">he innovation landscape in Nigeria is mainly </w:t>
      </w:r>
      <w:r w:rsidR="00AF3406" w:rsidRPr="008029B2">
        <w:rPr>
          <w:rFonts w:eastAsia="Calibri"/>
          <w:shd w:val="clear" w:color="auto" w:fill="FFFFFF" w:themeFill="background1"/>
        </w:rPr>
        <w:t xml:space="preserve">characterized </w:t>
      </w:r>
      <w:r w:rsidR="00F970C1" w:rsidRPr="008029B2">
        <w:rPr>
          <w:rFonts w:eastAsia="Calibri"/>
          <w:shd w:val="clear" w:color="auto" w:fill="FFFFFF" w:themeFill="background1"/>
        </w:rPr>
        <w:t>by low investment in knowledge capital, such as R&amp;D</w:t>
      </w:r>
      <w:r w:rsidR="00D10BB5" w:rsidRPr="008029B2">
        <w:rPr>
          <w:rFonts w:eastAsia="Calibri"/>
          <w:shd w:val="clear" w:color="auto" w:fill="FFFFFF" w:themeFill="background1"/>
        </w:rPr>
        <w:t xml:space="preserve"> and</w:t>
      </w:r>
      <w:r w:rsidR="00F970C1" w:rsidRPr="008029B2">
        <w:rPr>
          <w:rFonts w:eastAsia="Calibri"/>
          <w:shd w:val="clear" w:color="auto" w:fill="FFFFFF" w:themeFill="background1"/>
        </w:rPr>
        <w:t xml:space="preserve"> training</w:t>
      </w:r>
      <w:r w:rsidR="00D10BB5" w:rsidRPr="008029B2">
        <w:rPr>
          <w:rFonts w:eastAsia="Calibri"/>
          <w:shd w:val="clear" w:color="auto" w:fill="FFFFFF" w:themeFill="background1"/>
        </w:rPr>
        <w:t xml:space="preserve">, </w:t>
      </w:r>
      <w:r w:rsidR="00AF3406" w:rsidRPr="008029B2">
        <w:rPr>
          <w:rFonts w:eastAsia="Calibri"/>
          <w:shd w:val="clear" w:color="auto" w:fill="FFFFFF" w:themeFill="background1"/>
        </w:rPr>
        <w:t xml:space="preserve">which </w:t>
      </w:r>
      <w:r w:rsidR="00D10BB5" w:rsidRPr="008029B2">
        <w:rPr>
          <w:rFonts w:eastAsia="Calibri"/>
          <w:shd w:val="clear" w:color="auto" w:fill="FFFFFF" w:themeFill="background1"/>
        </w:rPr>
        <w:t xml:space="preserve">results in </w:t>
      </w:r>
      <w:r w:rsidR="00F970C1" w:rsidRPr="008029B2">
        <w:rPr>
          <w:rFonts w:eastAsia="Calibri"/>
          <w:shd w:val="clear" w:color="auto" w:fill="FFFFFF" w:themeFill="background1"/>
        </w:rPr>
        <w:t xml:space="preserve">low </w:t>
      </w:r>
      <w:r w:rsidR="00D10BB5" w:rsidRPr="008029B2">
        <w:rPr>
          <w:rFonts w:eastAsia="Calibri"/>
          <w:shd w:val="clear" w:color="auto" w:fill="FFFFFF" w:themeFill="background1"/>
        </w:rPr>
        <w:t xml:space="preserve">rates of </w:t>
      </w:r>
      <w:r w:rsidR="00F970C1" w:rsidRPr="008029B2">
        <w:rPr>
          <w:rFonts w:eastAsia="Calibri"/>
          <w:shd w:val="clear" w:color="auto" w:fill="FFFFFF" w:themeFill="background1"/>
        </w:rPr>
        <w:t>technological innovation, especially product innovation</w:t>
      </w:r>
      <w:r w:rsidR="00AF3406" w:rsidRPr="008029B2">
        <w:rPr>
          <w:rFonts w:eastAsia="Calibri"/>
          <w:shd w:val="clear" w:color="auto" w:fill="FFFFFF" w:themeFill="background1"/>
        </w:rPr>
        <w:t xml:space="preserve"> </w:t>
      </w:r>
      <w:r w:rsidR="00D10BB5" w:rsidRPr="008029B2">
        <w:rPr>
          <w:rFonts w:eastAsia="Calibri"/>
          <w:shd w:val="clear" w:color="auto" w:fill="FFFFFF" w:themeFill="background1"/>
        </w:rPr>
        <w:t>and upgrading</w:t>
      </w:r>
      <w:r w:rsidR="00F970C1" w:rsidRPr="008029B2">
        <w:rPr>
          <w:rFonts w:eastAsia="Calibri"/>
          <w:shd w:val="clear" w:color="auto" w:fill="FFFFFF" w:themeFill="background1"/>
        </w:rPr>
        <w:t>. This low innovation rate</w:t>
      </w:r>
      <w:r w:rsidR="00D10BB5" w:rsidRPr="008029B2">
        <w:rPr>
          <w:rFonts w:eastAsia="Calibri"/>
          <w:shd w:val="clear" w:color="auto" w:fill="FFFFFF" w:themeFill="background1"/>
        </w:rPr>
        <w:t xml:space="preserve"> </w:t>
      </w:r>
      <w:r w:rsidR="00F970C1" w:rsidRPr="008029B2">
        <w:rPr>
          <w:rFonts w:eastAsia="Calibri"/>
          <w:shd w:val="clear" w:color="auto" w:fill="FFFFFF" w:themeFill="background1"/>
        </w:rPr>
        <w:t xml:space="preserve">is even more acute when the country is compared with peer countries and regional partners. The extent of nontechnological innovations </w:t>
      </w:r>
      <w:r w:rsidR="00D10BB5" w:rsidRPr="008029B2">
        <w:rPr>
          <w:rFonts w:eastAsia="Calibri"/>
          <w:shd w:val="clear" w:color="auto" w:fill="FFFFFF" w:themeFill="background1"/>
        </w:rPr>
        <w:t xml:space="preserve">in Nigeria </w:t>
      </w:r>
      <w:r w:rsidR="00F970C1" w:rsidRPr="008029B2">
        <w:rPr>
          <w:rFonts w:eastAsia="Calibri"/>
          <w:shd w:val="clear" w:color="auto" w:fill="FFFFFF" w:themeFill="background1"/>
        </w:rPr>
        <w:t xml:space="preserve">is more </w:t>
      </w:r>
      <w:r w:rsidR="00AF3406" w:rsidRPr="008029B2">
        <w:rPr>
          <w:rFonts w:eastAsia="Calibri"/>
          <w:shd w:val="clear" w:color="auto" w:fill="FFFFFF" w:themeFill="background1"/>
        </w:rPr>
        <w:t xml:space="preserve">consistent </w:t>
      </w:r>
      <w:r w:rsidR="00F970C1" w:rsidRPr="008029B2">
        <w:rPr>
          <w:rFonts w:eastAsia="Calibri"/>
          <w:shd w:val="clear" w:color="auto" w:fill="FFFFFF" w:themeFill="background1"/>
        </w:rPr>
        <w:t xml:space="preserve">with other peer countries and the Africa region average, although still below countries </w:t>
      </w:r>
      <w:r w:rsidR="00AF3406" w:rsidRPr="008029B2">
        <w:rPr>
          <w:rFonts w:eastAsia="Calibri"/>
          <w:shd w:val="clear" w:color="auto" w:fill="FFFFFF" w:themeFill="background1"/>
        </w:rPr>
        <w:t xml:space="preserve">such as India </w:t>
      </w:r>
      <w:r w:rsidR="00F970C1" w:rsidRPr="008029B2">
        <w:rPr>
          <w:rFonts w:eastAsia="Calibri"/>
          <w:shd w:val="clear" w:color="auto" w:fill="FFFFFF" w:themeFill="background1"/>
        </w:rPr>
        <w:t>with similar i</w:t>
      </w:r>
      <w:r w:rsidR="006B3E5D" w:rsidRPr="008029B2">
        <w:rPr>
          <w:rFonts w:eastAsia="Calibri"/>
          <w:shd w:val="clear" w:color="auto" w:fill="FFFFFF" w:themeFill="background1"/>
        </w:rPr>
        <w:t>ncome per capita.</w:t>
      </w:r>
    </w:p>
    <w:p w14:paraId="732FC1DC" w14:textId="0541A476" w:rsidR="00721584" w:rsidRPr="008029B2" w:rsidRDefault="00F060B0" w:rsidP="00D727BF">
      <w:pPr>
        <w:pStyle w:val="ParagraphNumbering"/>
        <w:numPr>
          <w:ilvl w:val="0"/>
          <w:numId w:val="0"/>
        </w:numPr>
        <w:tabs>
          <w:tab w:val="left" w:pos="720"/>
        </w:tabs>
        <w:spacing w:after="240"/>
        <w:rPr>
          <w:rFonts w:eastAsia="Calibri"/>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A second finding is th</w:t>
      </w:r>
      <w:r w:rsidR="00D10BB5" w:rsidRPr="008029B2">
        <w:rPr>
          <w:rFonts w:eastAsia="Calibri"/>
          <w:b/>
          <w:shd w:val="clear" w:color="auto" w:fill="FFFFFF" w:themeFill="background1"/>
        </w:rPr>
        <w:t xml:space="preserve">at </w:t>
      </w:r>
      <w:r w:rsidR="00F970C1" w:rsidRPr="008029B2">
        <w:rPr>
          <w:rFonts w:eastAsia="Calibri"/>
          <w:b/>
          <w:shd w:val="clear" w:color="auto" w:fill="FFFFFF" w:themeFill="background1"/>
        </w:rPr>
        <w:t>most innovation is developed internally</w:t>
      </w:r>
      <w:r w:rsidR="00D10BB5" w:rsidRPr="008029B2">
        <w:rPr>
          <w:rFonts w:eastAsia="Calibri"/>
          <w:b/>
          <w:shd w:val="clear" w:color="auto" w:fill="FFFFFF" w:themeFill="background1"/>
        </w:rPr>
        <w:t xml:space="preserve">, </w:t>
      </w:r>
      <w:r w:rsidR="00F970C1" w:rsidRPr="008029B2">
        <w:rPr>
          <w:rFonts w:eastAsia="Calibri"/>
          <w:b/>
          <w:shd w:val="clear" w:color="auto" w:fill="FFFFFF" w:themeFill="background1"/>
        </w:rPr>
        <w:t xml:space="preserve">and there is little cooperation with other firms. </w:t>
      </w:r>
      <w:r w:rsidR="00F970C1" w:rsidRPr="008029B2">
        <w:rPr>
          <w:rFonts w:eastAsia="Calibri"/>
          <w:shd w:val="clear" w:color="auto" w:fill="FFFFFF" w:themeFill="background1"/>
        </w:rPr>
        <w:t xml:space="preserve">Cooperation with universities and government research centers is </w:t>
      </w:r>
      <w:r w:rsidR="00D10BB5" w:rsidRPr="008029B2">
        <w:rPr>
          <w:rFonts w:eastAsia="Calibri"/>
          <w:shd w:val="clear" w:color="auto" w:fill="FFFFFF" w:themeFill="background1"/>
        </w:rPr>
        <w:t>non</w:t>
      </w:r>
      <w:r w:rsidR="00F970C1" w:rsidRPr="008029B2">
        <w:rPr>
          <w:rFonts w:eastAsia="Calibri"/>
          <w:shd w:val="clear" w:color="auto" w:fill="FFFFFF" w:themeFill="background1"/>
        </w:rPr>
        <w:t xml:space="preserve">existent. This </w:t>
      </w:r>
      <w:r w:rsidR="006266C9" w:rsidRPr="008029B2">
        <w:rPr>
          <w:rFonts w:eastAsia="Calibri"/>
          <w:shd w:val="clear" w:color="auto" w:fill="FFFFFF" w:themeFill="background1"/>
        </w:rPr>
        <w:t xml:space="preserve">limits innovation to the capacity of individual firms and </w:t>
      </w:r>
      <w:r w:rsidR="00F970C1" w:rsidRPr="008029B2">
        <w:rPr>
          <w:rFonts w:eastAsia="Calibri"/>
          <w:shd w:val="clear" w:color="auto" w:fill="FFFFFF" w:themeFill="background1"/>
        </w:rPr>
        <w:t>likely explain</w:t>
      </w:r>
      <w:r w:rsidR="006266C9" w:rsidRPr="008029B2">
        <w:rPr>
          <w:rFonts w:eastAsia="Calibri"/>
          <w:shd w:val="clear" w:color="auto" w:fill="FFFFFF" w:themeFill="background1"/>
        </w:rPr>
        <w:t>s</w:t>
      </w:r>
      <w:r w:rsidR="00F970C1" w:rsidRPr="008029B2">
        <w:rPr>
          <w:rFonts w:eastAsia="Calibri"/>
          <w:shd w:val="clear" w:color="auto" w:fill="FFFFFF" w:themeFill="background1"/>
        </w:rPr>
        <w:t xml:space="preserve"> some of the low innovation outcomes observed, especially for product innovation.</w:t>
      </w:r>
      <w:r w:rsidR="00D948C5" w:rsidRPr="008029B2">
        <w:rPr>
          <w:rFonts w:eastAsia="Calibri"/>
          <w:shd w:val="clear" w:color="auto" w:fill="FFFFFF" w:themeFill="background1"/>
        </w:rPr>
        <w:t xml:space="preserve"> The competition policy is also an important factor that explains the low level of innovation in Nigeria. </w:t>
      </w:r>
    </w:p>
    <w:p w14:paraId="3D5230FF" w14:textId="6C3609A7" w:rsidR="00DB2592" w:rsidRPr="008029B2" w:rsidRDefault="00F060B0" w:rsidP="00D727BF">
      <w:pPr>
        <w:pStyle w:val="ParagraphNumbering"/>
        <w:numPr>
          <w:ilvl w:val="0"/>
          <w:numId w:val="0"/>
        </w:numPr>
        <w:tabs>
          <w:tab w:val="left" w:pos="720"/>
        </w:tabs>
        <w:spacing w:after="240"/>
        <w:rPr>
          <w:shd w:val="clear" w:color="auto" w:fill="FFFFFF" w:themeFill="background1"/>
        </w:rPr>
      </w:pPr>
      <w:r>
        <w:rPr>
          <w:rFonts w:eastAsia="Calibri"/>
          <w:b/>
          <w:shd w:val="clear" w:color="auto" w:fill="FFFFFF" w:themeFill="background1"/>
        </w:rPr>
        <w:tab/>
      </w:r>
      <w:r w:rsidR="00F970C1" w:rsidRPr="008029B2">
        <w:rPr>
          <w:rFonts w:eastAsia="Calibri"/>
          <w:b/>
          <w:shd w:val="clear" w:color="auto" w:fill="FFFFFF" w:themeFill="background1"/>
        </w:rPr>
        <w:t xml:space="preserve">A third finding </w:t>
      </w:r>
      <w:r w:rsidR="000A6A72">
        <w:rPr>
          <w:rFonts w:eastAsia="Calibri"/>
          <w:b/>
          <w:shd w:val="clear" w:color="auto" w:fill="FFFFFF" w:themeFill="background1"/>
        </w:rPr>
        <w:t>that</w:t>
      </w:r>
      <w:r w:rsidR="000A6A72" w:rsidRPr="008029B2">
        <w:rPr>
          <w:rFonts w:eastAsia="Calibri"/>
          <w:b/>
          <w:shd w:val="clear" w:color="auto" w:fill="FFFFFF" w:themeFill="background1"/>
        </w:rPr>
        <w:t xml:space="preserve"> </w:t>
      </w:r>
      <w:r w:rsidR="00AF3406" w:rsidRPr="008029B2">
        <w:rPr>
          <w:rFonts w:eastAsia="Calibri"/>
          <w:b/>
          <w:shd w:val="clear" w:color="auto" w:fill="FFFFFF" w:themeFill="background1"/>
        </w:rPr>
        <w:t>follows from</w:t>
      </w:r>
      <w:r w:rsidR="00F970C1" w:rsidRPr="008029B2">
        <w:rPr>
          <w:rFonts w:eastAsia="Calibri"/>
          <w:b/>
          <w:shd w:val="clear" w:color="auto" w:fill="FFFFFF" w:themeFill="background1"/>
        </w:rPr>
        <w:t xml:space="preserve"> the previous findings</w:t>
      </w:r>
      <w:r w:rsidR="00AF3406" w:rsidRPr="008029B2">
        <w:rPr>
          <w:rFonts w:eastAsia="Calibri"/>
          <w:b/>
          <w:shd w:val="clear" w:color="auto" w:fill="FFFFFF" w:themeFill="background1"/>
        </w:rPr>
        <w:t>,</w:t>
      </w:r>
      <w:r w:rsidR="00721584" w:rsidRPr="008029B2">
        <w:rPr>
          <w:rFonts w:eastAsia="Calibri"/>
          <w:b/>
          <w:shd w:val="clear" w:color="auto" w:fill="FFFFFF" w:themeFill="background1"/>
        </w:rPr>
        <w:t xml:space="preserve"> namely</w:t>
      </w:r>
      <w:r w:rsidR="00F228CE">
        <w:rPr>
          <w:rFonts w:eastAsia="Calibri"/>
          <w:b/>
          <w:shd w:val="clear" w:color="auto" w:fill="FFFFFF" w:themeFill="background1"/>
        </w:rPr>
        <w:t>,</w:t>
      </w:r>
      <w:r w:rsidR="00721584" w:rsidRPr="008029B2">
        <w:rPr>
          <w:rFonts w:eastAsia="Calibri"/>
          <w:b/>
          <w:shd w:val="clear" w:color="auto" w:fill="FFFFFF" w:themeFill="background1"/>
        </w:rPr>
        <w:t xml:space="preserve"> the small number of innovation outcomes</w:t>
      </w:r>
      <w:r w:rsidR="00F970C1" w:rsidRPr="008029B2">
        <w:rPr>
          <w:rFonts w:eastAsia="Calibri"/>
          <w:b/>
          <w:shd w:val="clear" w:color="auto" w:fill="FFFFFF" w:themeFill="background1"/>
        </w:rPr>
        <w:t>, is that statistically significant returns to innovation</w:t>
      </w:r>
      <w:r w:rsidR="00AF3406" w:rsidRPr="008029B2">
        <w:rPr>
          <w:rFonts w:eastAsia="Calibri"/>
          <w:b/>
          <w:shd w:val="clear" w:color="auto" w:fill="FFFFFF" w:themeFill="background1"/>
        </w:rPr>
        <w:t xml:space="preserve"> are absent</w:t>
      </w:r>
      <w:r w:rsidR="00D10BB5" w:rsidRPr="008029B2">
        <w:rPr>
          <w:rFonts w:eastAsia="Calibri"/>
          <w:b/>
          <w:shd w:val="clear" w:color="auto" w:fill="FFFFFF" w:themeFill="background1"/>
        </w:rPr>
        <w:t>,</w:t>
      </w:r>
      <w:r w:rsidR="00F970C1" w:rsidRPr="008029B2">
        <w:rPr>
          <w:rFonts w:eastAsia="Calibri"/>
          <w:b/>
          <w:shd w:val="clear" w:color="auto" w:fill="FFFFFF" w:themeFill="background1"/>
        </w:rPr>
        <w:t xml:space="preserve"> even when considering higher degrees of radicalness or novelty.</w:t>
      </w:r>
      <w:r w:rsidR="00721584" w:rsidRPr="008029B2">
        <w:rPr>
          <w:rFonts w:eastAsia="Calibri"/>
          <w:b/>
          <w:shd w:val="clear" w:color="auto" w:fill="FFFFFF" w:themeFill="background1"/>
        </w:rPr>
        <w:t xml:space="preserve"> </w:t>
      </w:r>
      <w:r w:rsidR="00D10BB5" w:rsidRPr="008029B2">
        <w:rPr>
          <w:rFonts w:eastAsia="Calibri"/>
          <w:shd w:val="clear" w:color="auto" w:fill="FFFFFF" w:themeFill="background1"/>
        </w:rPr>
        <w:t>This indicates that f</w:t>
      </w:r>
      <w:r w:rsidR="00F970C1" w:rsidRPr="008029B2">
        <w:rPr>
          <w:rFonts w:eastAsia="Calibri"/>
          <w:shd w:val="clear" w:color="auto" w:fill="FFFFFF" w:themeFill="background1"/>
        </w:rPr>
        <w:t xml:space="preserve">irm-level innovation in Nigeria is likely to be very incremental and </w:t>
      </w:r>
      <w:r w:rsidR="00D10BB5" w:rsidRPr="008029B2">
        <w:rPr>
          <w:rFonts w:eastAsia="Calibri"/>
          <w:shd w:val="clear" w:color="auto" w:fill="FFFFFF" w:themeFill="background1"/>
        </w:rPr>
        <w:t xml:space="preserve">of </w:t>
      </w:r>
      <w:r w:rsidR="00F970C1" w:rsidRPr="008029B2">
        <w:rPr>
          <w:rFonts w:eastAsia="Calibri"/>
          <w:shd w:val="clear" w:color="auto" w:fill="FFFFFF" w:themeFill="background1"/>
        </w:rPr>
        <w:t>low quality.</w:t>
      </w:r>
      <w:r w:rsidR="00F927B8" w:rsidRPr="008029B2">
        <w:rPr>
          <w:rFonts w:eastAsia="Calibri"/>
          <w:shd w:val="clear" w:color="auto" w:fill="FFFFFF" w:themeFill="background1"/>
        </w:rPr>
        <w:t xml:space="preserve"> </w:t>
      </w:r>
    </w:p>
    <w:p w14:paraId="463FE579" w14:textId="77777777" w:rsidR="001D49E8" w:rsidRPr="008029B2" w:rsidRDefault="001D49E8" w:rsidP="00D727BF">
      <w:pPr>
        <w:tabs>
          <w:tab w:val="left" w:pos="720"/>
        </w:tabs>
        <w:ind w:left="20" w:hanging="20"/>
        <w:rPr>
          <w:shd w:val="clear" w:color="auto" w:fill="FFFFFF" w:themeFill="background1"/>
        </w:rPr>
      </w:pPr>
    </w:p>
    <w:sectPr w:rsidR="001D49E8" w:rsidRPr="008029B2" w:rsidSect="008029B2">
      <w:pgSz w:w="16983" w:h="15840" w:code="1"/>
      <w:pgMar w:top="1440" w:right="6183"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DA5D0" w14:textId="77777777" w:rsidR="00D03276" w:rsidRDefault="00D03276" w:rsidP="00161A69">
      <w:pPr>
        <w:spacing w:after="0"/>
      </w:pPr>
      <w:r>
        <w:separator/>
      </w:r>
    </w:p>
  </w:endnote>
  <w:endnote w:type="continuationSeparator" w:id="0">
    <w:p w14:paraId="50C49DE3" w14:textId="77777777" w:rsidR="00D03276" w:rsidRDefault="00D03276" w:rsidP="00161A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esExtraLight">
    <w:altName w:val="Times New Roman"/>
    <w:panose1 w:val="02000000000000000000"/>
    <w:charset w:val="00"/>
    <w:family w:val="roman"/>
    <w:pitch w:val="variable"/>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Baskerville">
    <w:altName w:val="Times New Roman"/>
    <w:charset w:val="00"/>
    <w:family w:val="roman"/>
    <w:pitch w:val="variable"/>
  </w:font>
  <w:font w:name="Andes">
    <w:altName w:val="Times New Roman"/>
    <w:panose1 w:val="00000000000000000000"/>
    <w:charset w:val="00"/>
    <w:family w:val="modern"/>
    <w:notTrueType/>
    <w:pitch w:val="variable"/>
    <w:sig w:usb0="A000002F" w:usb1="5000005B" w:usb2="00000000" w:usb3="00000000" w:csb0="00000093" w:csb1="00000000"/>
  </w:font>
  <w:font w:name="Times New Roman Bold">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Berling-Roman">
    <w:altName w:val="Calibri"/>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6344"/>
      <w:docPartObj>
        <w:docPartGallery w:val="Page Numbers (Bottom of Page)"/>
        <w:docPartUnique/>
      </w:docPartObj>
    </w:sdtPr>
    <w:sdtEndPr>
      <w:rPr>
        <w:color w:val="7F7F7F" w:themeColor="background1" w:themeShade="7F"/>
        <w:spacing w:val="60"/>
      </w:rPr>
    </w:sdtEndPr>
    <w:sdtContent>
      <w:p w14:paraId="30B47CC8" w14:textId="05F70B55" w:rsidR="00A02DAA" w:rsidRDefault="00A02DA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71057" w:rsidRPr="00B71057">
          <w:rPr>
            <w:b/>
            <w:bCs/>
            <w:noProof/>
          </w:rPr>
          <w:t>1</w:t>
        </w:r>
        <w:r>
          <w:rPr>
            <w:b/>
            <w:bCs/>
            <w:noProof/>
          </w:rPr>
          <w:fldChar w:fldCharType="end"/>
        </w:r>
        <w:r>
          <w:rPr>
            <w:b/>
            <w:bCs/>
          </w:rPr>
          <w:t xml:space="preserve"> | </w:t>
        </w:r>
        <w:r>
          <w:rPr>
            <w:color w:val="7F7F7F" w:themeColor="background1" w:themeShade="7F"/>
            <w:spacing w:val="60"/>
          </w:rPr>
          <w:t>Page</w:t>
        </w:r>
      </w:p>
    </w:sdtContent>
  </w:sdt>
  <w:p w14:paraId="0F1DDEF5" w14:textId="77777777" w:rsidR="00A02DAA" w:rsidRDefault="00A02D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104444"/>
      <w:docPartObj>
        <w:docPartGallery w:val="Page Numbers (Bottom of Page)"/>
        <w:docPartUnique/>
      </w:docPartObj>
    </w:sdtPr>
    <w:sdtEndPr>
      <w:rPr>
        <w:noProof/>
      </w:rPr>
    </w:sdtEndPr>
    <w:sdtContent>
      <w:p w14:paraId="2F278EBE" w14:textId="592EB12F" w:rsidR="00A02DAA" w:rsidRDefault="00A02DAA">
        <w:pPr>
          <w:pStyle w:val="Footer"/>
          <w:jc w:val="center"/>
        </w:pPr>
        <w:r>
          <w:fldChar w:fldCharType="begin"/>
        </w:r>
        <w:r>
          <w:instrText xml:space="preserve"> PAGE   \* MERGEFORMAT </w:instrText>
        </w:r>
        <w:r>
          <w:fldChar w:fldCharType="separate"/>
        </w:r>
        <w:r w:rsidR="00B71057">
          <w:rPr>
            <w:noProof/>
          </w:rPr>
          <w:t>104</w:t>
        </w:r>
        <w:r>
          <w:rPr>
            <w:noProof/>
          </w:rPr>
          <w:fldChar w:fldCharType="end"/>
        </w:r>
      </w:p>
    </w:sdtContent>
  </w:sdt>
  <w:p w14:paraId="1B9BD6E2" w14:textId="77777777" w:rsidR="00A02DAA" w:rsidRDefault="00A02D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B4CA7" w14:textId="77777777" w:rsidR="00D03276" w:rsidRDefault="00D03276" w:rsidP="00161A69">
      <w:pPr>
        <w:spacing w:after="0"/>
      </w:pPr>
      <w:r>
        <w:separator/>
      </w:r>
    </w:p>
  </w:footnote>
  <w:footnote w:type="continuationSeparator" w:id="0">
    <w:p w14:paraId="6B34A47B" w14:textId="77777777" w:rsidR="00D03276" w:rsidRDefault="00D03276" w:rsidP="00161A69">
      <w:pPr>
        <w:spacing w:after="0"/>
      </w:pPr>
      <w:r>
        <w:continuationSeparator/>
      </w:r>
    </w:p>
  </w:footnote>
  <w:footnote w:id="1">
    <w:p w14:paraId="2048D164" w14:textId="15D3735E" w:rsidR="00A02DAA" w:rsidRPr="00D727BF" w:rsidRDefault="00A02DAA">
      <w:pPr>
        <w:pStyle w:val="FootnoteText"/>
        <w:rPr>
          <w:rFonts w:ascii="Times New Roman" w:hAnsi="Times New Roman"/>
          <w:sz w:val="20"/>
        </w:rPr>
      </w:pPr>
      <w:r w:rsidRPr="00D727BF">
        <w:rPr>
          <w:rStyle w:val="FootnoteReference"/>
          <w:rFonts w:ascii="Times New Roman" w:hAnsi="Times New Roman"/>
          <w:sz w:val="20"/>
        </w:rPr>
        <w:footnoteRef/>
      </w:r>
      <w:r w:rsidRPr="00D727BF">
        <w:rPr>
          <w:rFonts w:ascii="Times New Roman" w:hAnsi="Times New Roman"/>
          <w:sz w:val="20"/>
        </w:rPr>
        <w:t xml:space="preserve"> As of March 2016</w:t>
      </w:r>
    </w:p>
  </w:footnote>
  <w:footnote w:id="2">
    <w:p w14:paraId="1FC04117" w14:textId="0ADDA5AE" w:rsidR="00A02DAA" w:rsidRPr="00B04725" w:rsidRDefault="00A02DAA" w:rsidP="006C76E3">
      <w:pPr>
        <w:pStyle w:val="ParagraphNumbering"/>
        <w:numPr>
          <w:ilvl w:val="0"/>
          <w:numId w:val="0"/>
        </w:numPr>
        <w:autoSpaceDE w:val="0"/>
        <w:autoSpaceDN w:val="0"/>
        <w:adjustRightInd w:val="0"/>
        <w:spacing w:after="60"/>
        <w:rPr>
          <w:rFonts w:eastAsia="Calibri"/>
          <w:sz w:val="20"/>
          <w:szCs w:val="20"/>
        </w:rPr>
      </w:pPr>
      <w:r w:rsidRPr="00A61034">
        <w:rPr>
          <w:rStyle w:val="FootnoteReference"/>
          <w:sz w:val="20"/>
          <w:szCs w:val="20"/>
        </w:rPr>
        <w:footnoteRef/>
      </w:r>
      <w:r w:rsidRPr="00A61034">
        <w:rPr>
          <w:sz w:val="20"/>
          <w:szCs w:val="20"/>
        </w:rPr>
        <w:t xml:space="preserve"> IMF</w:t>
      </w:r>
      <w:r w:rsidRPr="00A61034">
        <w:rPr>
          <w:rFonts w:eastAsia="Calibri"/>
          <w:sz w:val="20"/>
          <w:szCs w:val="20"/>
        </w:rPr>
        <w:t xml:space="preserve"> growth predictions for 2015 have been cut from over </w:t>
      </w:r>
      <w:r w:rsidRPr="00B04725">
        <w:rPr>
          <w:rFonts w:eastAsia="Calibri"/>
          <w:sz w:val="20"/>
          <w:szCs w:val="20"/>
        </w:rPr>
        <w:t>7 percent to 5 percent.</w:t>
      </w:r>
      <w:r w:rsidRPr="00B04725">
        <w:rPr>
          <w:sz w:val="20"/>
          <w:szCs w:val="20"/>
        </w:rPr>
        <w:t xml:space="preserve"> </w:t>
      </w:r>
    </w:p>
  </w:footnote>
  <w:footnote w:id="3">
    <w:p w14:paraId="2D8DC528" w14:textId="698688CC"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World Bank, </w:t>
      </w:r>
      <w:r>
        <w:rPr>
          <w:rFonts w:ascii="Times New Roman" w:hAnsi="Times New Roman"/>
          <w:i/>
          <w:sz w:val="20"/>
        </w:rPr>
        <w:t>More, and More Productive</w:t>
      </w:r>
      <w:r w:rsidRPr="00431C9A">
        <w:rPr>
          <w:rFonts w:ascii="Times New Roman" w:hAnsi="Times New Roman"/>
          <w:i/>
          <w:sz w:val="20"/>
        </w:rPr>
        <w:t xml:space="preserve"> Jobs for Nigeria: </w:t>
      </w:r>
      <w:r>
        <w:rPr>
          <w:rFonts w:ascii="Times New Roman" w:hAnsi="Times New Roman"/>
          <w:i/>
          <w:sz w:val="20"/>
        </w:rPr>
        <w:t>a</w:t>
      </w:r>
      <w:r w:rsidRPr="00431C9A">
        <w:rPr>
          <w:rFonts w:ascii="Times New Roman" w:hAnsi="Times New Roman"/>
          <w:i/>
          <w:sz w:val="20"/>
        </w:rPr>
        <w:t xml:space="preserve"> </w:t>
      </w:r>
      <w:r>
        <w:rPr>
          <w:rFonts w:ascii="Times New Roman" w:hAnsi="Times New Roman"/>
          <w:i/>
          <w:sz w:val="20"/>
        </w:rPr>
        <w:t>P</w:t>
      </w:r>
      <w:r w:rsidRPr="00431C9A">
        <w:rPr>
          <w:rFonts w:ascii="Times New Roman" w:hAnsi="Times New Roman"/>
          <w:i/>
          <w:sz w:val="20"/>
        </w:rPr>
        <w:t>rofile of Work and Workers</w:t>
      </w:r>
      <w:r w:rsidRPr="00431C9A">
        <w:rPr>
          <w:rFonts w:ascii="Times New Roman" w:hAnsi="Times New Roman"/>
          <w:sz w:val="20"/>
        </w:rPr>
        <w:t>, Washington</w:t>
      </w:r>
      <w:r>
        <w:rPr>
          <w:rFonts w:ascii="Times New Roman" w:hAnsi="Times New Roman"/>
          <w:sz w:val="20"/>
        </w:rPr>
        <w:t>,</w:t>
      </w:r>
      <w:r w:rsidRPr="00431C9A">
        <w:rPr>
          <w:rFonts w:ascii="Times New Roman" w:hAnsi="Times New Roman"/>
          <w:sz w:val="20"/>
        </w:rPr>
        <w:t xml:space="preserve"> DC</w:t>
      </w:r>
      <w:r>
        <w:rPr>
          <w:rFonts w:ascii="Times New Roman" w:hAnsi="Times New Roman"/>
          <w:sz w:val="20"/>
        </w:rPr>
        <w:t xml:space="preserve">, </w:t>
      </w:r>
      <w:r w:rsidRPr="00431C9A">
        <w:rPr>
          <w:rFonts w:ascii="Times New Roman" w:hAnsi="Times New Roman"/>
          <w:sz w:val="20"/>
        </w:rPr>
        <w:t>(2015)</w:t>
      </w:r>
      <w:r>
        <w:rPr>
          <w:rFonts w:ascii="Times New Roman" w:hAnsi="Times New Roman"/>
          <w:sz w:val="20"/>
        </w:rPr>
        <w:t>.</w:t>
      </w:r>
    </w:p>
  </w:footnote>
  <w:footnote w:id="4">
    <w:p w14:paraId="236B99BA" w14:textId="16D55E69"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sidRPr="00431C9A">
        <w:rPr>
          <w:rFonts w:ascii="Times New Roman" w:hAnsi="Times New Roman"/>
          <w:bCs/>
          <w:sz w:val="20"/>
        </w:rPr>
        <w:t xml:space="preserve">The term </w:t>
      </w:r>
      <w:r w:rsidRPr="00D727BF">
        <w:rPr>
          <w:rFonts w:ascii="Times New Roman" w:hAnsi="Times New Roman"/>
          <w:bCs/>
          <w:i/>
          <w:sz w:val="20"/>
        </w:rPr>
        <w:t>investment climate</w:t>
      </w:r>
      <w:r w:rsidRPr="00431C9A">
        <w:rPr>
          <w:rFonts w:ascii="Times New Roman" w:hAnsi="Times New Roman"/>
          <w:bCs/>
          <w:sz w:val="20"/>
        </w:rPr>
        <w:t>, broadly defined, includes a country</w:t>
      </w:r>
      <w:r>
        <w:rPr>
          <w:rFonts w:ascii="Times New Roman" w:hAnsi="Times New Roman"/>
          <w:bCs/>
          <w:sz w:val="20"/>
        </w:rPr>
        <w:t>’</w:t>
      </w:r>
      <w:r w:rsidRPr="00431C9A">
        <w:rPr>
          <w:rFonts w:ascii="Times New Roman" w:hAnsi="Times New Roman"/>
          <w:bCs/>
          <w:sz w:val="20"/>
        </w:rPr>
        <w:t xml:space="preserve">s unique attributes, or </w:t>
      </w:r>
      <w:r>
        <w:rPr>
          <w:rFonts w:ascii="Times New Roman" w:hAnsi="Times New Roman"/>
          <w:bCs/>
          <w:sz w:val="20"/>
        </w:rPr>
        <w:t>“</w:t>
      </w:r>
      <w:r w:rsidRPr="00431C9A">
        <w:rPr>
          <w:rFonts w:ascii="Times New Roman" w:hAnsi="Times New Roman"/>
          <w:bCs/>
          <w:sz w:val="20"/>
        </w:rPr>
        <w:t>geography</w:t>
      </w:r>
      <w:r>
        <w:rPr>
          <w:rFonts w:ascii="Times New Roman" w:hAnsi="Times New Roman"/>
          <w:bCs/>
          <w:sz w:val="20"/>
        </w:rPr>
        <w:t>”</w:t>
      </w:r>
      <w:r w:rsidRPr="00431C9A">
        <w:rPr>
          <w:rFonts w:ascii="Times New Roman" w:hAnsi="Times New Roman"/>
          <w:bCs/>
          <w:sz w:val="20"/>
        </w:rPr>
        <w:t xml:space="preserve"> (climate, endowments of natural resources, distance from important markets</w:t>
      </w:r>
      <w:r>
        <w:rPr>
          <w:rFonts w:ascii="Times New Roman" w:hAnsi="Times New Roman"/>
          <w:bCs/>
          <w:sz w:val="20"/>
        </w:rPr>
        <w:t>,</w:t>
      </w:r>
      <w:r w:rsidRPr="00431C9A">
        <w:rPr>
          <w:rFonts w:ascii="Times New Roman" w:hAnsi="Times New Roman"/>
          <w:bCs/>
          <w:sz w:val="20"/>
        </w:rPr>
        <w:t xml:space="preserve"> and so on), as well as the state of its infrastructure, economic and social policies, institutions, and governance stability. For operational purposes, a narrower definition is used that focuses on the endogenous determinants of investment.</w:t>
      </w:r>
      <w:r>
        <w:rPr>
          <w:rFonts w:ascii="Times New Roman" w:hAnsi="Times New Roman"/>
          <w:bCs/>
          <w:sz w:val="20"/>
        </w:rPr>
        <w:t xml:space="preserve"> </w:t>
      </w:r>
      <w:r w:rsidRPr="00431C9A">
        <w:rPr>
          <w:rFonts w:ascii="Times New Roman" w:hAnsi="Times New Roman"/>
          <w:bCs/>
          <w:sz w:val="20"/>
        </w:rPr>
        <w:t xml:space="preserve">For example, Stern (2000a) notes that it is </w:t>
      </w:r>
      <w:r>
        <w:rPr>
          <w:rFonts w:ascii="Times New Roman" w:hAnsi="Times New Roman"/>
          <w:bCs/>
          <w:sz w:val="20"/>
        </w:rPr>
        <w:t>“</w:t>
      </w:r>
      <w:r w:rsidRPr="00431C9A">
        <w:rPr>
          <w:rFonts w:ascii="Times New Roman" w:hAnsi="Times New Roman"/>
          <w:bCs/>
          <w:sz w:val="20"/>
        </w:rPr>
        <w:t>the policy, institutional, and behavioral environment, present and expected, that influences the returns, and risks, associated with investment.</w:t>
      </w:r>
      <w:r>
        <w:rPr>
          <w:rFonts w:ascii="Times New Roman" w:hAnsi="Times New Roman"/>
          <w:bCs/>
          <w:sz w:val="20"/>
        </w:rPr>
        <w:t xml:space="preserve">” </w:t>
      </w:r>
      <w:r w:rsidRPr="00431C9A">
        <w:rPr>
          <w:rFonts w:ascii="Times New Roman" w:hAnsi="Times New Roman"/>
          <w:bCs/>
          <w:sz w:val="20"/>
        </w:rPr>
        <w:t>This definition, in its reduced form, includes economic incentives, which are shaped by macroeconomic and regulatory policies and public administrative procedures and incentives embodied in institutional arrangements such as security of property rights and rule of law and governance stability.</w:t>
      </w:r>
    </w:p>
  </w:footnote>
  <w:footnote w:id="5">
    <w:p w14:paraId="6AD5DA71" w14:textId="433042D0"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Some</w:t>
      </w:r>
      <w:r w:rsidRPr="00431C9A">
        <w:rPr>
          <w:rFonts w:ascii="Times New Roman" w:hAnsi="Times New Roman"/>
          <w:sz w:val="20"/>
        </w:rPr>
        <w:t xml:space="preserve"> of the performance measures discussed earlier in the report could only be calculated for manufacturing firms.</w:t>
      </w:r>
      <w:r>
        <w:rPr>
          <w:rFonts w:ascii="Times New Roman" w:hAnsi="Times New Roman"/>
          <w:sz w:val="20"/>
        </w:rPr>
        <w:t xml:space="preserve"> For firms in other sectors, only </w:t>
      </w:r>
      <w:r w:rsidRPr="00431C9A">
        <w:rPr>
          <w:rFonts w:ascii="Times New Roman" w:hAnsi="Times New Roman"/>
          <w:sz w:val="20"/>
        </w:rPr>
        <w:t xml:space="preserve">information on intermediate inputs and capital was collected, </w:t>
      </w:r>
      <w:r>
        <w:rPr>
          <w:rFonts w:ascii="Times New Roman" w:hAnsi="Times New Roman"/>
          <w:sz w:val="20"/>
        </w:rPr>
        <w:t xml:space="preserve">and therefore, </w:t>
      </w:r>
      <w:r w:rsidRPr="00431C9A">
        <w:rPr>
          <w:rFonts w:ascii="Times New Roman" w:hAnsi="Times New Roman"/>
          <w:sz w:val="20"/>
        </w:rPr>
        <w:t>TFP and</w:t>
      </w:r>
      <w:r w:rsidRPr="00AA629B">
        <w:rPr>
          <w:rFonts w:ascii="Times New Roman" w:hAnsi="Times New Roman"/>
          <w:sz w:val="20"/>
        </w:rPr>
        <w:t xml:space="preserve"> </w:t>
      </w:r>
      <w:r w:rsidRPr="00431C9A">
        <w:rPr>
          <w:rFonts w:ascii="Times New Roman" w:hAnsi="Times New Roman"/>
          <w:sz w:val="20"/>
        </w:rPr>
        <w:t>unit labor costs cannot be calculated.</w:t>
      </w:r>
      <w:r>
        <w:rPr>
          <w:rFonts w:ascii="Times New Roman" w:hAnsi="Times New Roman"/>
          <w:sz w:val="20"/>
        </w:rPr>
        <w:t xml:space="preserve"> </w:t>
      </w:r>
      <w:r w:rsidRPr="00431C9A">
        <w:rPr>
          <w:rFonts w:ascii="Times New Roman" w:hAnsi="Times New Roman"/>
          <w:sz w:val="20"/>
        </w:rPr>
        <w:t>This is not the case for sales and employment growth.</w:t>
      </w:r>
      <w:r>
        <w:rPr>
          <w:rFonts w:ascii="Times New Roman" w:hAnsi="Times New Roman"/>
          <w:sz w:val="20"/>
        </w:rPr>
        <w:t xml:space="preserve"> </w:t>
      </w:r>
      <w:r w:rsidRPr="00431C9A">
        <w:rPr>
          <w:rFonts w:ascii="Times New Roman" w:hAnsi="Times New Roman"/>
          <w:sz w:val="20"/>
        </w:rPr>
        <w:t xml:space="preserve">Because </w:t>
      </w:r>
      <w:r>
        <w:rPr>
          <w:rFonts w:ascii="Times New Roman" w:hAnsi="Times New Roman"/>
          <w:sz w:val="20"/>
        </w:rPr>
        <w:t>these metrics</w:t>
      </w:r>
      <w:r w:rsidRPr="00431C9A">
        <w:rPr>
          <w:rFonts w:ascii="Times New Roman" w:hAnsi="Times New Roman"/>
          <w:sz w:val="20"/>
        </w:rPr>
        <w:t xml:space="preserve"> </w:t>
      </w:r>
      <w:r>
        <w:rPr>
          <w:rFonts w:ascii="Times New Roman" w:hAnsi="Times New Roman"/>
          <w:sz w:val="20"/>
        </w:rPr>
        <w:t xml:space="preserve">were </w:t>
      </w:r>
      <w:r w:rsidRPr="00431C9A">
        <w:rPr>
          <w:rFonts w:ascii="Times New Roman" w:hAnsi="Times New Roman"/>
          <w:sz w:val="20"/>
        </w:rPr>
        <w:t xml:space="preserve">collected for all firms, it is possible to </w:t>
      </w:r>
      <w:r>
        <w:rPr>
          <w:rFonts w:ascii="Times New Roman" w:hAnsi="Times New Roman"/>
          <w:sz w:val="20"/>
        </w:rPr>
        <w:t>compare</w:t>
      </w:r>
      <w:r w:rsidRPr="00431C9A">
        <w:rPr>
          <w:rFonts w:ascii="Times New Roman" w:hAnsi="Times New Roman"/>
          <w:sz w:val="20"/>
        </w:rPr>
        <w:t xml:space="preserve"> across all sectors and subsectors. </w:t>
      </w:r>
    </w:p>
    <w:p w14:paraId="292A2394" w14:textId="77777777" w:rsidR="00A02DAA" w:rsidRPr="00431C9A" w:rsidRDefault="00A02DAA" w:rsidP="006C76E3">
      <w:pPr>
        <w:pStyle w:val="FootnoteText"/>
        <w:spacing w:after="60"/>
        <w:rPr>
          <w:rFonts w:ascii="Times New Roman" w:hAnsi="Times New Roman"/>
          <w:sz w:val="20"/>
        </w:rPr>
      </w:pPr>
    </w:p>
  </w:footnote>
  <w:footnote w:id="6">
    <w:p w14:paraId="60BF056C" w14:textId="77777777" w:rsidR="00A02DAA" w:rsidRPr="00431C9A" w:rsidRDefault="00A02DAA" w:rsidP="0004785A">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See, for example, </w:t>
      </w:r>
      <w:r w:rsidRPr="00431C9A">
        <w:rPr>
          <w:rFonts w:ascii="Times New Roman" w:hAnsi="Times New Roman"/>
          <w:sz w:val="20"/>
        </w:rPr>
        <w:fldChar w:fldCharType="begin"/>
      </w:r>
      <w:r w:rsidRPr="00431C9A">
        <w:rPr>
          <w:rFonts w:ascii="Times New Roman" w:hAnsi="Times New Roman"/>
          <w:sz w:val="20"/>
        </w:rPr>
        <w:instrText xml:space="preserve"> ADDIN EN.CITE &lt;EndNote&gt;&lt;Cite AuthorYear="1"&gt;&lt;Author&gt;Clarke&lt;/Author&gt;&lt;Year&gt;2007&lt;/Year&gt;&lt;RecNum&gt;342&lt;/RecNum&gt;&lt;DisplayText&gt;Clarke and others (2007)&lt;/DisplayText&gt;&lt;record&gt;&lt;rec-number&gt;342&lt;/rec-number&gt;&lt;foreign-keys&gt;&lt;key app="EN" db-id="a2axxpp0vxrx2ye0waextew499dexfxaa0v9"&gt;342&lt;/key&gt;&lt;/foreign-keys&gt;&lt;ref-type name="Book"&gt;6&lt;/ref-type&gt;&lt;contributors&gt;&lt;authors&gt;&lt;author&gt;Clarke, George R. G.&lt;/author&gt;&lt;author&gt;Habyarimana, James&lt;/author&gt;&lt;author&gt;Ingram, Michael&lt;/author&gt;&lt;author&gt;Kaplan, David&lt;/author&gt;&lt;author&gt;Ramachandran, Vijaya&lt;/author&gt;&lt;/authors&gt;&lt;/contributors&gt;&lt;titles&gt;&lt;title&gt;An Assessment of the Investment Climate in South Africa&lt;/title&gt;&lt;/titles&gt;&lt;keywords&gt;&lt;keyword&gt;Investment&lt;/keyword&gt;&lt;/keywords&gt;&lt;dates&gt;&lt;year&gt;2007&lt;/year&gt;&lt;/dates&gt;&lt;pub-location&gt;Washington DC&lt;/pub-location&gt;&lt;publisher&gt;World Bank&lt;/publisher&gt;&lt;urls&gt;&lt;/urls&gt;&lt;/record&gt;&lt;/Cite&gt;&lt;/EndNote&gt;</w:instrText>
      </w:r>
      <w:r w:rsidRPr="00431C9A">
        <w:rPr>
          <w:rFonts w:ascii="Times New Roman" w:hAnsi="Times New Roman"/>
          <w:sz w:val="20"/>
        </w:rPr>
        <w:fldChar w:fldCharType="separate"/>
      </w:r>
      <w:hyperlink w:anchor="_ENREF_10" w:tooltip="Clarke, 2007 #342" w:history="1">
        <w:r w:rsidRPr="00431C9A">
          <w:rPr>
            <w:rFonts w:ascii="Times New Roman" w:hAnsi="Times New Roman"/>
            <w:noProof/>
            <w:sz w:val="20"/>
          </w:rPr>
          <w:t>Clarke and others (2007</w:t>
        </w:r>
      </w:hyperlink>
      <w:r w:rsidRPr="00431C9A">
        <w:rPr>
          <w:rFonts w:ascii="Times New Roman" w:hAnsi="Times New Roman"/>
          <w:noProof/>
          <w:sz w:val="20"/>
        </w:rPr>
        <w:t>)</w:t>
      </w:r>
      <w:r w:rsidRPr="00431C9A">
        <w:rPr>
          <w:rFonts w:ascii="Times New Roman" w:hAnsi="Times New Roman"/>
          <w:sz w:val="20"/>
        </w:rPr>
        <w:fldChar w:fldCharType="end"/>
      </w:r>
      <w:r w:rsidRPr="00431C9A">
        <w:rPr>
          <w:rFonts w:ascii="Times New Roman" w:hAnsi="Times New Roman"/>
          <w:sz w:val="20"/>
        </w:rPr>
        <w:t xml:space="preserve"> for a discussion of high labor costs in South Africa.</w:t>
      </w:r>
    </w:p>
  </w:footnote>
  <w:footnote w:id="7">
    <w:p w14:paraId="2F6A1CCF" w14:textId="4A0DEEA5"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Pr>
          <w:rFonts w:ascii="Times New Roman" w:hAnsi="Times New Roman"/>
          <w:sz w:val="20"/>
        </w:rPr>
        <w:t xml:space="preserve"> </w:t>
      </w:r>
      <w:r w:rsidRPr="00431C9A">
        <w:rPr>
          <w:rFonts w:ascii="Times New Roman" w:hAnsi="Times New Roman"/>
          <w:sz w:val="20"/>
        </w:rPr>
        <w:t>The official poverty line in Nigeria is based on daily per capita consumption of 3</w:t>
      </w:r>
      <w:r>
        <w:rPr>
          <w:rFonts w:ascii="Times New Roman" w:hAnsi="Times New Roman"/>
          <w:sz w:val="20"/>
        </w:rPr>
        <w:t>,</w:t>
      </w:r>
      <w:r w:rsidRPr="00431C9A">
        <w:rPr>
          <w:rFonts w:ascii="Times New Roman" w:hAnsi="Times New Roman"/>
          <w:sz w:val="20"/>
        </w:rPr>
        <w:t>000 calories.</w:t>
      </w:r>
    </w:p>
  </w:footnote>
  <w:footnote w:id="8">
    <w:p w14:paraId="14DFF397" w14:textId="6E1F8E95" w:rsidR="00A02DAA" w:rsidRPr="00431C9A" w:rsidRDefault="00A02DAA" w:rsidP="006C76E3">
      <w:pPr>
        <w:pStyle w:val="ParagraphNumbering"/>
        <w:numPr>
          <w:ilvl w:val="0"/>
          <w:numId w:val="0"/>
        </w:numPr>
        <w:autoSpaceDE w:val="0"/>
        <w:autoSpaceDN w:val="0"/>
        <w:adjustRightInd w:val="0"/>
        <w:spacing w:after="60"/>
        <w:rPr>
          <w:rFonts w:eastAsia="Calibri"/>
          <w:sz w:val="20"/>
          <w:szCs w:val="20"/>
        </w:rPr>
      </w:pPr>
      <w:r w:rsidRPr="00431C9A">
        <w:rPr>
          <w:rStyle w:val="FootnoteReference"/>
          <w:sz w:val="20"/>
          <w:szCs w:val="20"/>
        </w:rPr>
        <w:footnoteRef/>
      </w:r>
      <w:r>
        <w:rPr>
          <w:sz w:val="20"/>
          <w:szCs w:val="20"/>
        </w:rPr>
        <w:t xml:space="preserve"> </w:t>
      </w:r>
      <w:r w:rsidRPr="00431C9A">
        <w:rPr>
          <w:sz w:val="20"/>
          <w:szCs w:val="20"/>
        </w:rPr>
        <w:t>IMF</w:t>
      </w:r>
      <w:r w:rsidRPr="00431C9A">
        <w:rPr>
          <w:rFonts w:eastAsia="Calibri"/>
          <w:sz w:val="20"/>
          <w:szCs w:val="20"/>
        </w:rPr>
        <w:t xml:space="preserve"> growth predictions for 2015 have been cut from over </w:t>
      </w:r>
      <w:r>
        <w:rPr>
          <w:rFonts w:eastAsia="Calibri"/>
          <w:sz w:val="20"/>
          <w:szCs w:val="20"/>
        </w:rPr>
        <w:t>7</w:t>
      </w:r>
      <w:r w:rsidRPr="00431C9A">
        <w:rPr>
          <w:rFonts w:eastAsia="Calibri"/>
          <w:sz w:val="20"/>
          <w:szCs w:val="20"/>
        </w:rPr>
        <w:t xml:space="preserve"> percent to </w:t>
      </w:r>
      <w:r>
        <w:rPr>
          <w:rFonts w:eastAsia="Calibri"/>
          <w:sz w:val="20"/>
          <w:szCs w:val="20"/>
        </w:rPr>
        <w:t>5</w:t>
      </w:r>
      <w:r w:rsidRPr="00431C9A">
        <w:rPr>
          <w:rFonts w:eastAsia="Calibri"/>
          <w:sz w:val="20"/>
          <w:szCs w:val="20"/>
        </w:rPr>
        <w:t xml:space="preserve"> percent.</w:t>
      </w:r>
      <w:r w:rsidRPr="00431C9A">
        <w:rPr>
          <w:sz w:val="20"/>
          <w:szCs w:val="20"/>
        </w:rPr>
        <w:t xml:space="preserve"> </w:t>
      </w:r>
    </w:p>
  </w:footnote>
  <w:footnote w:id="9">
    <w:p w14:paraId="6E9098C8" w14:textId="128D07A2"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The Nigerian Government has consistently overprojected </w:t>
      </w:r>
      <w:r>
        <w:rPr>
          <w:rFonts w:ascii="Times New Roman" w:hAnsi="Times New Roman"/>
          <w:sz w:val="20"/>
        </w:rPr>
        <w:t>non</w:t>
      </w:r>
      <w:r w:rsidRPr="00431C9A">
        <w:rPr>
          <w:rFonts w:ascii="Times New Roman" w:hAnsi="Times New Roman"/>
          <w:sz w:val="20"/>
        </w:rPr>
        <w:t>oil revenues.</w:t>
      </w:r>
      <w:r>
        <w:rPr>
          <w:rFonts w:ascii="Times New Roman" w:hAnsi="Times New Roman"/>
          <w:sz w:val="20"/>
        </w:rPr>
        <w:t xml:space="preserve"> </w:t>
      </w:r>
      <w:r w:rsidRPr="00431C9A">
        <w:rPr>
          <w:rFonts w:ascii="Times New Roman" w:hAnsi="Times New Roman"/>
          <w:sz w:val="20"/>
        </w:rPr>
        <w:t>Until recent years, this was compensated by oil revenues, which had been underprojected.</w:t>
      </w:r>
      <w:r>
        <w:rPr>
          <w:rFonts w:ascii="Times New Roman" w:hAnsi="Times New Roman"/>
          <w:sz w:val="20"/>
        </w:rPr>
        <w:t xml:space="preserve"> </w:t>
      </w:r>
      <w:r w:rsidRPr="00431C9A">
        <w:rPr>
          <w:rFonts w:ascii="Times New Roman" w:hAnsi="Times New Roman"/>
          <w:sz w:val="20"/>
        </w:rPr>
        <w:t xml:space="preserve">However, both categories of revenues were overprojected in 2013 and 2014. </w:t>
      </w:r>
    </w:p>
  </w:footnote>
  <w:footnote w:id="10">
    <w:p w14:paraId="3C4221F3" w14:textId="476A9284"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The </w:t>
      </w:r>
      <w:r w:rsidRPr="00431C9A">
        <w:rPr>
          <w:rFonts w:ascii="Times New Roman" w:hAnsi="Times New Roman"/>
          <w:sz w:val="20"/>
        </w:rPr>
        <w:t>World Bank</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sz w:val="20"/>
        </w:rPr>
        <w:t xml:space="preserve">More, and More Productive, Jobs for Nigeria: A </w:t>
      </w:r>
      <w:r>
        <w:rPr>
          <w:rFonts w:ascii="Times New Roman" w:hAnsi="Times New Roman"/>
          <w:i/>
          <w:sz w:val="20"/>
        </w:rPr>
        <w:t>P</w:t>
      </w:r>
      <w:r w:rsidRPr="00431C9A">
        <w:rPr>
          <w:rFonts w:ascii="Times New Roman" w:hAnsi="Times New Roman"/>
          <w:i/>
          <w:sz w:val="20"/>
        </w:rPr>
        <w:t>rofile of Work and Workers</w:t>
      </w:r>
      <w:r w:rsidRPr="00431C9A">
        <w:rPr>
          <w:rFonts w:ascii="Times New Roman" w:hAnsi="Times New Roman"/>
          <w:sz w:val="20"/>
        </w:rPr>
        <w:t>, Washington</w:t>
      </w:r>
      <w:r>
        <w:rPr>
          <w:rFonts w:ascii="Times New Roman" w:hAnsi="Times New Roman"/>
          <w:sz w:val="20"/>
        </w:rPr>
        <w:t>, DC, (2015).</w:t>
      </w:r>
    </w:p>
  </w:footnote>
  <w:footnote w:id="11">
    <w:p w14:paraId="5C279682" w14:textId="5E83A26D"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The </w:t>
      </w:r>
      <w:r w:rsidRPr="00431C9A">
        <w:rPr>
          <w:rFonts w:ascii="Times New Roman" w:hAnsi="Times New Roman"/>
          <w:sz w:val="20"/>
        </w:rPr>
        <w:t>World Bank</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sz w:val="20"/>
        </w:rPr>
        <w:t xml:space="preserve">More, and More Productive, Jobs for Nigeria: A </w:t>
      </w:r>
      <w:r>
        <w:rPr>
          <w:rFonts w:ascii="Times New Roman" w:hAnsi="Times New Roman"/>
          <w:i/>
          <w:sz w:val="20"/>
        </w:rPr>
        <w:t>P</w:t>
      </w:r>
      <w:r w:rsidRPr="00431C9A">
        <w:rPr>
          <w:rFonts w:ascii="Times New Roman" w:hAnsi="Times New Roman"/>
          <w:i/>
          <w:sz w:val="20"/>
        </w:rPr>
        <w:t>rofile of Work and Workers</w:t>
      </w:r>
      <w:r w:rsidRPr="00431C9A">
        <w:rPr>
          <w:rFonts w:ascii="Times New Roman" w:hAnsi="Times New Roman"/>
          <w:sz w:val="20"/>
        </w:rPr>
        <w:t>, Washington</w:t>
      </w:r>
      <w:r>
        <w:rPr>
          <w:rFonts w:ascii="Times New Roman" w:hAnsi="Times New Roman"/>
          <w:sz w:val="20"/>
        </w:rPr>
        <w:t>,</w:t>
      </w:r>
      <w:r w:rsidRPr="00431C9A">
        <w:rPr>
          <w:rFonts w:ascii="Times New Roman" w:hAnsi="Times New Roman"/>
          <w:sz w:val="20"/>
        </w:rPr>
        <w:t xml:space="preserve"> DC</w:t>
      </w:r>
      <w:r>
        <w:rPr>
          <w:rFonts w:ascii="Times New Roman" w:hAnsi="Times New Roman"/>
          <w:sz w:val="20"/>
        </w:rPr>
        <w:t>, (2015).</w:t>
      </w:r>
    </w:p>
  </w:footnote>
  <w:footnote w:id="12">
    <w:p w14:paraId="5B272F11" w14:textId="0D040539"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sidRPr="00431C9A">
        <w:rPr>
          <w:rFonts w:ascii="Times New Roman" w:hAnsi="Times New Roman"/>
          <w:bCs/>
          <w:sz w:val="20"/>
        </w:rPr>
        <w:t xml:space="preserve">The term </w:t>
      </w:r>
      <w:r w:rsidRPr="006A7997">
        <w:rPr>
          <w:rFonts w:ascii="Times New Roman" w:hAnsi="Times New Roman"/>
          <w:bCs/>
          <w:i/>
          <w:sz w:val="20"/>
        </w:rPr>
        <w:t>investment climate</w:t>
      </w:r>
      <w:r w:rsidRPr="00D727BF">
        <w:rPr>
          <w:rFonts w:ascii="Times New Roman" w:hAnsi="Times New Roman"/>
          <w:bCs/>
          <w:i/>
          <w:sz w:val="20"/>
        </w:rPr>
        <w:t>,</w:t>
      </w:r>
      <w:r w:rsidRPr="00431C9A">
        <w:rPr>
          <w:rFonts w:ascii="Times New Roman" w:hAnsi="Times New Roman"/>
          <w:bCs/>
          <w:sz w:val="20"/>
        </w:rPr>
        <w:t xml:space="preserve"> broadly defined, includes a country</w:t>
      </w:r>
      <w:r>
        <w:rPr>
          <w:rFonts w:ascii="Times New Roman" w:hAnsi="Times New Roman"/>
          <w:bCs/>
          <w:sz w:val="20"/>
        </w:rPr>
        <w:t>’</w:t>
      </w:r>
      <w:r w:rsidRPr="00431C9A">
        <w:rPr>
          <w:rFonts w:ascii="Times New Roman" w:hAnsi="Times New Roman"/>
          <w:bCs/>
          <w:sz w:val="20"/>
        </w:rPr>
        <w:t xml:space="preserve">s unique attributes, or </w:t>
      </w:r>
      <w:r>
        <w:rPr>
          <w:rFonts w:ascii="Times New Roman" w:hAnsi="Times New Roman"/>
          <w:bCs/>
          <w:sz w:val="20"/>
        </w:rPr>
        <w:t>“</w:t>
      </w:r>
      <w:r w:rsidRPr="00431C9A">
        <w:rPr>
          <w:rFonts w:ascii="Times New Roman" w:hAnsi="Times New Roman"/>
          <w:bCs/>
          <w:sz w:val="20"/>
        </w:rPr>
        <w:t>geography</w:t>
      </w:r>
      <w:r>
        <w:rPr>
          <w:rFonts w:ascii="Times New Roman" w:hAnsi="Times New Roman"/>
          <w:bCs/>
          <w:sz w:val="20"/>
        </w:rPr>
        <w:t>”</w:t>
      </w:r>
      <w:r w:rsidRPr="00431C9A">
        <w:rPr>
          <w:rFonts w:ascii="Times New Roman" w:hAnsi="Times New Roman"/>
          <w:bCs/>
          <w:sz w:val="20"/>
        </w:rPr>
        <w:t xml:space="preserve"> (climate, endowments of natural resources, distance from important markets</w:t>
      </w:r>
      <w:r>
        <w:rPr>
          <w:rFonts w:ascii="Times New Roman" w:hAnsi="Times New Roman"/>
          <w:bCs/>
          <w:sz w:val="20"/>
        </w:rPr>
        <w:t>,</w:t>
      </w:r>
      <w:r w:rsidRPr="00431C9A">
        <w:rPr>
          <w:rFonts w:ascii="Times New Roman" w:hAnsi="Times New Roman"/>
          <w:bCs/>
          <w:sz w:val="20"/>
        </w:rPr>
        <w:t xml:space="preserve"> and so on), as well as the state of its infrastructure, economic and social policies, institutions, and governance stability. For operational purposes, a narrower definition is used that focuses on the endogenous determinants of investment.</w:t>
      </w:r>
      <w:r>
        <w:rPr>
          <w:rFonts w:ascii="Times New Roman" w:hAnsi="Times New Roman"/>
          <w:bCs/>
          <w:sz w:val="20"/>
        </w:rPr>
        <w:t xml:space="preserve"> </w:t>
      </w:r>
      <w:r w:rsidRPr="00431C9A">
        <w:rPr>
          <w:rFonts w:ascii="Times New Roman" w:hAnsi="Times New Roman"/>
          <w:bCs/>
          <w:sz w:val="20"/>
        </w:rPr>
        <w:t xml:space="preserve">For example, Stern (2000a) notes that it is </w:t>
      </w:r>
      <w:r>
        <w:rPr>
          <w:rFonts w:ascii="Times New Roman" w:hAnsi="Times New Roman"/>
          <w:bCs/>
          <w:sz w:val="20"/>
        </w:rPr>
        <w:t>“</w:t>
      </w:r>
      <w:r w:rsidRPr="00431C9A">
        <w:rPr>
          <w:rFonts w:ascii="Times New Roman" w:hAnsi="Times New Roman"/>
          <w:bCs/>
          <w:sz w:val="20"/>
        </w:rPr>
        <w:t>the policy, institutional, and behavioral environment, present and expected, that influences the returns, and risks, associated with investment.</w:t>
      </w:r>
      <w:r>
        <w:rPr>
          <w:rFonts w:ascii="Times New Roman" w:hAnsi="Times New Roman"/>
          <w:bCs/>
          <w:sz w:val="20"/>
        </w:rPr>
        <w:t xml:space="preserve">” </w:t>
      </w:r>
      <w:r w:rsidRPr="00431C9A">
        <w:rPr>
          <w:rFonts w:ascii="Times New Roman" w:hAnsi="Times New Roman"/>
          <w:bCs/>
          <w:sz w:val="20"/>
        </w:rPr>
        <w:t>This definition, in its reduced form, includes economic incentives, which are shaped by macroeconomic and regulatory policies and public administrative procedures, and incentives embodied in institutional arrangements</w:t>
      </w:r>
      <w:r>
        <w:rPr>
          <w:rFonts w:ascii="Times New Roman" w:hAnsi="Times New Roman"/>
          <w:bCs/>
          <w:sz w:val="20"/>
        </w:rPr>
        <w:t>,</w:t>
      </w:r>
      <w:r w:rsidRPr="00431C9A">
        <w:rPr>
          <w:rFonts w:ascii="Times New Roman" w:hAnsi="Times New Roman"/>
          <w:bCs/>
          <w:sz w:val="20"/>
        </w:rPr>
        <w:t xml:space="preserve"> such as security of property rights and rule of law and governance stability.</w:t>
      </w:r>
    </w:p>
  </w:footnote>
  <w:footnote w:id="13">
    <w:p w14:paraId="4B70E6E8" w14:textId="3ABA0123" w:rsidR="00A02DAA" w:rsidRPr="00431C9A" w:rsidRDefault="00A02DAA" w:rsidP="009C3EA3">
      <w:pPr>
        <w:spacing w:after="60"/>
        <w:rPr>
          <w:sz w:val="20"/>
        </w:rPr>
      </w:pPr>
      <w:r w:rsidRPr="00431C9A">
        <w:rPr>
          <w:rStyle w:val="FootnoteReference"/>
          <w:rFonts w:cs="Times New Roman"/>
          <w:sz w:val="20"/>
          <w:szCs w:val="20"/>
        </w:rPr>
        <w:footnoteRef/>
      </w:r>
      <w:r w:rsidRPr="00431C9A">
        <w:rPr>
          <w:rFonts w:cs="Times New Roman"/>
          <w:sz w:val="20"/>
          <w:szCs w:val="20"/>
        </w:rPr>
        <w:t xml:space="preserve"> </w:t>
      </w:r>
      <w:r>
        <w:rPr>
          <w:rFonts w:cs="Times New Roman"/>
          <w:sz w:val="20"/>
          <w:szCs w:val="20"/>
        </w:rPr>
        <w:t xml:space="preserve">A. </w:t>
      </w:r>
      <w:r>
        <w:rPr>
          <w:rFonts w:eastAsia="Times New Roman" w:cs="Times New Roman"/>
          <w:sz w:val="20"/>
          <w:szCs w:val="20"/>
        </w:rPr>
        <w:t>Gelb,</w:t>
      </w:r>
      <w:r w:rsidRPr="00431C9A">
        <w:rPr>
          <w:rFonts w:eastAsia="Times New Roman" w:cs="Times New Roman"/>
          <w:sz w:val="20"/>
          <w:szCs w:val="20"/>
        </w:rPr>
        <w:t xml:space="preserve"> </w:t>
      </w:r>
      <w:r>
        <w:rPr>
          <w:rFonts w:eastAsia="Times New Roman" w:cs="Times New Roman"/>
          <w:sz w:val="20"/>
          <w:szCs w:val="20"/>
        </w:rPr>
        <w:t xml:space="preserve">C. J. </w:t>
      </w:r>
      <w:r w:rsidRPr="00431C9A">
        <w:rPr>
          <w:rFonts w:eastAsia="Times New Roman" w:cs="Times New Roman"/>
          <w:sz w:val="20"/>
          <w:szCs w:val="20"/>
        </w:rPr>
        <w:t xml:space="preserve">Meyer, </w:t>
      </w:r>
      <w:r>
        <w:rPr>
          <w:rFonts w:eastAsia="Times New Roman" w:cs="Times New Roman"/>
          <w:sz w:val="20"/>
          <w:szCs w:val="20"/>
        </w:rPr>
        <w:t xml:space="preserve">and V. </w:t>
      </w:r>
      <w:r w:rsidRPr="00431C9A">
        <w:rPr>
          <w:rFonts w:eastAsia="Times New Roman" w:cs="Times New Roman"/>
          <w:sz w:val="20"/>
          <w:szCs w:val="20"/>
        </w:rPr>
        <w:t>Ramachandran</w:t>
      </w:r>
      <w:r>
        <w:rPr>
          <w:rFonts w:eastAsia="Times New Roman" w:cs="Times New Roman"/>
          <w:sz w:val="20"/>
          <w:szCs w:val="20"/>
        </w:rPr>
        <w:t>,</w:t>
      </w:r>
      <w:r w:rsidRPr="00431C9A">
        <w:rPr>
          <w:rFonts w:eastAsia="Times New Roman" w:cs="Times New Roman"/>
          <w:sz w:val="20"/>
          <w:szCs w:val="20"/>
        </w:rPr>
        <w:t xml:space="preserve"> </w:t>
      </w:r>
      <w:r>
        <w:rPr>
          <w:rFonts w:eastAsia="Times New Roman" w:cs="Times New Roman"/>
          <w:sz w:val="20"/>
          <w:szCs w:val="20"/>
        </w:rPr>
        <w:t>“</w:t>
      </w:r>
      <w:r w:rsidRPr="00431C9A">
        <w:rPr>
          <w:rFonts w:eastAsia="Times New Roman" w:cs="Times New Roman"/>
          <w:sz w:val="20"/>
          <w:szCs w:val="20"/>
        </w:rPr>
        <w:t>Development as Diffusion: Manufacturing Productivity and Sub-Saharan Africa</w:t>
      </w:r>
      <w:r>
        <w:rPr>
          <w:rFonts w:eastAsia="Times New Roman" w:cs="Times New Roman"/>
          <w:sz w:val="20"/>
          <w:szCs w:val="20"/>
        </w:rPr>
        <w:t>’</w:t>
      </w:r>
      <w:r w:rsidRPr="00431C9A">
        <w:rPr>
          <w:rFonts w:eastAsia="Times New Roman" w:cs="Times New Roman"/>
          <w:sz w:val="20"/>
          <w:szCs w:val="20"/>
        </w:rPr>
        <w:t>s Missing Middle,</w:t>
      </w:r>
      <w:r>
        <w:rPr>
          <w:rFonts w:eastAsia="Times New Roman" w:cs="Times New Roman"/>
          <w:sz w:val="20"/>
          <w:szCs w:val="20"/>
        </w:rPr>
        <w:t>”</w:t>
      </w:r>
      <w:r w:rsidRPr="00431C9A">
        <w:rPr>
          <w:rFonts w:eastAsia="Times New Roman" w:cs="Times New Roman"/>
          <w:sz w:val="20"/>
          <w:szCs w:val="20"/>
        </w:rPr>
        <w:t xml:space="preserve"> </w:t>
      </w:r>
      <w:r w:rsidRPr="00431C9A">
        <w:rPr>
          <w:rFonts w:eastAsia="Times New Roman" w:cs="Times New Roman"/>
          <w:i/>
          <w:iCs/>
          <w:sz w:val="20"/>
          <w:szCs w:val="20"/>
        </w:rPr>
        <w:t>Center for Global Development Working Paper</w:t>
      </w:r>
      <w:r>
        <w:rPr>
          <w:rFonts w:eastAsia="Times New Roman" w:cs="Times New Roman"/>
          <w:sz w:val="20"/>
          <w:szCs w:val="20"/>
        </w:rPr>
        <w:t>, (2014).</w:t>
      </w:r>
    </w:p>
  </w:footnote>
  <w:footnote w:id="14">
    <w:p w14:paraId="041BFCFA" w14:textId="1345FADD" w:rsidR="00A02DAA" w:rsidRPr="00431C9A" w:rsidRDefault="00A02DAA" w:rsidP="006C76E3">
      <w:pPr>
        <w:spacing w:after="60"/>
        <w:rPr>
          <w:rFonts w:cs="Times New Roman"/>
          <w:sz w:val="20"/>
          <w:szCs w:val="20"/>
        </w:rPr>
      </w:pPr>
      <w:r w:rsidRPr="00431C9A">
        <w:rPr>
          <w:rStyle w:val="FootnoteReference"/>
          <w:rFonts w:cs="Times New Roman"/>
          <w:sz w:val="20"/>
          <w:szCs w:val="20"/>
        </w:rPr>
        <w:footnoteRef/>
      </w:r>
      <w:r w:rsidRPr="00431C9A">
        <w:rPr>
          <w:rFonts w:cs="Times New Roman"/>
          <w:sz w:val="20"/>
          <w:szCs w:val="20"/>
        </w:rPr>
        <w:t xml:space="preserve"> </w:t>
      </w:r>
      <w:r>
        <w:rPr>
          <w:rFonts w:cs="Times New Roman"/>
          <w:sz w:val="20"/>
          <w:szCs w:val="20"/>
        </w:rPr>
        <w:t xml:space="preserve">J. </w:t>
      </w:r>
      <w:r w:rsidRPr="00431C9A">
        <w:rPr>
          <w:rFonts w:cs="Times New Roman"/>
          <w:sz w:val="20"/>
          <w:szCs w:val="20"/>
        </w:rPr>
        <w:t>Fenske</w:t>
      </w:r>
      <w:r>
        <w:rPr>
          <w:rFonts w:cs="Times New Roman"/>
          <w:sz w:val="20"/>
          <w:szCs w:val="20"/>
        </w:rPr>
        <w:t xml:space="preserve"> and I. </w:t>
      </w:r>
      <w:r w:rsidRPr="00431C9A">
        <w:rPr>
          <w:rFonts w:cs="Times New Roman"/>
          <w:sz w:val="20"/>
          <w:szCs w:val="20"/>
        </w:rPr>
        <w:t xml:space="preserve">Zurimendi, </w:t>
      </w:r>
      <w:r>
        <w:rPr>
          <w:rFonts w:cs="Times New Roman"/>
          <w:sz w:val="20"/>
          <w:szCs w:val="20"/>
        </w:rPr>
        <w:t>“</w:t>
      </w:r>
      <w:r w:rsidRPr="00431C9A">
        <w:rPr>
          <w:rFonts w:cs="Times New Roman"/>
          <w:sz w:val="20"/>
          <w:szCs w:val="20"/>
        </w:rPr>
        <w:t xml:space="preserve">Oil and </w:t>
      </w:r>
      <w:r>
        <w:rPr>
          <w:rFonts w:cs="Times New Roman"/>
          <w:sz w:val="20"/>
          <w:szCs w:val="20"/>
        </w:rPr>
        <w:t>E</w:t>
      </w:r>
      <w:r w:rsidRPr="00431C9A">
        <w:rPr>
          <w:rFonts w:cs="Times New Roman"/>
          <w:sz w:val="20"/>
          <w:szCs w:val="20"/>
        </w:rPr>
        <w:t xml:space="preserve">thnic </w:t>
      </w:r>
      <w:r>
        <w:rPr>
          <w:rFonts w:cs="Times New Roman"/>
          <w:sz w:val="20"/>
          <w:szCs w:val="20"/>
        </w:rPr>
        <w:t>I</w:t>
      </w:r>
      <w:r w:rsidRPr="00431C9A">
        <w:rPr>
          <w:rFonts w:cs="Times New Roman"/>
          <w:sz w:val="20"/>
          <w:szCs w:val="20"/>
        </w:rPr>
        <w:t>nequality in Nigeria,</w:t>
      </w:r>
      <w:r>
        <w:rPr>
          <w:rFonts w:cs="Times New Roman"/>
          <w:sz w:val="20"/>
          <w:szCs w:val="20"/>
        </w:rPr>
        <w:t>”</w:t>
      </w:r>
      <w:r w:rsidRPr="00431C9A">
        <w:rPr>
          <w:rFonts w:cs="Times New Roman"/>
          <w:sz w:val="20"/>
          <w:szCs w:val="20"/>
        </w:rPr>
        <w:t xml:space="preserve"> </w:t>
      </w:r>
      <w:r w:rsidRPr="00431C9A">
        <w:rPr>
          <w:rStyle w:val="Emphasis"/>
          <w:rFonts w:cs="Times New Roman"/>
          <w:sz w:val="20"/>
          <w:szCs w:val="20"/>
        </w:rPr>
        <w:t>Centre for the Study of African Economies</w:t>
      </w:r>
      <w:r>
        <w:rPr>
          <w:rStyle w:val="Emphasis"/>
          <w:rFonts w:cs="Times New Roman"/>
          <w:sz w:val="20"/>
          <w:szCs w:val="20"/>
        </w:rPr>
        <w:t>, University of Oxford</w:t>
      </w:r>
      <w:r w:rsidRPr="00044099">
        <w:rPr>
          <w:rStyle w:val="Emphasis"/>
          <w:rFonts w:cs="Times New Roman"/>
          <w:i w:val="0"/>
          <w:sz w:val="20"/>
          <w:szCs w:val="20"/>
        </w:rPr>
        <w:t>,</w:t>
      </w:r>
      <w:r>
        <w:rPr>
          <w:rStyle w:val="Emphasis"/>
          <w:rFonts w:cs="Times New Roman"/>
          <w:sz w:val="20"/>
          <w:szCs w:val="20"/>
        </w:rPr>
        <w:t xml:space="preserve"> </w:t>
      </w:r>
      <w:r w:rsidRPr="009C3EA3">
        <w:rPr>
          <w:rStyle w:val="Emphasis"/>
          <w:rFonts w:cs="Times New Roman"/>
          <w:i w:val="0"/>
          <w:sz w:val="20"/>
          <w:szCs w:val="20"/>
        </w:rPr>
        <w:t>(2015).</w:t>
      </w:r>
    </w:p>
  </w:footnote>
  <w:footnote w:id="15">
    <w:p w14:paraId="45572DB2" w14:textId="6E49134D" w:rsidR="00A02DAA" w:rsidRPr="00431C9A" w:rsidRDefault="00A02DAA" w:rsidP="006C76E3">
      <w:pPr>
        <w:autoSpaceDE w:val="0"/>
        <w:autoSpaceDN w:val="0"/>
        <w:adjustRightInd w:val="0"/>
        <w:spacing w:after="60"/>
        <w:rPr>
          <w:rFonts w:cs="Times New Roman"/>
          <w:sz w:val="20"/>
          <w:szCs w:val="20"/>
        </w:rPr>
      </w:pPr>
      <w:r w:rsidRPr="00431C9A">
        <w:rPr>
          <w:rStyle w:val="FootnoteReference"/>
          <w:rFonts w:cs="Times New Roman"/>
          <w:sz w:val="20"/>
          <w:szCs w:val="20"/>
        </w:rPr>
        <w:footnoteRef/>
      </w:r>
      <w:r w:rsidRPr="00431C9A">
        <w:rPr>
          <w:rFonts w:cs="Times New Roman"/>
          <w:sz w:val="20"/>
          <w:szCs w:val="20"/>
        </w:rPr>
        <w:t xml:space="preserve"> </w:t>
      </w:r>
      <w:r>
        <w:rPr>
          <w:rFonts w:cs="Times New Roman"/>
          <w:sz w:val="20"/>
          <w:szCs w:val="20"/>
        </w:rPr>
        <w:t xml:space="preserve">The </w:t>
      </w:r>
      <w:r w:rsidRPr="00431C9A">
        <w:rPr>
          <w:rFonts w:cs="Times New Roman"/>
          <w:sz w:val="20"/>
          <w:szCs w:val="20"/>
        </w:rPr>
        <w:t>World Bank</w:t>
      </w:r>
      <w:r>
        <w:rPr>
          <w:rFonts w:cs="Times New Roman"/>
          <w:sz w:val="20"/>
          <w:szCs w:val="20"/>
        </w:rPr>
        <w:t>,</w:t>
      </w:r>
      <w:r w:rsidRPr="00431C9A">
        <w:rPr>
          <w:rFonts w:cs="Times New Roman"/>
          <w:sz w:val="20"/>
          <w:szCs w:val="20"/>
        </w:rPr>
        <w:t xml:space="preserve"> </w:t>
      </w:r>
      <w:r>
        <w:rPr>
          <w:rFonts w:cs="Times New Roman"/>
          <w:sz w:val="20"/>
          <w:szCs w:val="20"/>
        </w:rPr>
        <w:t>“</w:t>
      </w:r>
      <w:r w:rsidRPr="00DC0F48">
        <w:rPr>
          <w:rFonts w:cs="Times New Roman"/>
          <w:iCs/>
          <w:sz w:val="20"/>
          <w:szCs w:val="20"/>
        </w:rPr>
        <w:t>Putting Nigeria to Work: A Strategy for Employment and Growth</w:t>
      </w:r>
      <w:r w:rsidRPr="00431C9A">
        <w:rPr>
          <w:rFonts w:cs="Times New Roman"/>
          <w:sz w:val="20"/>
          <w:szCs w:val="20"/>
        </w:rPr>
        <w:t>,</w:t>
      </w:r>
      <w:r>
        <w:rPr>
          <w:rFonts w:cs="Times New Roman"/>
          <w:sz w:val="20"/>
          <w:szCs w:val="20"/>
        </w:rPr>
        <w:t>”</w:t>
      </w:r>
      <w:r w:rsidRPr="00431C9A">
        <w:rPr>
          <w:rFonts w:cs="Times New Roman"/>
          <w:sz w:val="20"/>
          <w:szCs w:val="20"/>
        </w:rPr>
        <w:t xml:space="preserve"> </w:t>
      </w:r>
      <w:r w:rsidRPr="00DC0F48">
        <w:rPr>
          <w:rFonts w:cs="Times New Roman"/>
          <w:i/>
          <w:sz w:val="20"/>
          <w:szCs w:val="20"/>
        </w:rPr>
        <w:t>Directions in Development</w:t>
      </w:r>
      <w:r w:rsidRPr="00431C9A">
        <w:rPr>
          <w:rFonts w:cs="Times New Roman"/>
          <w:sz w:val="20"/>
          <w:szCs w:val="20"/>
        </w:rPr>
        <w:t xml:space="preserve">, </w:t>
      </w:r>
      <w:r>
        <w:rPr>
          <w:rFonts w:cs="Times New Roman"/>
          <w:sz w:val="20"/>
          <w:szCs w:val="20"/>
        </w:rPr>
        <w:t xml:space="preserve">ed. </w:t>
      </w:r>
      <w:r w:rsidRPr="00431C9A">
        <w:rPr>
          <w:rFonts w:cs="Times New Roman"/>
          <w:sz w:val="20"/>
          <w:szCs w:val="20"/>
        </w:rPr>
        <w:t>Volker Treichel</w:t>
      </w:r>
      <w:r>
        <w:rPr>
          <w:rFonts w:cs="Times New Roman"/>
          <w:sz w:val="20"/>
          <w:szCs w:val="20"/>
        </w:rPr>
        <w:t>,</w:t>
      </w:r>
      <w:r w:rsidRPr="00DC0F48">
        <w:rPr>
          <w:rFonts w:cs="Times New Roman"/>
          <w:sz w:val="20"/>
          <w:szCs w:val="20"/>
        </w:rPr>
        <w:t xml:space="preserve"> </w:t>
      </w:r>
      <w:r w:rsidRPr="00431C9A">
        <w:rPr>
          <w:rFonts w:cs="Times New Roman"/>
          <w:sz w:val="20"/>
          <w:szCs w:val="20"/>
        </w:rPr>
        <w:t>Washington, DC</w:t>
      </w:r>
      <w:r>
        <w:rPr>
          <w:rFonts w:cs="Times New Roman"/>
          <w:sz w:val="20"/>
          <w:szCs w:val="20"/>
        </w:rPr>
        <w:t>, (2010).</w:t>
      </w:r>
    </w:p>
  </w:footnote>
  <w:footnote w:id="16">
    <w:p w14:paraId="6210EF4B" w14:textId="5C93E8FD" w:rsidR="00A02DAA" w:rsidRPr="00431C9A" w:rsidRDefault="00A02DAA" w:rsidP="00A23A84">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The </w:t>
      </w:r>
      <w:r w:rsidRPr="00431C9A">
        <w:rPr>
          <w:rFonts w:ascii="Times New Roman" w:hAnsi="Times New Roman"/>
          <w:sz w:val="20"/>
        </w:rPr>
        <w:t>World Bank</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iCs/>
          <w:sz w:val="20"/>
        </w:rPr>
        <w:t>World Development Indicators</w:t>
      </w:r>
      <w:r w:rsidRPr="00431C9A">
        <w:rPr>
          <w:rFonts w:ascii="Times New Roman" w:hAnsi="Times New Roman"/>
          <w:sz w:val="20"/>
        </w:rPr>
        <w:t xml:space="preserve">. </w:t>
      </w:r>
      <w:r>
        <w:rPr>
          <w:rFonts w:ascii="Times New Roman" w:hAnsi="Times New Roman"/>
          <w:sz w:val="20"/>
        </w:rPr>
        <w:t xml:space="preserve">(2014). </w:t>
      </w:r>
      <w:r w:rsidRPr="00431C9A">
        <w:rPr>
          <w:rFonts w:ascii="Times New Roman" w:hAnsi="Times New Roman"/>
          <w:sz w:val="20"/>
        </w:rPr>
        <w:t>Online database, accessed June</w:t>
      </w:r>
      <w:r>
        <w:rPr>
          <w:rFonts w:ascii="Calibri" w:hAnsi="Calibri"/>
          <w:sz w:val="20"/>
        </w:rPr>
        <w:t>‒</w:t>
      </w:r>
      <w:r w:rsidRPr="00431C9A">
        <w:rPr>
          <w:rFonts w:ascii="Times New Roman" w:hAnsi="Times New Roman"/>
          <w:sz w:val="20"/>
        </w:rPr>
        <w:t>October 2014.</w:t>
      </w:r>
    </w:p>
  </w:footnote>
  <w:footnote w:id="17">
    <w:p w14:paraId="3EB8FE3E" w14:textId="2545D7A4" w:rsidR="00A02DAA" w:rsidRPr="00431C9A" w:rsidRDefault="00A02DAA" w:rsidP="00A23A84">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The </w:t>
      </w:r>
      <w:r w:rsidRPr="00431C9A">
        <w:rPr>
          <w:rFonts w:ascii="Times New Roman" w:hAnsi="Times New Roman"/>
          <w:sz w:val="20"/>
        </w:rPr>
        <w:t>World Bank</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sz w:val="20"/>
        </w:rPr>
        <w:t xml:space="preserve">Nigeria Job Assessment: More, and </w:t>
      </w:r>
      <w:r>
        <w:rPr>
          <w:rFonts w:ascii="Times New Roman" w:hAnsi="Times New Roman"/>
          <w:i/>
          <w:sz w:val="20"/>
        </w:rPr>
        <w:t>M</w:t>
      </w:r>
      <w:r w:rsidRPr="00431C9A">
        <w:rPr>
          <w:rFonts w:ascii="Times New Roman" w:hAnsi="Times New Roman"/>
          <w:i/>
          <w:sz w:val="20"/>
        </w:rPr>
        <w:t xml:space="preserve">ore </w:t>
      </w:r>
      <w:r>
        <w:rPr>
          <w:rFonts w:ascii="Times New Roman" w:hAnsi="Times New Roman"/>
          <w:i/>
          <w:sz w:val="20"/>
        </w:rPr>
        <w:t>P</w:t>
      </w:r>
      <w:r w:rsidRPr="00431C9A">
        <w:rPr>
          <w:rFonts w:ascii="Times New Roman" w:hAnsi="Times New Roman"/>
          <w:i/>
          <w:sz w:val="20"/>
        </w:rPr>
        <w:t>roductive, Jobs for Nigeria - A Profile of Work and Workers</w:t>
      </w:r>
      <w:r>
        <w:rPr>
          <w:rFonts w:ascii="Times New Roman" w:hAnsi="Times New Roman"/>
          <w:sz w:val="20"/>
        </w:rPr>
        <w:t>, forthcoming, (2015).</w:t>
      </w:r>
    </w:p>
  </w:footnote>
  <w:footnote w:id="18">
    <w:p w14:paraId="6228E476" w14:textId="17FB0DDA"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V. </w:t>
      </w:r>
      <w:r w:rsidRPr="00431C9A">
        <w:rPr>
          <w:rFonts w:ascii="Times New Roman" w:hAnsi="Times New Roman"/>
          <w:sz w:val="20"/>
        </w:rPr>
        <w:t xml:space="preserve">Foster and </w:t>
      </w:r>
      <w:r>
        <w:rPr>
          <w:rFonts w:ascii="Times New Roman" w:hAnsi="Times New Roman"/>
          <w:sz w:val="20"/>
        </w:rPr>
        <w:t xml:space="preserve">N. </w:t>
      </w:r>
      <w:r w:rsidRPr="00431C9A">
        <w:rPr>
          <w:rFonts w:ascii="Times New Roman" w:hAnsi="Times New Roman"/>
          <w:sz w:val="20"/>
        </w:rPr>
        <w:t>Pushak</w:t>
      </w:r>
      <w:r>
        <w:rPr>
          <w:rFonts w:ascii="Times New Roman" w:hAnsi="Times New Roman"/>
          <w:sz w:val="20"/>
        </w:rPr>
        <w:t>,</w:t>
      </w:r>
      <w:r w:rsidRPr="00431C9A">
        <w:rPr>
          <w:rFonts w:ascii="Times New Roman" w:hAnsi="Times New Roman"/>
          <w:sz w:val="20"/>
        </w:rPr>
        <w:t xml:space="preserve"> </w:t>
      </w:r>
      <w:r>
        <w:rPr>
          <w:rFonts w:ascii="Times New Roman" w:hAnsi="Times New Roman"/>
          <w:sz w:val="20"/>
        </w:rPr>
        <w:t>“</w:t>
      </w:r>
      <w:r w:rsidRPr="00431C9A">
        <w:rPr>
          <w:rFonts w:ascii="Times New Roman" w:hAnsi="Times New Roman"/>
          <w:sz w:val="20"/>
        </w:rPr>
        <w:t>Nigeria</w:t>
      </w:r>
      <w:r>
        <w:rPr>
          <w:rFonts w:ascii="Times New Roman" w:hAnsi="Times New Roman"/>
          <w:sz w:val="20"/>
        </w:rPr>
        <w:t>’</w:t>
      </w:r>
      <w:r w:rsidRPr="00431C9A">
        <w:rPr>
          <w:rFonts w:ascii="Times New Roman" w:hAnsi="Times New Roman"/>
          <w:sz w:val="20"/>
        </w:rPr>
        <w:t xml:space="preserve">s </w:t>
      </w:r>
      <w:r>
        <w:rPr>
          <w:rFonts w:ascii="Times New Roman" w:hAnsi="Times New Roman"/>
          <w:sz w:val="20"/>
        </w:rPr>
        <w:t>I</w:t>
      </w:r>
      <w:r w:rsidRPr="00431C9A">
        <w:rPr>
          <w:rFonts w:ascii="Times New Roman" w:hAnsi="Times New Roman"/>
          <w:sz w:val="20"/>
        </w:rPr>
        <w:t xml:space="preserve">nfrastructure: a </w:t>
      </w:r>
      <w:r>
        <w:rPr>
          <w:rFonts w:ascii="Times New Roman" w:hAnsi="Times New Roman"/>
          <w:sz w:val="20"/>
        </w:rPr>
        <w:t>C</w:t>
      </w:r>
      <w:r w:rsidRPr="00431C9A">
        <w:rPr>
          <w:rFonts w:ascii="Times New Roman" w:hAnsi="Times New Roman"/>
          <w:sz w:val="20"/>
        </w:rPr>
        <w:t xml:space="preserve">ontinental </w:t>
      </w:r>
      <w:r>
        <w:rPr>
          <w:rFonts w:ascii="Times New Roman" w:hAnsi="Times New Roman"/>
          <w:sz w:val="20"/>
        </w:rPr>
        <w:t>P</w:t>
      </w:r>
      <w:r w:rsidRPr="00431C9A">
        <w:rPr>
          <w:rFonts w:ascii="Times New Roman" w:hAnsi="Times New Roman"/>
          <w:sz w:val="20"/>
        </w:rPr>
        <w:t>erspective</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sz w:val="20"/>
        </w:rPr>
        <w:t>Policy Research Working Paper</w:t>
      </w:r>
      <w:r w:rsidRPr="00431C9A">
        <w:rPr>
          <w:rFonts w:ascii="Times New Roman" w:hAnsi="Times New Roman"/>
          <w:sz w:val="20"/>
        </w:rPr>
        <w:t xml:space="preserve"> </w:t>
      </w:r>
      <w:r w:rsidRPr="00D92148">
        <w:rPr>
          <w:rFonts w:ascii="Times New Roman" w:hAnsi="Times New Roman"/>
          <w:i/>
          <w:sz w:val="20"/>
        </w:rPr>
        <w:t>5686</w:t>
      </w:r>
      <w:r w:rsidRPr="00431C9A">
        <w:rPr>
          <w:rFonts w:ascii="Times New Roman" w:hAnsi="Times New Roman"/>
          <w:sz w:val="20"/>
        </w:rPr>
        <w:t xml:space="preserve">, </w:t>
      </w:r>
      <w:r>
        <w:rPr>
          <w:rFonts w:ascii="Times New Roman" w:hAnsi="Times New Roman"/>
          <w:sz w:val="20"/>
        </w:rPr>
        <w:t xml:space="preserve">The </w:t>
      </w:r>
      <w:r w:rsidRPr="00431C9A">
        <w:rPr>
          <w:rFonts w:ascii="Times New Roman" w:hAnsi="Times New Roman"/>
          <w:sz w:val="20"/>
        </w:rPr>
        <w:t xml:space="preserve">World Bank, </w:t>
      </w:r>
      <w:r>
        <w:rPr>
          <w:rFonts w:ascii="Times New Roman" w:hAnsi="Times New Roman"/>
          <w:sz w:val="20"/>
        </w:rPr>
        <w:t>(</w:t>
      </w:r>
      <w:r w:rsidRPr="00431C9A">
        <w:rPr>
          <w:rFonts w:ascii="Times New Roman" w:hAnsi="Times New Roman"/>
          <w:sz w:val="20"/>
        </w:rPr>
        <w:t>June</w:t>
      </w:r>
      <w:r>
        <w:rPr>
          <w:rFonts w:ascii="Times New Roman" w:hAnsi="Times New Roman"/>
          <w:sz w:val="20"/>
        </w:rPr>
        <w:t xml:space="preserve"> 2011).</w:t>
      </w:r>
      <w:r w:rsidRPr="00431C9A">
        <w:rPr>
          <w:rFonts w:ascii="Times New Roman" w:hAnsi="Times New Roman"/>
          <w:sz w:val="20"/>
        </w:rPr>
        <w:t xml:space="preserve"> </w:t>
      </w:r>
    </w:p>
  </w:footnote>
  <w:footnote w:id="19">
    <w:p w14:paraId="55D177C1" w14:textId="047668A3"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SMEDAN and NBS (2012), SMEDAN and NBS Collaborative Survey: Selected Findings (2013).</w:t>
      </w:r>
      <w:r>
        <w:rPr>
          <w:rFonts w:ascii="Times New Roman" w:hAnsi="Times New Roman"/>
          <w:sz w:val="20"/>
        </w:rPr>
        <w:t xml:space="preserve"> </w:t>
      </w:r>
      <w:r w:rsidRPr="00431C9A">
        <w:rPr>
          <w:rFonts w:ascii="Times New Roman" w:hAnsi="Times New Roman"/>
          <w:sz w:val="20"/>
        </w:rPr>
        <w:t>Our estimates based on the GHS survey give similar results; about 35.4 million firms.</w:t>
      </w:r>
    </w:p>
  </w:footnote>
  <w:footnote w:id="20">
    <w:p w14:paraId="5FEC0EBD" w14:textId="49B9387B" w:rsidR="00A02DAA" w:rsidRPr="00431C9A" w:rsidRDefault="00A02DAA" w:rsidP="00C759C4">
      <w:pPr>
        <w:pStyle w:val="ParagraphNumbering"/>
        <w:numPr>
          <w:ilvl w:val="0"/>
          <w:numId w:val="0"/>
        </w:numPr>
        <w:spacing w:after="60"/>
        <w:rPr>
          <w:sz w:val="20"/>
          <w:szCs w:val="20"/>
        </w:rPr>
      </w:pPr>
      <w:r w:rsidRPr="00431C9A">
        <w:rPr>
          <w:rStyle w:val="FootnoteReference"/>
          <w:sz w:val="20"/>
          <w:szCs w:val="20"/>
        </w:rPr>
        <w:footnoteRef/>
      </w:r>
      <w:r w:rsidRPr="00431C9A">
        <w:rPr>
          <w:sz w:val="20"/>
          <w:szCs w:val="20"/>
        </w:rPr>
        <w:t xml:space="preserve"> </w:t>
      </w:r>
      <w:r>
        <w:rPr>
          <w:sz w:val="20"/>
          <w:szCs w:val="20"/>
        </w:rPr>
        <w:t xml:space="preserve">L. </w:t>
      </w:r>
      <w:r w:rsidRPr="00431C9A">
        <w:rPr>
          <w:sz w:val="20"/>
          <w:szCs w:val="20"/>
        </w:rPr>
        <w:t>Fox</w:t>
      </w:r>
      <w:r>
        <w:rPr>
          <w:sz w:val="20"/>
          <w:szCs w:val="20"/>
        </w:rPr>
        <w:t xml:space="preserve"> and T. P. </w:t>
      </w:r>
      <w:r w:rsidRPr="00431C9A">
        <w:rPr>
          <w:sz w:val="20"/>
          <w:szCs w:val="20"/>
        </w:rPr>
        <w:t>Sohnesen, (2012), ibid.</w:t>
      </w:r>
    </w:p>
  </w:footnote>
  <w:footnote w:id="21">
    <w:p w14:paraId="7DFE4A83" w14:textId="167DDE3C"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S. </w:t>
      </w:r>
      <w:r w:rsidRPr="00431C9A">
        <w:rPr>
          <w:rFonts w:ascii="Times New Roman" w:hAnsi="Times New Roman"/>
          <w:sz w:val="20"/>
        </w:rPr>
        <w:t>Haggblade</w:t>
      </w:r>
      <w:r>
        <w:rPr>
          <w:rFonts w:ascii="Times New Roman" w:hAnsi="Times New Roman"/>
          <w:sz w:val="20"/>
        </w:rPr>
        <w:t xml:space="preserve">, P. </w:t>
      </w:r>
      <w:r w:rsidRPr="00431C9A">
        <w:rPr>
          <w:rFonts w:ascii="Times New Roman" w:hAnsi="Times New Roman"/>
          <w:sz w:val="20"/>
        </w:rPr>
        <w:t>Hazel</w:t>
      </w:r>
      <w:r>
        <w:rPr>
          <w:rFonts w:ascii="Times New Roman" w:hAnsi="Times New Roman"/>
          <w:sz w:val="20"/>
        </w:rPr>
        <w:t xml:space="preserve">, </w:t>
      </w:r>
      <w:r w:rsidRPr="00431C9A">
        <w:rPr>
          <w:rFonts w:ascii="Times New Roman" w:hAnsi="Times New Roman"/>
          <w:sz w:val="20"/>
        </w:rPr>
        <w:t xml:space="preserve">and </w:t>
      </w:r>
      <w:r>
        <w:rPr>
          <w:rFonts w:ascii="Times New Roman" w:hAnsi="Times New Roman"/>
          <w:sz w:val="20"/>
        </w:rPr>
        <w:t xml:space="preserve">T. </w:t>
      </w:r>
      <w:r w:rsidRPr="00431C9A">
        <w:rPr>
          <w:rFonts w:ascii="Times New Roman" w:hAnsi="Times New Roman"/>
          <w:sz w:val="20"/>
        </w:rPr>
        <w:t>Reardon</w:t>
      </w:r>
      <w:r>
        <w:rPr>
          <w:rFonts w:ascii="Times New Roman" w:hAnsi="Times New Roman"/>
          <w:sz w:val="20"/>
        </w:rPr>
        <w:t>,</w:t>
      </w:r>
      <w:r w:rsidRPr="00431C9A">
        <w:rPr>
          <w:rFonts w:ascii="Times New Roman" w:hAnsi="Times New Roman"/>
          <w:sz w:val="20"/>
        </w:rPr>
        <w:t xml:space="preserve"> </w:t>
      </w:r>
      <w:r>
        <w:rPr>
          <w:rFonts w:ascii="Times New Roman" w:hAnsi="Times New Roman"/>
          <w:sz w:val="20"/>
        </w:rPr>
        <w:t>“</w:t>
      </w:r>
      <w:r w:rsidRPr="00431C9A">
        <w:rPr>
          <w:rFonts w:ascii="Times New Roman" w:hAnsi="Times New Roman"/>
          <w:sz w:val="20"/>
        </w:rPr>
        <w:t xml:space="preserve">The </w:t>
      </w:r>
      <w:r>
        <w:rPr>
          <w:rFonts w:ascii="Times New Roman" w:hAnsi="Times New Roman"/>
          <w:sz w:val="20"/>
        </w:rPr>
        <w:t>R</w:t>
      </w:r>
      <w:r w:rsidRPr="00431C9A">
        <w:rPr>
          <w:rFonts w:ascii="Times New Roman" w:hAnsi="Times New Roman"/>
          <w:sz w:val="20"/>
        </w:rPr>
        <w:t xml:space="preserve">ural </w:t>
      </w:r>
      <w:r>
        <w:rPr>
          <w:rFonts w:ascii="Times New Roman" w:hAnsi="Times New Roman"/>
          <w:sz w:val="20"/>
        </w:rPr>
        <w:t>N</w:t>
      </w:r>
      <w:r w:rsidRPr="00431C9A">
        <w:rPr>
          <w:rFonts w:ascii="Times New Roman" w:hAnsi="Times New Roman"/>
          <w:sz w:val="20"/>
        </w:rPr>
        <w:t>on-</w:t>
      </w:r>
      <w:r>
        <w:rPr>
          <w:rFonts w:ascii="Times New Roman" w:hAnsi="Times New Roman"/>
          <w:sz w:val="20"/>
        </w:rPr>
        <w:t>F</w:t>
      </w:r>
      <w:r w:rsidRPr="00431C9A">
        <w:rPr>
          <w:rFonts w:ascii="Times New Roman" w:hAnsi="Times New Roman"/>
          <w:sz w:val="20"/>
        </w:rPr>
        <w:t xml:space="preserve">arm </w:t>
      </w:r>
      <w:r>
        <w:rPr>
          <w:rFonts w:ascii="Times New Roman" w:hAnsi="Times New Roman"/>
          <w:sz w:val="20"/>
        </w:rPr>
        <w:t>E</w:t>
      </w:r>
      <w:r w:rsidRPr="00431C9A">
        <w:rPr>
          <w:rFonts w:ascii="Times New Roman" w:hAnsi="Times New Roman"/>
          <w:sz w:val="20"/>
        </w:rPr>
        <w:t xml:space="preserve">conomy: </w:t>
      </w:r>
      <w:r>
        <w:rPr>
          <w:rFonts w:ascii="Times New Roman" w:hAnsi="Times New Roman"/>
          <w:sz w:val="20"/>
        </w:rPr>
        <w:t>P</w:t>
      </w:r>
      <w:r w:rsidRPr="00431C9A">
        <w:rPr>
          <w:rFonts w:ascii="Times New Roman" w:hAnsi="Times New Roman"/>
          <w:sz w:val="20"/>
        </w:rPr>
        <w:t xml:space="preserve">rospects and </w:t>
      </w:r>
      <w:r>
        <w:rPr>
          <w:rFonts w:ascii="Times New Roman" w:hAnsi="Times New Roman"/>
          <w:sz w:val="20"/>
        </w:rPr>
        <w:t>P</w:t>
      </w:r>
      <w:r w:rsidRPr="00431C9A">
        <w:rPr>
          <w:rFonts w:ascii="Times New Roman" w:hAnsi="Times New Roman"/>
          <w:sz w:val="20"/>
        </w:rPr>
        <w:t xml:space="preserve">overty </w:t>
      </w:r>
      <w:r>
        <w:rPr>
          <w:rFonts w:ascii="Times New Roman" w:hAnsi="Times New Roman"/>
          <w:sz w:val="20"/>
        </w:rPr>
        <w:t>R</w:t>
      </w:r>
      <w:r w:rsidRPr="00431C9A">
        <w:rPr>
          <w:rFonts w:ascii="Times New Roman" w:hAnsi="Times New Roman"/>
          <w:sz w:val="20"/>
        </w:rPr>
        <w:t>eduction,</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iCs/>
          <w:sz w:val="20"/>
        </w:rPr>
        <w:t>World Development</w:t>
      </w:r>
      <w:r w:rsidRPr="00431C9A">
        <w:rPr>
          <w:rFonts w:ascii="Times New Roman" w:hAnsi="Times New Roman"/>
          <w:sz w:val="20"/>
        </w:rPr>
        <w:t>, vol. 38. (10), (2010), 1429</w:t>
      </w:r>
      <w:r>
        <w:rPr>
          <w:rFonts w:ascii="Calibri" w:hAnsi="Calibri"/>
          <w:sz w:val="20"/>
        </w:rPr>
        <w:t>‒</w:t>
      </w:r>
      <w:r>
        <w:rPr>
          <w:rFonts w:ascii="Times New Roman" w:hAnsi="Times New Roman"/>
          <w:sz w:val="20"/>
        </w:rPr>
        <w:t>1441.</w:t>
      </w:r>
    </w:p>
  </w:footnote>
  <w:footnote w:id="22">
    <w:p w14:paraId="1F7D8C56" w14:textId="4D98EBD6" w:rsidR="00A02DAA" w:rsidRPr="00431C9A" w:rsidRDefault="00A02DAA" w:rsidP="00C759C4">
      <w:pPr>
        <w:pStyle w:val="ParagraphNumbering"/>
        <w:numPr>
          <w:ilvl w:val="0"/>
          <w:numId w:val="0"/>
        </w:numPr>
        <w:spacing w:after="60"/>
        <w:rPr>
          <w:sz w:val="20"/>
          <w:szCs w:val="20"/>
        </w:rPr>
      </w:pPr>
      <w:r w:rsidRPr="00431C9A">
        <w:rPr>
          <w:rStyle w:val="FootnoteReference"/>
          <w:sz w:val="20"/>
          <w:szCs w:val="20"/>
        </w:rPr>
        <w:footnoteRef/>
      </w:r>
      <w:r w:rsidRPr="00431C9A">
        <w:rPr>
          <w:sz w:val="20"/>
          <w:szCs w:val="20"/>
        </w:rPr>
        <w:t xml:space="preserve"> For the impact of wage subsidies on job creation: </w:t>
      </w:r>
      <w:r>
        <w:rPr>
          <w:sz w:val="20"/>
          <w:szCs w:val="20"/>
        </w:rPr>
        <w:t xml:space="preserve">S. </w:t>
      </w:r>
      <w:r w:rsidRPr="00431C9A">
        <w:rPr>
          <w:sz w:val="20"/>
          <w:szCs w:val="20"/>
        </w:rPr>
        <w:t xml:space="preserve">De Mel, </w:t>
      </w:r>
      <w:r>
        <w:rPr>
          <w:sz w:val="20"/>
          <w:szCs w:val="20"/>
        </w:rPr>
        <w:t xml:space="preserve">D. </w:t>
      </w:r>
      <w:r w:rsidRPr="00431C9A">
        <w:rPr>
          <w:sz w:val="20"/>
          <w:szCs w:val="20"/>
        </w:rPr>
        <w:t>McKenzie</w:t>
      </w:r>
      <w:r>
        <w:rPr>
          <w:sz w:val="20"/>
          <w:szCs w:val="20"/>
        </w:rPr>
        <w:t xml:space="preserve"> and C. </w:t>
      </w:r>
      <w:r w:rsidRPr="00431C9A">
        <w:rPr>
          <w:sz w:val="20"/>
          <w:szCs w:val="20"/>
        </w:rPr>
        <w:t>Woodruff</w:t>
      </w:r>
      <w:r>
        <w:rPr>
          <w:sz w:val="20"/>
          <w:szCs w:val="20"/>
        </w:rPr>
        <w:t>,</w:t>
      </w:r>
      <w:r w:rsidRPr="00431C9A">
        <w:rPr>
          <w:sz w:val="20"/>
          <w:szCs w:val="20"/>
        </w:rPr>
        <w:t xml:space="preserve"> </w:t>
      </w:r>
      <w:r>
        <w:rPr>
          <w:sz w:val="20"/>
          <w:szCs w:val="20"/>
        </w:rPr>
        <w:t>“</w:t>
      </w:r>
      <w:r w:rsidRPr="00431C9A">
        <w:rPr>
          <w:sz w:val="20"/>
          <w:szCs w:val="20"/>
        </w:rPr>
        <w:t xml:space="preserve">Wage </w:t>
      </w:r>
      <w:r>
        <w:rPr>
          <w:sz w:val="20"/>
          <w:szCs w:val="20"/>
        </w:rPr>
        <w:t>S</w:t>
      </w:r>
      <w:r w:rsidRPr="00431C9A">
        <w:rPr>
          <w:sz w:val="20"/>
          <w:szCs w:val="20"/>
        </w:rPr>
        <w:t xml:space="preserve">ubsidies for </w:t>
      </w:r>
      <w:r>
        <w:rPr>
          <w:sz w:val="20"/>
          <w:szCs w:val="20"/>
        </w:rPr>
        <w:t>M</w:t>
      </w:r>
      <w:r w:rsidRPr="00431C9A">
        <w:rPr>
          <w:sz w:val="20"/>
          <w:szCs w:val="20"/>
        </w:rPr>
        <w:t>icroenterprises,</w:t>
      </w:r>
      <w:r>
        <w:rPr>
          <w:sz w:val="20"/>
          <w:szCs w:val="20"/>
        </w:rPr>
        <w:t>”</w:t>
      </w:r>
      <w:r w:rsidRPr="00431C9A">
        <w:rPr>
          <w:sz w:val="20"/>
          <w:szCs w:val="20"/>
        </w:rPr>
        <w:t xml:space="preserve"> </w:t>
      </w:r>
      <w:r w:rsidRPr="00431C9A">
        <w:rPr>
          <w:i/>
          <w:iCs/>
          <w:sz w:val="20"/>
          <w:szCs w:val="20"/>
        </w:rPr>
        <w:t xml:space="preserve">The American Economic Review, JSTOR, </w:t>
      </w:r>
      <w:r w:rsidRPr="008C70C4">
        <w:rPr>
          <w:iCs/>
          <w:sz w:val="20"/>
          <w:szCs w:val="20"/>
        </w:rPr>
        <w:t>(2010),</w:t>
      </w:r>
      <w:r>
        <w:rPr>
          <w:i/>
          <w:iCs/>
          <w:sz w:val="20"/>
          <w:szCs w:val="20"/>
        </w:rPr>
        <w:t xml:space="preserve"> </w:t>
      </w:r>
      <w:r w:rsidRPr="00431C9A">
        <w:rPr>
          <w:sz w:val="20"/>
          <w:szCs w:val="20"/>
        </w:rPr>
        <w:t>614</w:t>
      </w:r>
      <w:r>
        <w:rPr>
          <w:rFonts w:ascii="Calibri" w:hAnsi="Calibri"/>
          <w:sz w:val="20"/>
          <w:szCs w:val="20"/>
        </w:rPr>
        <w:t>‒</w:t>
      </w:r>
      <w:r w:rsidRPr="00431C9A">
        <w:rPr>
          <w:sz w:val="20"/>
          <w:szCs w:val="20"/>
        </w:rPr>
        <w:t xml:space="preserve">618. For productivity analysis of the non-farm enterprises: </w:t>
      </w:r>
      <w:r>
        <w:rPr>
          <w:sz w:val="20"/>
          <w:szCs w:val="20"/>
        </w:rPr>
        <w:t xml:space="preserve">B. </w:t>
      </w:r>
      <w:r w:rsidRPr="00431C9A">
        <w:rPr>
          <w:sz w:val="20"/>
          <w:szCs w:val="20"/>
        </w:rPr>
        <w:t>Rijkers</w:t>
      </w:r>
      <w:r>
        <w:rPr>
          <w:sz w:val="20"/>
          <w:szCs w:val="20"/>
        </w:rPr>
        <w:t xml:space="preserve"> and R. </w:t>
      </w:r>
      <w:r w:rsidRPr="00431C9A">
        <w:rPr>
          <w:sz w:val="20"/>
          <w:szCs w:val="20"/>
        </w:rPr>
        <w:t xml:space="preserve">Costa, </w:t>
      </w:r>
      <w:r>
        <w:rPr>
          <w:sz w:val="20"/>
          <w:szCs w:val="20"/>
        </w:rPr>
        <w:t>“</w:t>
      </w:r>
      <w:r w:rsidRPr="00431C9A">
        <w:rPr>
          <w:sz w:val="20"/>
          <w:szCs w:val="20"/>
        </w:rPr>
        <w:t xml:space="preserve">Gender and </w:t>
      </w:r>
      <w:r>
        <w:rPr>
          <w:sz w:val="20"/>
          <w:szCs w:val="20"/>
        </w:rPr>
        <w:t>R</w:t>
      </w:r>
      <w:r w:rsidRPr="00431C9A">
        <w:rPr>
          <w:sz w:val="20"/>
          <w:szCs w:val="20"/>
        </w:rPr>
        <w:t xml:space="preserve">ural </w:t>
      </w:r>
      <w:r>
        <w:rPr>
          <w:sz w:val="20"/>
          <w:szCs w:val="20"/>
        </w:rPr>
        <w:t>N</w:t>
      </w:r>
      <w:r w:rsidRPr="00431C9A">
        <w:rPr>
          <w:sz w:val="20"/>
          <w:szCs w:val="20"/>
        </w:rPr>
        <w:t>on-</w:t>
      </w:r>
      <w:r>
        <w:rPr>
          <w:sz w:val="20"/>
          <w:szCs w:val="20"/>
        </w:rPr>
        <w:t>F</w:t>
      </w:r>
      <w:r w:rsidRPr="00431C9A">
        <w:rPr>
          <w:sz w:val="20"/>
          <w:szCs w:val="20"/>
        </w:rPr>
        <w:t xml:space="preserve">arm </w:t>
      </w:r>
      <w:r>
        <w:rPr>
          <w:sz w:val="20"/>
          <w:szCs w:val="20"/>
        </w:rPr>
        <w:t>E</w:t>
      </w:r>
      <w:r w:rsidRPr="00431C9A">
        <w:rPr>
          <w:sz w:val="20"/>
          <w:szCs w:val="20"/>
        </w:rPr>
        <w:t>ntrepreneurship,</w:t>
      </w:r>
      <w:r>
        <w:rPr>
          <w:sz w:val="20"/>
          <w:szCs w:val="20"/>
        </w:rPr>
        <w:t>”</w:t>
      </w:r>
      <w:r w:rsidRPr="00431C9A">
        <w:rPr>
          <w:sz w:val="20"/>
          <w:szCs w:val="20"/>
        </w:rPr>
        <w:t xml:space="preserve"> </w:t>
      </w:r>
      <w:r w:rsidRPr="00431C9A">
        <w:rPr>
          <w:i/>
          <w:iCs/>
          <w:sz w:val="20"/>
          <w:szCs w:val="20"/>
        </w:rPr>
        <w:t>World Development, Elsevier, 40</w:t>
      </w:r>
      <w:r w:rsidRPr="00431C9A">
        <w:rPr>
          <w:sz w:val="20"/>
          <w:szCs w:val="20"/>
        </w:rPr>
        <w:t xml:space="preserve">, </w:t>
      </w:r>
      <w:r>
        <w:rPr>
          <w:sz w:val="20"/>
          <w:szCs w:val="20"/>
        </w:rPr>
        <w:t xml:space="preserve">(2012), </w:t>
      </w:r>
      <w:r w:rsidRPr="00431C9A">
        <w:rPr>
          <w:sz w:val="20"/>
          <w:szCs w:val="20"/>
        </w:rPr>
        <w:t>2411</w:t>
      </w:r>
      <w:r>
        <w:rPr>
          <w:rFonts w:ascii="Calibri" w:hAnsi="Calibri"/>
          <w:sz w:val="20"/>
          <w:szCs w:val="20"/>
        </w:rPr>
        <w:t>‒</w:t>
      </w:r>
      <w:r w:rsidRPr="00431C9A">
        <w:rPr>
          <w:sz w:val="20"/>
          <w:szCs w:val="20"/>
        </w:rPr>
        <w:t xml:space="preserve">2426; </w:t>
      </w:r>
      <w:r>
        <w:rPr>
          <w:sz w:val="20"/>
          <w:szCs w:val="20"/>
        </w:rPr>
        <w:t xml:space="preserve">B. </w:t>
      </w:r>
      <w:r w:rsidRPr="00431C9A">
        <w:rPr>
          <w:sz w:val="20"/>
          <w:szCs w:val="20"/>
        </w:rPr>
        <w:t>Rijkers</w:t>
      </w:r>
      <w:r>
        <w:rPr>
          <w:sz w:val="20"/>
          <w:szCs w:val="20"/>
        </w:rPr>
        <w:t xml:space="preserve">, M. </w:t>
      </w:r>
      <w:r w:rsidRPr="00431C9A">
        <w:rPr>
          <w:sz w:val="20"/>
          <w:szCs w:val="20"/>
        </w:rPr>
        <w:t xml:space="preserve">Söderbom, </w:t>
      </w:r>
      <w:r>
        <w:rPr>
          <w:sz w:val="20"/>
          <w:szCs w:val="20"/>
        </w:rPr>
        <w:t>and J. L.</w:t>
      </w:r>
      <w:r w:rsidRPr="00431C9A">
        <w:rPr>
          <w:sz w:val="20"/>
          <w:szCs w:val="20"/>
        </w:rPr>
        <w:t xml:space="preserve"> Loening,</w:t>
      </w:r>
      <w:r>
        <w:rPr>
          <w:sz w:val="20"/>
          <w:szCs w:val="20"/>
        </w:rPr>
        <w:t xml:space="preserve"> “</w:t>
      </w:r>
      <w:r w:rsidRPr="00431C9A">
        <w:rPr>
          <w:sz w:val="20"/>
          <w:szCs w:val="20"/>
        </w:rPr>
        <w:t xml:space="preserve">A </w:t>
      </w:r>
      <w:r>
        <w:rPr>
          <w:sz w:val="20"/>
          <w:szCs w:val="20"/>
        </w:rPr>
        <w:t>R</w:t>
      </w:r>
      <w:r w:rsidRPr="00431C9A">
        <w:rPr>
          <w:sz w:val="20"/>
          <w:szCs w:val="20"/>
        </w:rPr>
        <w:t>ural</w:t>
      </w:r>
      <w:r>
        <w:rPr>
          <w:sz w:val="20"/>
          <w:szCs w:val="20"/>
        </w:rPr>
        <w:t>-U</w:t>
      </w:r>
      <w:r w:rsidRPr="00431C9A">
        <w:rPr>
          <w:sz w:val="20"/>
          <w:szCs w:val="20"/>
        </w:rPr>
        <w:t xml:space="preserve">rban </w:t>
      </w:r>
      <w:r>
        <w:rPr>
          <w:sz w:val="20"/>
          <w:szCs w:val="20"/>
        </w:rPr>
        <w:t>C</w:t>
      </w:r>
      <w:r w:rsidRPr="00431C9A">
        <w:rPr>
          <w:sz w:val="20"/>
          <w:szCs w:val="20"/>
        </w:rPr>
        <w:t xml:space="preserve">omparison of </w:t>
      </w:r>
      <w:r>
        <w:rPr>
          <w:sz w:val="20"/>
          <w:szCs w:val="20"/>
        </w:rPr>
        <w:t>M</w:t>
      </w:r>
      <w:r w:rsidRPr="00431C9A">
        <w:rPr>
          <w:sz w:val="20"/>
          <w:szCs w:val="20"/>
        </w:rPr>
        <w:t xml:space="preserve">anufacturing </w:t>
      </w:r>
      <w:r>
        <w:rPr>
          <w:sz w:val="20"/>
          <w:szCs w:val="20"/>
        </w:rPr>
        <w:t>E</w:t>
      </w:r>
      <w:r w:rsidRPr="00431C9A">
        <w:rPr>
          <w:sz w:val="20"/>
          <w:szCs w:val="20"/>
        </w:rPr>
        <w:t xml:space="preserve">nterprise </w:t>
      </w:r>
      <w:r>
        <w:rPr>
          <w:sz w:val="20"/>
          <w:szCs w:val="20"/>
        </w:rPr>
        <w:t>P</w:t>
      </w:r>
      <w:r w:rsidRPr="00431C9A">
        <w:rPr>
          <w:sz w:val="20"/>
          <w:szCs w:val="20"/>
        </w:rPr>
        <w:t>erformance in Ethiopia,</w:t>
      </w:r>
      <w:r>
        <w:rPr>
          <w:sz w:val="20"/>
          <w:szCs w:val="20"/>
        </w:rPr>
        <w:t>”</w:t>
      </w:r>
      <w:r w:rsidRPr="00431C9A">
        <w:rPr>
          <w:sz w:val="20"/>
          <w:szCs w:val="20"/>
        </w:rPr>
        <w:t xml:space="preserve"> </w:t>
      </w:r>
      <w:r w:rsidRPr="00431C9A">
        <w:rPr>
          <w:i/>
          <w:iCs/>
          <w:sz w:val="20"/>
          <w:szCs w:val="20"/>
        </w:rPr>
        <w:t>World Development</w:t>
      </w:r>
      <w:r>
        <w:rPr>
          <w:i/>
          <w:iCs/>
          <w:sz w:val="20"/>
          <w:szCs w:val="20"/>
        </w:rPr>
        <w:t>,</w:t>
      </w:r>
      <w:r w:rsidRPr="00431C9A">
        <w:rPr>
          <w:i/>
          <w:iCs/>
          <w:sz w:val="20"/>
          <w:szCs w:val="20"/>
        </w:rPr>
        <w:t xml:space="preserve"> </w:t>
      </w:r>
      <w:r w:rsidRPr="00431C9A">
        <w:rPr>
          <w:iCs/>
          <w:sz w:val="20"/>
          <w:szCs w:val="20"/>
        </w:rPr>
        <w:t>38</w:t>
      </w:r>
      <w:r w:rsidRPr="00431C9A">
        <w:rPr>
          <w:sz w:val="20"/>
          <w:szCs w:val="20"/>
        </w:rPr>
        <w:t>, 1278</w:t>
      </w:r>
      <w:r>
        <w:rPr>
          <w:rFonts w:ascii="Calibri" w:hAnsi="Calibri"/>
          <w:sz w:val="20"/>
          <w:szCs w:val="20"/>
        </w:rPr>
        <w:t>‒</w:t>
      </w:r>
      <w:r w:rsidRPr="00431C9A">
        <w:rPr>
          <w:sz w:val="20"/>
          <w:szCs w:val="20"/>
        </w:rPr>
        <w:t xml:space="preserve">1296; </w:t>
      </w:r>
      <w:r>
        <w:rPr>
          <w:sz w:val="20"/>
          <w:szCs w:val="20"/>
        </w:rPr>
        <w:t xml:space="preserve">L. </w:t>
      </w:r>
      <w:r w:rsidRPr="00431C9A">
        <w:rPr>
          <w:sz w:val="20"/>
          <w:szCs w:val="20"/>
        </w:rPr>
        <w:t>Fox</w:t>
      </w:r>
      <w:r>
        <w:rPr>
          <w:sz w:val="20"/>
          <w:szCs w:val="20"/>
        </w:rPr>
        <w:t xml:space="preserve"> and T. P. </w:t>
      </w:r>
      <w:r w:rsidRPr="00431C9A">
        <w:rPr>
          <w:sz w:val="20"/>
          <w:szCs w:val="20"/>
        </w:rPr>
        <w:t xml:space="preserve">Sohnesen, </w:t>
      </w:r>
      <w:r>
        <w:rPr>
          <w:sz w:val="20"/>
          <w:szCs w:val="20"/>
        </w:rPr>
        <w:t>“</w:t>
      </w:r>
      <w:r w:rsidRPr="00431C9A">
        <w:rPr>
          <w:sz w:val="20"/>
          <w:szCs w:val="20"/>
        </w:rPr>
        <w:t xml:space="preserve">Household </w:t>
      </w:r>
      <w:r>
        <w:rPr>
          <w:sz w:val="20"/>
          <w:szCs w:val="20"/>
        </w:rPr>
        <w:t>E</w:t>
      </w:r>
      <w:r w:rsidRPr="00431C9A">
        <w:rPr>
          <w:sz w:val="20"/>
          <w:szCs w:val="20"/>
        </w:rPr>
        <w:t xml:space="preserve">nterprises in Sub-Saharan Africa: Why </w:t>
      </w:r>
      <w:r>
        <w:rPr>
          <w:sz w:val="20"/>
          <w:szCs w:val="20"/>
        </w:rPr>
        <w:t>T</w:t>
      </w:r>
      <w:r w:rsidRPr="00431C9A">
        <w:rPr>
          <w:sz w:val="20"/>
          <w:szCs w:val="20"/>
        </w:rPr>
        <w:t xml:space="preserve">hey </w:t>
      </w:r>
      <w:r>
        <w:rPr>
          <w:sz w:val="20"/>
          <w:szCs w:val="20"/>
        </w:rPr>
        <w:t>M</w:t>
      </w:r>
      <w:r w:rsidRPr="00431C9A">
        <w:rPr>
          <w:sz w:val="20"/>
          <w:szCs w:val="20"/>
        </w:rPr>
        <w:t xml:space="preserve">atter for </w:t>
      </w:r>
      <w:r>
        <w:rPr>
          <w:sz w:val="20"/>
          <w:szCs w:val="20"/>
        </w:rPr>
        <w:t>G</w:t>
      </w:r>
      <w:r w:rsidRPr="00431C9A">
        <w:rPr>
          <w:sz w:val="20"/>
          <w:szCs w:val="20"/>
        </w:rPr>
        <w:t xml:space="preserve">rowth, </w:t>
      </w:r>
      <w:r>
        <w:rPr>
          <w:sz w:val="20"/>
          <w:szCs w:val="20"/>
        </w:rPr>
        <w:t>J</w:t>
      </w:r>
      <w:r w:rsidRPr="00431C9A">
        <w:rPr>
          <w:sz w:val="20"/>
          <w:szCs w:val="20"/>
        </w:rPr>
        <w:t xml:space="preserve">obs, and </w:t>
      </w:r>
      <w:r>
        <w:rPr>
          <w:sz w:val="20"/>
          <w:szCs w:val="20"/>
        </w:rPr>
        <w:t>L</w:t>
      </w:r>
      <w:r w:rsidRPr="00431C9A">
        <w:rPr>
          <w:sz w:val="20"/>
          <w:szCs w:val="20"/>
        </w:rPr>
        <w:t>ivelihoods,</w:t>
      </w:r>
      <w:r>
        <w:rPr>
          <w:sz w:val="20"/>
          <w:szCs w:val="20"/>
        </w:rPr>
        <w:t>”</w:t>
      </w:r>
      <w:r w:rsidRPr="00431C9A">
        <w:rPr>
          <w:sz w:val="20"/>
          <w:szCs w:val="20"/>
        </w:rPr>
        <w:t xml:space="preserve"> </w:t>
      </w:r>
      <w:r w:rsidRPr="00431C9A">
        <w:rPr>
          <w:i/>
          <w:iCs/>
          <w:sz w:val="20"/>
          <w:szCs w:val="20"/>
        </w:rPr>
        <w:t>World Bank Policy Research Working Paper</w:t>
      </w:r>
      <w:r>
        <w:rPr>
          <w:i/>
          <w:iCs/>
          <w:sz w:val="20"/>
          <w:szCs w:val="20"/>
        </w:rPr>
        <w:t xml:space="preserve">, </w:t>
      </w:r>
      <w:r w:rsidRPr="008C70C4">
        <w:rPr>
          <w:iCs/>
          <w:sz w:val="20"/>
          <w:szCs w:val="20"/>
        </w:rPr>
        <w:t>(2012);</w:t>
      </w:r>
      <w:r w:rsidRPr="00431C9A">
        <w:rPr>
          <w:sz w:val="20"/>
          <w:szCs w:val="20"/>
        </w:rPr>
        <w:t xml:space="preserve"> </w:t>
      </w:r>
      <w:r>
        <w:rPr>
          <w:sz w:val="20"/>
          <w:szCs w:val="20"/>
        </w:rPr>
        <w:t xml:space="preserve">L. </w:t>
      </w:r>
      <w:r w:rsidRPr="00431C9A">
        <w:rPr>
          <w:sz w:val="20"/>
          <w:szCs w:val="20"/>
        </w:rPr>
        <w:t>Fox</w:t>
      </w:r>
      <w:r>
        <w:rPr>
          <w:sz w:val="20"/>
          <w:szCs w:val="20"/>
        </w:rPr>
        <w:t xml:space="preserve"> and</w:t>
      </w:r>
      <w:r w:rsidRPr="00431C9A">
        <w:rPr>
          <w:sz w:val="20"/>
          <w:szCs w:val="20"/>
        </w:rPr>
        <w:t xml:space="preserve"> </w:t>
      </w:r>
      <w:r>
        <w:rPr>
          <w:sz w:val="20"/>
          <w:szCs w:val="20"/>
        </w:rPr>
        <w:t xml:space="preserve">T. P. </w:t>
      </w:r>
      <w:r w:rsidRPr="00431C9A">
        <w:rPr>
          <w:sz w:val="20"/>
          <w:szCs w:val="20"/>
        </w:rPr>
        <w:t xml:space="preserve">Sohnesen, </w:t>
      </w:r>
      <w:r>
        <w:rPr>
          <w:sz w:val="20"/>
          <w:szCs w:val="20"/>
        </w:rPr>
        <w:t>“</w:t>
      </w:r>
      <w:r w:rsidRPr="00431C9A">
        <w:rPr>
          <w:sz w:val="20"/>
          <w:szCs w:val="20"/>
        </w:rPr>
        <w:t xml:space="preserve">Household </w:t>
      </w:r>
      <w:r>
        <w:rPr>
          <w:sz w:val="20"/>
          <w:szCs w:val="20"/>
        </w:rPr>
        <w:t>E</w:t>
      </w:r>
      <w:r w:rsidRPr="00431C9A">
        <w:rPr>
          <w:sz w:val="20"/>
          <w:szCs w:val="20"/>
        </w:rPr>
        <w:t xml:space="preserve">nterprises in Mozambique: </w:t>
      </w:r>
      <w:r>
        <w:rPr>
          <w:sz w:val="20"/>
          <w:szCs w:val="20"/>
        </w:rPr>
        <w:t>K</w:t>
      </w:r>
      <w:r w:rsidRPr="00431C9A">
        <w:rPr>
          <w:sz w:val="20"/>
          <w:szCs w:val="20"/>
        </w:rPr>
        <w:t xml:space="preserve">ey to </w:t>
      </w:r>
      <w:r>
        <w:rPr>
          <w:sz w:val="20"/>
          <w:szCs w:val="20"/>
        </w:rPr>
        <w:t>P</w:t>
      </w:r>
      <w:r w:rsidRPr="00431C9A">
        <w:rPr>
          <w:sz w:val="20"/>
          <w:szCs w:val="20"/>
        </w:rPr>
        <w:t xml:space="preserve">overty </w:t>
      </w:r>
      <w:r>
        <w:rPr>
          <w:sz w:val="20"/>
          <w:szCs w:val="20"/>
        </w:rPr>
        <w:t>R</w:t>
      </w:r>
      <w:r w:rsidRPr="00431C9A">
        <w:rPr>
          <w:sz w:val="20"/>
          <w:szCs w:val="20"/>
        </w:rPr>
        <w:t xml:space="preserve">eduction but </w:t>
      </w:r>
      <w:r>
        <w:rPr>
          <w:sz w:val="20"/>
          <w:szCs w:val="20"/>
        </w:rPr>
        <w:t>N</w:t>
      </w:r>
      <w:r w:rsidRPr="00431C9A">
        <w:rPr>
          <w:sz w:val="20"/>
          <w:szCs w:val="20"/>
        </w:rPr>
        <w:t xml:space="preserve">ot on the </w:t>
      </w:r>
      <w:r>
        <w:rPr>
          <w:sz w:val="20"/>
          <w:szCs w:val="20"/>
        </w:rPr>
        <w:t>D</w:t>
      </w:r>
      <w:r w:rsidRPr="00431C9A">
        <w:rPr>
          <w:sz w:val="20"/>
          <w:szCs w:val="20"/>
        </w:rPr>
        <w:t xml:space="preserve">evelopment </w:t>
      </w:r>
      <w:r>
        <w:rPr>
          <w:sz w:val="20"/>
          <w:szCs w:val="20"/>
        </w:rPr>
        <w:t>A</w:t>
      </w:r>
      <w:r w:rsidRPr="00431C9A">
        <w:rPr>
          <w:sz w:val="20"/>
          <w:szCs w:val="20"/>
        </w:rPr>
        <w:t>genda?</w:t>
      </w:r>
      <w:r>
        <w:rPr>
          <w:sz w:val="20"/>
          <w:szCs w:val="20"/>
        </w:rPr>
        <w:t xml:space="preserve">” </w:t>
      </w:r>
      <w:r w:rsidRPr="00431C9A">
        <w:rPr>
          <w:i/>
          <w:iCs/>
          <w:sz w:val="20"/>
          <w:szCs w:val="20"/>
        </w:rPr>
        <w:t>World Bank Policy Research Working Paper (6570)</w:t>
      </w:r>
      <w:r>
        <w:rPr>
          <w:i/>
          <w:iCs/>
          <w:sz w:val="20"/>
          <w:szCs w:val="20"/>
        </w:rPr>
        <w:t xml:space="preserve"> </w:t>
      </w:r>
      <w:r w:rsidRPr="008C70C4">
        <w:rPr>
          <w:iCs/>
          <w:sz w:val="20"/>
          <w:szCs w:val="20"/>
        </w:rPr>
        <w:t>(2013);</w:t>
      </w:r>
      <w:r w:rsidRPr="00431C9A">
        <w:rPr>
          <w:sz w:val="20"/>
          <w:szCs w:val="20"/>
        </w:rPr>
        <w:t xml:space="preserve"> </w:t>
      </w:r>
      <w:r>
        <w:rPr>
          <w:sz w:val="20"/>
          <w:szCs w:val="20"/>
        </w:rPr>
        <w:t xml:space="preserve">P. </w:t>
      </w:r>
      <w:r w:rsidRPr="00431C9A">
        <w:rPr>
          <w:sz w:val="20"/>
          <w:szCs w:val="20"/>
        </w:rPr>
        <w:t xml:space="preserve">Nagler and </w:t>
      </w:r>
      <w:r>
        <w:rPr>
          <w:sz w:val="20"/>
          <w:szCs w:val="20"/>
        </w:rPr>
        <w:t xml:space="preserve">W. </w:t>
      </w:r>
      <w:r w:rsidRPr="00431C9A">
        <w:rPr>
          <w:sz w:val="20"/>
          <w:szCs w:val="20"/>
        </w:rPr>
        <w:t>Naudé</w:t>
      </w:r>
      <w:r>
        <w:rPr>
          <w:sz w:val="20"/>
          <w:szCs w:val="20"/>
        </w:rPr>
        <w:t>, “</w:t>
      </w:r>
      <w:r w:rsidRPr="00431C9A">
        <w:rPr>
          <w:sz w:val="20"/>
          <w:szCs w:val="20"/>
        </w:rPr>
        <w:t>Non-</w:t>
      </w:r>
      <w:r>
        <w:rPr>
          <w:sz w:val="20"/>
          <w:szCs w:val="20"/>
        </w:rPr>
        <w:t>F</w:t>
      </w:r>
      <w:r w:rsidRPr="00431C9A">
        <w:rPr>
          <w:sz w:val="20"/>
          <w:szCs w:val="20"/>
        </w:rPr>
        <w:t xml:space="preserve">arm </w:t>
      </w:r>
      <w:r>
        <w:rPr>
          <w:sz w:val="20"/>
          <w:szCs w:val="20"/>
        </w:rPr>
        <w:t>E</w:t>
      </w:r>
      <w:r w:rsidRPr="00431C9A">
        <w:rPr>
          <w:sz w:val="20"/>
          <w:szCs w:val="20"/>
        </w:rPr>
        <w:t xml:space="preserve">ntrepreneurship in </w:t>
      </w:r>
      <w:r>
        <w:rPr>
          <w:sz w:val="20"/>
          <w:szCs w:val="20"/>
        </w:rPr>
        <w:t>R</w:t>
      </w:r>
      <w:r w:rsidRPr="00431C9A">
        <w:rPr>
          <w:sz w:val="20"/>
          <w:szCs w:val="20"/>
        </w:rPr>
        <w:t xml:space="preserve">ural Africa: </w:t>
      </w:r>
      <w:r>
        <w:rPr>
          <w:sz w:val="20"/>
          <w:szCs w:val="20"/>
        </w:rPr>
        <w:t>N</w:t>
      </w:r>
      <w:r w:rsidRPr="00431C9A">
        <w:rPr>
          <w:sz w:val="20"/>
          <w:szCs w:val="20"/>
        </w:rPr>
        <w:t xml:space="preserve">ew </w:t>
      </w:r>
      <w:r>
        <w:rPr>
          <w:sz w:val="20"/>
          <w:szCs w:val="20"/>
        </w:rPr>
        <w:t>E</w:t>
      </w:r>
      <w:r w:rsidRPr="00431C9A">
        <w:rPr>
          <w:sz w:val="20"/>
          <w:szCs w:val="20"/>
        </w:rPr>
        <w:t xml:space="preserve">mpirical </w:t>
      </w:r>
      <w:r>
        <w:rPr>
          <w:sz w:val="20"/>
          <w:szCs w:val="20"/>
        </w:rPr>
        <w:t>E</w:t>
      </w:r>
      <w:r w:rsidRPr="00431C9A">
        <w:rPr>
          <w:sz w:val="20"/>
          <w:szCs w:val="20"/>
        </w:rPr>
        <w:t>vidence,</w:t>
      </w:r>
      <w:r>
        <w:rPr>
          <w:sz w:val="20"/>
          <w:szCs w:val="20"/>
        </w:rPr>
        <w:t>”</w:t>
      </w:r>
      <w:r w:rsidRPr="00431C9A">
        <w:rPr>
          <w:sz w:val="20"/>
          <w:szCs w:val="20"/>
        </w:rPr>
        <w:t xml:space="preserve"> </w:t>
      </w:r>
      <w:r w:rsidRPr="00431C9A">
        <w:rPr>
          <w:i/>
          <w:iCs/>
          <w:sz w:val="20"/>
          <w:szCs w:val="20"/>
        </w:rPr>
        <w:t xml:space="preserve">World Bank Policy Research Working Paper </w:t>
      </w:r>
      <w:r w:rsidRPr="00431C9A">
        <w:rPr>
          <w:iCs/>
          <w:sz w:val="20"/>
          <w:szCs w:val="20"/>
        </w:rPr>
        <w:t>7066</w:t>
      </w:r>
      <w:r>
        <w:rPr>
          <w:iCs/>
          <w:sz w:val="20"/>
          <w:szCs w:val="20"/>
        </w:rPr>
        <w:t>, (2014)</w:t>
      </w:r>
      <w:r w:rsidRPr="00431C9A">
        <w:rPr>
          <w:iCs/>
          <w:sz w:val="20"/>
          <w:szCs w:val="20"/>
        </w:rPr>
        <w:t xml:space="preserve">. </w:t>
      </w:r>
      <w:r w:rsidRPr="00431C9A">
        <w:rPr>
          <w:sz w:val="20"/>
          <w:szCs w:val="20"/>
        </w:rPr>
        <w:t>Most results suggest that rural NFEs operated by females are less productive than urban NFEs run by males.</w:t>
      </w:r>
    </w:p>
    <w:p w14:paraId="2E7D85C0" w14:textId="77777777" w:rsidR="00A02DAA" w:rsidRPr="00431C9A" w:rsidRDefault="00A02DAA" w:rsidP="00C759C4">
      <w:pPr>
        <w:pStyle w:val="ParagraphNumbering"/>
        <w:numPr>
          <w:ilvl w:val="0"/>
          <w:numId w:val="0"/>
        </w:numPr>
        <w:spacing w:after="60"/>
        <w:rPr>
          <w:sz w:val="20"/>
          <w:szCs w:val="20"/>
        </w:rPr>
      </w:pPr>
    </w:p>
  </w:footnote>
  <w:footnote w:id="23">
    <w:p w14:paraId="2080EDAB" w14:textId="6EE01A0D"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A few examples: Senegal (31 percent), Cameroon (25 percent), Tanzania (16 percent), according to </w:t>
      </w:r>
      <w:r>
        <w:rPr>
          <w:rFonts w:ascii="Times New Roman" w:hAnsi="Times New Roman"/>
          <w:sz w:val="20"/>
        </w:rPr>
        <w:t xml:space="preserve">L. </w:t>
      </w:r>
      <w:r w:rsidRPr="00431C9A">
        <w:rPr>
          <w:rFonts w:ascii="Times New Roman" w:hAnsi="Times New Roman"/>
          <w:sz w:val="20"/>
        </w:rPr>
        <w:t xml:space="preserve">Fox and </w:t>
      </w:r>
      <w:r>
        <w:rPr>
          <w:rFonts w:ascii="Times New Roman" w:hAnsi="Times New Roman"/>
          <w:sz w:val="20"/>
        </w:rPr>
        <w:t xml:space="preserve">T. P. </w:t>
      </w:r>
      <w:r w:rsidRPr="00431C9A">
        <w:rPr>
          <w:rFonts w:ascii="Times New Roman" w:hAnsi="Times New Roman"/>
          <w:sz w:val="20"/>
        </w:rPr>
        <w:t>Sohnesen</w:t>
      </w:r>
      <w:r>
        <w:rPr>
          <w:rFonts w:ascii="Times New Roman" w:hAnsi="Times New Roman"/>
          <w:sz w:val="20"/>
        </w:rPr>
        <w:t>, “</w:t>
      </w:r>
      <w:r w:rsidRPr="00431C9A">
        <w:rPr>
          <w:rFonts w:ascii="Times New Roman" w:hAnsi="Times New Roman"/>
          <w:sz w:val="20"/>
        </w:rPr>
        <w:t xml:space="preserve">Household Enterprises in Sub-Saharan Africa, Why </w:t>
      </w:r>
      <w:r>
        <w:rPr>
          <w:rFonts w:ascii="Times New Roman" w:hAnsi="Times New Roman"/>
          <w:sz w:val="20"/>
        </w:rPr>
        <w:t>T</w:t>
      </w:r>
      <w:r w:rsidRPr="00431C9A">
        <w:rPr>
          <w:rFonts w:ascii="Times New Roman" w:hAnsi="Times New Roman"/>
          <w:sz w:val="20"/>
        </w:rPr>
        <w:t>hey matter for Growth, Jobs and Livelihoods,</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iCs/>
          <w:sz w:val="20"/>
        </w:rPr>
        <w:t>World Bank Policy Research Working Paper (6184)</w:t>
      </w:r>
      <w:r>
        <w:rPr>
          <w:rFonts w:ascii="Times New Roman" w:hAnsi="Times New Roman"/>
          <w:i/>
          <w:iCs/>
          <w:sz w:val="20"/>
        </w:rPr>
        <w:t xml:space="preserve">, </w:t>
      </w:r>
      <w:r w:rsidRPr="00553524">
        <w:rPr>
          <w:rFonts w:ascii="Times New Roman" w:hAnsi="Times New Roman"/>
          <w:iCs/>
          <w:sz w:val="20"/>
        </w:rPr>
        <w:t>(2012).</w:t>
      </w:r>
    </w:p>
  </w:footnote>
  <w:footnote w:id="24">
    <w:p w14:paraId="0D2A8793" w14:textId="1D6D7977"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There are only small variations across zones. The lowest exit rate was observed in the </w:t>
      </w:r>
      <w:r>
        <w:rPr>
          <w:rFonts w:ascii="Times New Roman" w:hAnsi="Times New Roman"/>
          <w:sz w:val="20"/>
        </w:rPr>
        <w:t>North East</w:t>
      </w:r>
      <w:r w:rsidRPr="00431C9A">
        <w:rPr>
          <w:rFonts w:ascii="Times New Roman" w:hAnsi="Times New Roman"/>
          <w:sz w:val="20"/>
        </w:rPr>
        <w:t xml:space="preserve"> (13 percent annually), where poverty rates are among the highest; while the highest exit rate was in the </w:t>
      </w:r>
      <w:r>
        <w:rPr>
          <w:rFonts w:ascii="Times New Roman" w:hAnsi="Times New Roman"/>
          <w:sz w:val="20"/>
        </w:rPr>
        <w:t>South West</w:t>
      </w:r>
      <w:r w:rsidRPr="00431C9A">
        <w:rPr>
          <w:rFonts w:ascii="Times New Roman" w:hAnsi="Times New Roman"/>
          <w:sz w:val="20"/>
        </w:rPr>
        <w:t xml:space="preserve"> (17 percent annually), where the private sector is most developed. This result may suggest that some people may transition from self-employment to better jobs, in particular in the </w:t>
      </w:r>
      <w:r>
        <w:rPr>
          <w:rFonts w:ascii="Times New Roman" w:hAnsi="Times New Roman"/>
          <w:sz w:val="20"/>
        </w:rPr>
        <w:t>South West zone</w:t>
      </w:r>
      <w:r w:rsidRPr="00431C9A">
        <w:rPr>
          <w:rFonts w:ascii="Times New Roman" w:hAnsi="Times New Roman"/>
          <w:sz w:val="20"/>
        </w:rPr>
        <w:t>, where opportunities are greater. Self-employment may be an occupation while waiting for better opportunities.</w:t>
      </w:r>
    </w:p>
  </w:footnote>
  <w:footnote w:id="25">
    <w:p w14:paraId="339FCCB3" w14:textId="7EE4D91A"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Fox and Sohnesen</w:t>
      </w:r>
      <w:r>
        <w:rPr>
          <w:rFonts w:ascii="Times New Roman" w:hAnsi="Times New Roman"/>
          <w:sz w:val="20"/>
        </w:rPr>
        <w:t>,</w:t>
      </w:r>
      <w:r w:rsidRPr="00431C9A">
        <w:rPr>
          <w:rFonts w:ascii="Times New Roman" w:hAnsi="Times New Roman"/>
          <w:sz w:val="20"/>
        </w:rPr>
        <w:t xml:space="preserve"> (2012), ibid. This paper looks at the NFE sector from three different facets: </w:t>
      </w:r>
      <w:r>
        <w:rPr>
          <w:rFonts w:ascii="Times New Roman" w:hAnsi="Times New Roman"/>
          <w:sz w:val="20"/>
        </w:rPr>
        <w:t>“</w:t>
      </w:r>
      <w:r w:rsidRPr="00431C9A">
        <w:rPr>
          <w:rFonts w:ascii="Times New Roman" w:hAnsi="Times New Roman"/>
          <w:sz w:val="20"/>
        </w:rPr>
        <w:t>(a) a labor market lens recognizing household enterprises (HEs) as a major generator of new jobs; (b) an enterprise lens, viewing HEs as a profit-making activity started by a member of the household but recognizing that the birth, survival and growth of HEs might be just as dependent on household risks as enterprise risk; and (c) a livelihood lens, showing what income from HEs means to the livelihood portfolio of a household trying to maximize welfare and escape or avoid poverty.</w:t>
      </w:r>
      <w:r>
        <w:rPr>
          <w:rFonts w:ascii="Times New Roman" w:hAnsi="Times New Roman"/>
          <w:sz w:val="20"/>
        </w:rPr>
        <w:t>”</w:t>
      </w:r>
    </w:p>
  </w:footnote>
  <w:footnote w:id="26">
    <w:p w14:paraId="1FF1A199" w14:textId="1F6B7D1A" w:rsidR="00A02DAA" w:rsidRPr="00431C9A" w:rsidRDefault="00A02DAA" w:rsidP="006C76E3">
      <w:pPr>
        <w:spacing w:after="60"/>
        <w:rPr>
          <w:rFonts w:cs="Times New Roman"/>
          <w:sz w:val="20"/>
          <w:szCs w:val="20"/>
        </w:rPr>
      </w:pPr>
      <w:r w:rsidRPr="00431C9A">
        <w:rPr>
          <w:rStyle w:val="FootnoteReference"/>
          <w:rFonts w:cs="Times New Roman"/>
          <w:sz w:val="20"/>
          <w:szCs w:val="20"/>
        </w:rPr>
        <w:footnoteRef/>
      </w:r>
      <w:r w:rsidRPr="00431C9A">
        <w:rPr>
          <w:rFonts w:cs="Times New Roman"/>
          <w:sz w:val="20"/>
          <w:szCs w:val="20"/>
        </w:rPr>
        <w:t xml:space="preserve"> </w:t>
      </w:r>
      <w:r>
        <w:rPr>
          <w:rFonts w:cs="Times New Roman"/>
          <w:sz w:val="20"/>
          <w:szCs w:val="20"/>
        </w:rPr>
        <w:t xml:space="preserve">Marcel </w:t>
      </w:r>
      <w:r w:rsidRPr="00431C9A">
        <w:rPr>
          <w:rFonts w:cs="Times New Roman"/>
          <w:sz w:val="20"/>
          <w:szCs w:val="20"/>
          <w:shd w:val="clear" w:color="auto" w:fill="FFFFFF"/>
        </w:rPr>
        <w:t xml:space="preserve">Fafchamps and Christopher Woodruff, </w:t>
      </w:r>
      <w:r>
        <w:rPr>
          <w:rFonts w:cs="Times New Roman"/>
          <w:sz w:val="20"/>
          <w:szCs w:val="20"/>
          <w:shd w:val="clear" w:color="auto" w:fill="FFFFFF"/>
        </w:rPr>
        <w:t>“</w:t>
      </w:r>
      <w:r w:rsidRPr="00431C9A">
        <w:rPr>
          <w:rFonts w:cs="Times New Roman"/>
          <w:sz w:val="20"/>
          <w:szCs w:val="20"/>
          <w:shd w:val="clear" w:color="auto" w:fill="FFFFFF"/>
        </w:rPr>
        <w:t xml:space="preserve">Identifying Gazelles: Expert </w:t>
      </w:r>
      <w:r>
        <w:rPr>
          <w:rFonts w:cs="Times New Roman"/>
          <w:sz w:val="20"/>
          <w:szCs w:val="20"/>
          <w:shd w:val="clear" w:color="auto" w:fill="FFFFFF"/>
        </w:rPr>
        <w:t>P</w:t>
      </w:r>
      <w:r w:rsidRPr="00431C9A">
        <w:rPr>
          <w:rFonts w:cs="Times New Roman"/>
          <w:sz w:val="20"/>
          <w:szCs w:val="20"/>
          <w:shd w:val="clear" w:color="auto" w:fill="FFFFFF"/>
        </w:rPr>
        <w:t xml:space="preserve">anels vs. </w:t>
      </w:r>
      <w:r>
        <w:rPr>
          <w:rFonts w:cs="Times New Roman"/>
          <w:sz w:val="20"/>
          <w:szCs w:val="20"/>
          <w:shd w:val="clear" w:color="auto" w:fill="FFFFFF"/>
        </w:rPr>
        <w:t>S</w:t>
      </w:r>
      <w:r w:rsidRPr="00431C9A">
        <w:rPr>
          <w:rFonts w:cs="Times New Roman"/>
          <w:sz w:val="20"/>
          <w:szCs w:val="20"/>
          <w:shd w:val="clear" w:color="auto" w:fill="FFFFFF"/>
        </w:rPr>
        <w:t>urveys as a Means to Identify Firms with Rapid Growth Potential</w:t>
      </w:r>
      <w:r>
        <w:rPr>
          <w:rFonts w:cs="Times New Roman"/>
          <w:sz w:val="20"/>
          <w:szCs w:val="20"/>
          <w:shd w:val="clear" w:color="auto" w:fill="FFFFFF"/>
        </w:rPr>
        <w:t>,” (2014)</w:t>
      </w:r>
      <w:r w:rsidRPr="00431C9A">
        <w:rPr>
          <w:rFonts w:cs="Times New Roman"/>
          <w:sz w:val="20"/>
          <w:szCs w:val="20"/>
          <w:shd w:val="clear" w:color="auto" w:fill="FFFFFF"/>
        </w:rPr>
        <w:t xml:space="preserve">; </w:t>
      </w:r>
      <w:r>
        <w:rPr>
          <w:rFonts w:cs="Times New Roman"/>
          <w:sz w:val="20"/>
          <w:szCs w:val="20"/>
          <w:shd w:val="clear" w:color="auto" w:fill="FFFFFF"/>
        </w:rPr>
        <w:t xml:space="preserve">M. </w:t>
      </w:r>
      <w:r w:rsidRPr="00431C9A">
        <w:rPr>
          <w:rFonts w:cs="Times New Roman"/>
          <w:sz w:val="20"/>
          <w:szCs w:val="20"/>
          <w:lang w:val="en"/>
        </w:rPr>
        <w:t>Glaub</w:t>
      </w:r>
      <w:r>
        <w:rPr>
          <w:rFonts w:cs="Times New Roman"/>
          <w:sz w:val="20"/>
          <w:szCs w:val="20"/>
          <w:lang w:val="en"/>
        </w:rPr>
        <w:t>, et al.</w:t>
      </w:r>
      <w:r w:rsidRPr="00431C9A">
        <w:rPr>
          <w:rFonts w:cs="Times New Roman"/>
          <w:sz w:val="20"/>
          <w:szCs w:val="20"/>
          <w:lang w:val="en"/>
        </w:rPr>
        <w:t xml:space="preserve"> (2014 in press), </w:t>
      </w:r>
      <w:r>
        <w:rPr>
          <w:rFonts w:cs="Times New Roman"/>
          <w:sz w:val="20"/>
          <w:szCs w:val="20"/>
          <w:lang w:val="en"/>
        </w:rPr>
        <w:t>“</w:t>
      </w:r>
      <w:r w:rsidRPr="00431C9A">
        <w:rPr>
          <w:rFonts w:cs="Times New Roman"/>
          <w:sz w:val="20"/>
          <w:szCs w:val="20"/>
          <w:lang w:val="en"/>
        </w:rPr>
        <w:t xml:space="preserve">Increasing </w:t>
      </w:r>
      <w:r>
        <w:rPr>
          <w:rFonts w:cs="Times New Roman"/>
          <w:sz w:val="20"/>
          <w:szCs w:val="20"/>
          <w:lang w:val="en"/>
        </w:rPr>
        <w:t>P</w:t>
      </w:r>
      <w:r w:rsidRPr="00431C9A">
        <w:rPr>
          <w:rFonts w:cs="Times New Roman"/>
          <w:sz w:val="20"/>
          <w:szCs w:val="20"/>
          <w:lang w:val="en"/>
        </w:rPr>
        <w:t xml:space="preserve">ersonal </w:t>
      </w:r>
      <w:r>
        <w:rPr>
          <w:rFonts w:cs="Times New Roman"/>
          <w:sz w:val="20"/>
          <w:szCs w:val="20"/>
          <w:lang w:val="en"/>
        </w:rPr>
        <w:t>I</w:t>
      </w:r>
      <w:r w:rsidRPr="00431C9A">
        <w:rPr>
          <w:rFonts w:cs="Times New Roman"/>
          <w:sz w:val="20"/>
          <w:szCs w:val="20"/>
          <w:lang w:val="en"/>
        </w:rPr>
        <w:t xml:space="preserve">nitiative in </w:t>
      </w:r>
      <w:r>
        <w:rPr>
          <w:rFonts w:cs="Times New Roman"/>
          <w:sz w:val="20"/>
          <w:szCs w:val="20"/>
          <w:lang w:val="en"/>
        </w:rPr>
        <w:t>S</w:t>
      </w:r>
      <w:r w:rsidRPr="00431C9A">
        <w:rPr>
          <w:rFonts w:cs="Times New Roman"/>
          <w:sz w:val="20"/>
          <w:szCs w:val="20"/>
          <w:lang w:val="en"/>
        </w:rPr>
        <w:t xml:space="preserve">mall </w:t>
      </w:r>
      <w:r>
        <w:rPr>
          <w:rFonts w:cs="Times New Roman"/>
          <w:sz w:val="20"/>
          <w:szCs w:val="20"/>
          <w:lang w:val="en"/>
        </w:rPr>
        <w:t>B</w:t>
      </w:r>
      <w:r w:rsidRPr="00431C9A">
        <w:rPr>
          <w:rFonts w:cs="Times New Roman"/>
          <w:sz w:val="20"/>
          <w:szCs w:val="20"/>
          <w:lang w:val="en"/>
        </w:rPr>
        <w:t xml:space="preserve">usiness </w:t>
      </w:r>
      <w:r>
        <w:rPr>
          <w:rFonts w:cs="Times New Roman"/>
          <w:sz w:val="20"/>
          <w:szCs w:val="20"/>
          <w:lang w:val="en"/>
        </w:rPr>
        <w:t>M</w:t>
      </w:r>
      <w:r w:rsidRPr="00431C9A">
        <w:rPr>
          <w:rFonts w:cs="Times New Roman"/>
          <w:sz w:val="20"/>
          <w:szCs w:val="20"/>
          <w:lang w:val="en"/>
        </w:rPr>
        <w:t>anagers/</w:t>
      </w:r>
      <w:r>
        <w:rPr>
          <w:rFonts w:cs="Times New Roman"/>
          <w:sz w:val="20"/>
          <w:szCs w:val="20"/>
          <w:lang w:val="en"/>
        </w:rPr>
        <w:t>O</w:t>
      </w:r>
      <w:r w:rsidRPr="00431C9A">
        <w:rPr>
          <w:rFonts w:cs="Times New Roman"/>
          <w:sz w:val="20"/>
          <w:szCs w:val="20"/>
          <w:lang w:val="en"/>
        </w:rPr>
        <w:t xml:space="preserve">wners </w:t>
      </w:r>
      <w:r>
        <w:rPr>
          <w:rFonts w:cs="Times New Roman"/>
          <w:sz w:val="20"/>
          <w:szCs w:val="20"/>
          <w:lang w:val="en"/>
        </w:rPr>
        <w:t>L</w:t>
      </w:r>
      <w:r w:rsidRPr="00431C9A">
        <w:rPr>
          <w:rFonts w:cs="Times New Roman"/>
          <w:sz w:val="20"/>
          <w:szCs w:val="20"/>
          <w:lang w:val="en"/>
        </w:rPr>
        <w:t xml:space="preserve">eads to </w:t>
      </w:r>
      <w:r>
        <w:rPr>
          <w:rFonts w:cs="Times New Roman"/>
          <w:sz w:val="20"/>
          <w:szCs w:val="20"/>
          <w:lang w:val="en"/>
        </w:rPr>
        <w:t>E</w:t>
      </w:r>
      <w:r w:rsidRPr="00431C9A">
        <w:rPr>
          <w:rFonts w:cs="Times New Roman"/>
          <w:sz w:val="20"/>
          <w:szCs w:val="20"/>
          <w:lang w:val="en"/>
        </w:rPr>
        <w:t xml:space="preserve">ntrepreneurial </w:t>
      </w:r>
      <w:r>
        <w:rPr>
          <w:rFonts w:cs="Times New Roman"/>
          <w:sz w:val="20"/>
          <w:szCs w:val="20"/>
          <w:lang w:val="en"/>
        </w:rPr>
        <w:t>S</w:t>
      </w:r>
      <w:r w:rsidRPr="00431C9A">
        <w:rPr>
          <w:rFonts w:cs="Times New Roman"/>
          <w:sz w:val="20"/>
          <w:szCs w:val="20"/>
          <w:lang w:val="en"/>
        </w:rPr>
        <w:t xml:space="preserve">uccess: A </w:t>
      </w:r>
      <w:r>
        <w:rPr>
          <w:rFonts w:cs="Times New Roman"/>
          <w:sz w:val="20"/>
          <w:szCs w:val="20"/>
          <w:lang w:val="en"/>
        </w:rPr>
        <w:t>T</w:t>
      </w:r>
      <w:r w:rsidRPr="00431C9A">
        <w:rPr>
          <w:rFonts w:cs="Times New Roman"/>
          <w:sz w:val="20"/>
          <w:szCs w:val="20"/>
          <w:lang w:val="en"/>
        </w:rPr>
        <w:t>heory-</w:t>
      </w:r>
      <w:r>
        <w:rPr>
          <w:rFonts w:cs="Times New Roman"/>
          <w:sz w:val="20"/>
          <w:szCs w:val="20"/>
          <w:lang w:val="en"/>
        </w:rPr>
        <w:t>B</w:t>
      </w:r>
      <w:r w:rsidRPr="00431C9A">
        <w:rPr>
          <w:rFonts w:cs="Times New Roman"/>
          <w:sz w:val="20"/>
          <w:szCs w:val="20"/>
          <w:lang w:val="en"/>
        </w:rPr>
        <w:t xml:space="preserve">ased </w:t>
      </w:r>
      <w:r>
        <w:rPr>
          <w:rFonts w:cs="Times New Roman"/>
          <w:sz w:val="20"/>
          <w:szCs w:val="20"/>
          <w:lang w:val="en"/>
        </w:rPr>
        <w:t>C</w:t>
      </w:r>
      <w:r w:rsidRPr="00431C9A">
        <w:rPr>
          <w:rFonts w:cs="Times New Roman"/>
          <w:sz w:val="20"/>
          <w:szCs w:val="20"/>
          <w:lang w:val="en"/>
        </w:rPr>
        <w:t xml:space="preserve">ontrolled </w:t>
      </w:r>
      <w:r>
        <w:rPr>
          <w:rFonts w:cs="Times New Roman"/>
          <w:sz w:val="20"/>
          <w:szCs w:val="20"/>
          <w:lang w:val="en"/>
        </w:rPr>
        <w:t>R</w:t>
      </w:r>
      <w:r w:rsidRPr="00431C9A">
        <w:rPr>
          <w:rFonts w:cs="Times New Roman"/>
          <w:sz w:val="20"/>
          <w:szCs w:val="20"/>
          <w:lang w:val="en"/>
        </w:rPr>
        <w:t xml:space="preserve">andomized </w:t>
      </w:r>
      <w:r>
        <w:rPr>
          <w:rFonts w:cs="Times New Roman"/>
          <w:sz w:val="20"/>
          <w:szCs w:val="20"/>
          <w:lang w:val="en"/>
        </w:rPr>
        <w:t>F</w:t>
      </w:r>
      <w:r w:rsidRPr="00431C9A">
        <w:rPr>
          <w:rFonts w:cs="Times New Roman"/>
          <w:sz w:val="20"/>
          <w:szCs w:val="20"/>
          <w:lang w:val="en"/>
        </w:rPr>
        <w:t xml:space="preserve">ield </w:t>
      </w:r>
      <w:r>
        <w:rPr>
          <w:rFonts w:cs="Times New Roman"/>
          <w:sz w:val="20"/>
          <w:szCs w:val="20"/>
          <w:lang w:val="en"/>
        </w:rPr>
        <w:t>I</w:t>
      </w:r>
      <w:r w:rsidRPr="00431C9A">
        <w:rPr>
          <w:rFonts w:cs="Times New Roman"/>
          <w:sz w:val="20"/>
          <w:szCs w:val="20"/>
          <w:lang w:val="en"/>
        </w:rPr>
        <w:t xml:space="preserve">ntervention for </w:t>
      </w:r>
      <w:r>
        <w:rPr>
          <w:rFonts w:cs="Times New Roman"/>
          <w:sz w:val="20"/>
          <w:szCs w:val="20"/>
          <w:lang w:val="en"/>
        </w:rPr>
        <w:t>Ev</w:t>
      </w:r>
      <w:r w:rsidRPr="00431C9A">
        <w:rPr>
          <w:rFonts w:cs="Times New Roman"/>
          <w:sz w:val="20"/>
          <w:szCs w:val="20"/>
          <w:lang w:val="en"/>
        </w:rPr>
        <w:t xml:space="preserve">idence </w:t>
      </w:r>
      <w:r>
        <w:rPr>
          <w:rFonts w:cs="Times New Roman"/>
          <w:sz w:val="20"/>
          <w:szCs w:val="20"/>
          <w:lang w:val="en"/>
        </w:rPr>
        <w:t>B</w:t>
      </w:r>
      <w:r w:rsidRPr="00431C9A">
        <w:rPr>
          <w:rFonts w:cs="Times New Roman"/>
          <w:sz w:val="20"/>
          <w:szCs w:val="20"/>
          <w:lang w:val="en"/>
        </w:rPr>
        <w:t xml:space="preserve">ased </w:t>
      </w:r>
      <w:r>
        <w:rPr>
          <w:rFonts w:cs="Times New Roman"/>
          <w:sz w:val="20"/>
          <w:szCs w:val="20"/>
          <w:lang w:val="en"/>
        </w:rPr>
        <w:t>M</w:t>
      </w:r>
      <w:r w:rsidRPr="00431C9A">
        <w:rPr>
          <w:rFonts w:cs="Times New Roman"/>
          <w:sz w:val="20"/>
          <w:szCs w:val="20"/>
          <w:lang w:val="en"/>
        </w:rPr>
        <w:t>anagement</w:t>
      </w:r>
      <w:r>
        <w:rPr>
          <w:rFonts w:cs="Times New Roman"/>
          <w:sz w:val="20"/>
          <w:szCs w:val="20"/>
          <w:lang w:val="en"/>
        </w:rPr>
        <w:t xml:space="preserve">,” </w:t>
      </w:r>
      <w:r w:rsidRPr="00B06A6C">
        <w:rPr>
          <w:rFonts w:cs="Times New Roman"/>
          <w:i/>
          <w:sz w:val="20"/>
          <w:szCs w:val="20"/>
          <w:lang w:val="en"/>
        </w:rPr>
        <w:t>Academy of Management Learning &amp; Education</w:t>
      </w:r>
      <w:r w:rsidRPr="00431C9A">
        <w:rPr>
          <w:rFonts w:cs="Times New Roman"/>
          <w:sz w:val="20"/>
          <w:szCs w:val="20"/>
          <w:lang w:val="en"/>
        </w:rPr>
        <w:t xml:space="preserve">; </w:t>
      </w:r>
      <w:r>
        <w:rPr>
          <w:rFonts w:cs="Times New Roman"/>
          <w:sz w:val="20"/>
          <w:szCs w:val="20"/>
          <w:lang w:val="en"/>
        </w:rPr>
        <w:t xml:space="preserve">Suresh </w:t>
      </w:r>
      <w:r w:rsidRPr="00431C9A">
        <w:rPr>
          <w:rFonts w:cs="Times New Roman"/>
          <w:sz w:val="20"/>
          <w:szCs w:val="20"/>
          <w:shd w:val="clear" w:color="auto" w:fill="FFFFFF"/>
        </w:rPr>
        <w:t>De Mel, David McKenzie and Christopher Woodruff</w:t>
      </w:r>
      <w:r>
        <w:rPr>
          <w:rFonts w:cs="Times New Roman"/>
          <w:sz w:val="20"/>
          <w:szCs w:val="20"/>
          <w:shd w:val="clear" w:color="auto" w:fill="FFFFFF"/>
        </w:rPr>
        <w:t>,</w:t>
      </w:r>
      <w:r w:rsidRPr="00431C9A">
        <w:rPr>
          <w:rFonts w:cs="Times New Roman"/>
          <w:sz w:val="20"/>
          <w:szCs w:val="20"/>
          <w:shd w:val="clear" w:color="auto" w:fill="FFFFFF"/>
        </w:rPr>
        <w:t xml:space="preserve"> </w:t>
      </w:r>
      <w:r>
        <w:rPr>
          <w:rFonts w:cs="Times New Roman"/>
          <w:sz w:val="20"/>
          <w:szCs w:val="20"/>
          <w:shd w:val="clear" w:color="auto" w:fill="FFFFFF"/>
        </w:rPr>
        <w:t>“</w:t>
      </w:r>
      <w:r w:rsidRPr="00431C9A">
        <w:rPr>
          <w:rFonts w:cs="Times New Roman"/>
          <w:sz w:val="20"/>
          <w:szCs w:val="20"/>
          <w:shd w:val="clear" w:color="auto" w:fill="FFFFFF"/>
        </w:rPr>
        <w:t xml:space="preserve">Who are the </w:t>
      </w:r>
      <w:r>
        <w:rPr>
          <w:rFonts w:cs="Times New Roman"/>
          <w:sz w:val="20"/>
          <w:szCs w:val="20"/>
          <w:shd w:val="clear" w:color="auto" w:fill="FFFFFF"/>
        </w:rPr>
        <w:t>M</w:t>
      </w:r>
      <w:r w:rsidRPr="00431C9A">
        <w:rPr>
          <w:rFonts w:cs="Times New Roman"/>
          <w:sz w:val="20"/>
          <w:szCs w:val="20"/>
          <w:shd w:val="clear" w:color="auto" w:fill="FFFFFF"/>
        </w:rPr>
        <w:t xml:space="preserve">icroenterprise </w:t>
      </w:r>
      <w:r>
        <w:rPr>
          <w:rFonts w:cs="Times New Roman"/>
          <w:sz w:val="20"/>
          <w:szCs w:val="20"/>
          <w:shd w:val="clear" w:color="auto" w:fill="FFFFFF"/>
        </w:rPr>
        <w:t>O</w:t>
      </w:r>
      <w:r w:rsidRPr="00431C9A">
        <w:rPr>
          <w:rFonts w:cs="Times New Roman"/>
          <w:sz w:val="20"/>
          <w:szCs w:val="20"/>
          <w:shd w:val="clear" w:color="auto" w:fill="FFFFFF"/>
        </w:rPr>
        <w:t>wners? Evidence from Sri Lanka on Tokman versus De Soto.</w:t>
      </w:r>
      <w:r>
        <w:rPr>
          <w:rFonts w:cs="Times New Roman"/>
          <w:sz w:val="20"/>
          <w:szCs w:val="20"/>
          <w:shd w:val="clear" w:color="auto" w:fill="FFFFFF"/>
        </w:rPr>
        <w:t xml:space="preserve">” </w:t>
      </w:r>
      <w:r w:rsidRPr="00431C9A">
        <w:rPr>
          <w:rFonts w:cs="Times New Roman"/>
          <w:i/>
          <w:iCs/>
          <w:sz w:val="20"/>
          <w:szCs w:val="20"/>
          <w:shd w:val="clear" w:color="auto" w:fill="FFFFFF"/>
        </w:rPr>
        <w:t xml:space="preserve">International </w:t>
      </w:r>
      <w:r>
        <w:rPr>
          <w:rFonts w:cs="Times New Roman"/>
          <w:i/>
          <w:iCs/>
          <w:sz w:val="20"/>
          <w:szCs w:val="20"/>
          <w:shd w:val="clear" w:color="auto" w:fill="FFFFFF"/>
        </w:rPr>
        <w:t>D</w:t>
      </w:r>
      <w:r w:rsidRPr="00431C9A">
        <w:rPr>
          <w:rFonts w:cs="Times New Roman"/>
          <w:i/>
          <w:iCs/>
          <w:sz w:val="20"/>
          <w:szCs w:val="20"/>
          <w:shd w:val="clear" w:color="auto" w:fill="FFFFFF"/>
        </w:rPr>
        <w:t xml:space="preserve">ifferences in </w:t>
      </w:r>
      <w:r>
        <w:rPr>
          <w:rFonts w:cs="Times New Roman"/>
          <w:i/>
          <w:iCs/>
          <w:sz w:val="20"/>
          <w:szCs w:val="20"/>
          <w:shd w:val="clear" w:color="auto" w:fill="FFFFFF"/>
        </w:rPr>
        <w:t>E</w:t>
      </w:r>
      <w:r w:rsidRPr="00431C9A">
        <w:rPr>
          <w:rFonts w:cs="Times New Roman"/>
          <w:i/>
          <w:iCs/>
          <w:sz w:val="20"/>
          <w:szCs w:val="20"/>
          <w:shd w:val="clear" w:color="auto" w:fill="FFFFFF"/>
        </w:rPr>
        <w:t>ntrepreneurship</w:t>
      </w:r>
      <w:r w:rsidRPr="00431C9A">
        <w:rPr>
          <w:rFonts w:cs="Times New Roman"/>
          <w:sz w:val="20"/>
          <w:szCs w:val="20"/>
          <w:shd w:val="clear" w:color="auto" w:fill="FFFFFF"/>
        </w:rPr>
        <w:t xml:space="preserve">. University of Chicago Press, </w:t>
      </w:r>
      <w:r>
        <w:rPr>
          <w:rFonts w:cs="Times New Roman"/>
          <w:sz w:val="20"/>
          <w:szCs w:val="20"/>
          <w:shd w:val="clear" w:color="auto" w:fill="FFFFFF"/>
        </w:rPr>
        <w:t>(</w:t>
      </w:r>
      <w:r w:rsidRPr="00431C9A">
        <w:rPr>
          <w:rFonts w:cs="Times New Roman"/>
          <w:sz w:val="20"/>
          <w:szCs w:val="20"/>
          <w:shd w:val="clear" w:color="auto" w:fill="FFFFFF"/>
        </w:rPr>
        <w:t>2010</w:t>
      </w:r>
      <w:r>
        <w:rPr>
          <w:rFonts w:cs="Times New Roman"/>
          <w:sz w:val="20"/>
          <w:szCs w:val="20"/>
          <w:shd w:val="clear" w:color="auto" w:fill="FFFFFF"/>
        </w:rPr>
        <w:t>),</w:t>
      </w:r>
      <w:r w:rsidRPr="00431C9A">
        <w:rPr>
          <w:rFonts w:cs="Times New Roman"/>
          <w:sz w:val="20"/>
          <w:szCs w:val="20"/>
          <w:shd w:val="clear" w:color="auto" w:fill="FFFFFF"/>
        </w:rPr>
        <w:t xml:space="preserve"> 63</w:t>
      </w:r>
      <w:r>
        <w:rPr>
          <w:rFonts w:ascii="Calibri" w:hAnsi="Calibri" w:cs="Times New Roman"/>
          <w:sz w:val="20"/>
          <w:szCs w:val="20"/>
          <w:shd w:val="clear" w:color="auto" w:fill="FFFFFF"/>
        </w:rPr>
        <w:t>‒</w:t>
      </w:r>
      <w:r w:rsidRPr="00431C9A">
        <w:rPr>
          <w:rFonts w:cs="Times New Roman"/>
          <w:sz w:val="20"/>
          <w:szCs w:val="20"/>
          <w:shd w:val="clear" w:color="auto" w:fill="FFFFFF"/>
        </w:rPr>
        <w:t xml:space="preserve">87; </w:t>
      </w:r>
      <w:r>
        <w:rPr>
          <w:rFonts w:cs="Times New Roman"/>
          <w:sz w:val="20"/>
          <w:szCs w:val="20"/>
          <w:shd w:val="clear" w:color="auto" w:fill="FFFFFF"/>
        </w:rPr>
        <w:t xml:space="preserve">Simeon </w:t>
      </w:r>
      <w:r w:rsidRPr="00431C9A">
        <w:rPr>
          <w:rFonts w:cs="Times New Roman"/>
          <w:sz w:val="20"/>
          <w:szCs w:val="20"/>
          <w:shd w:val="clear" w:color="auto" w:fill="FFFFFF"/>
        </w:rPr>
        <w:t>Djankov</w:t>
      </w:r>
      <w:r>
        <w:rPr>
          <w:rFonts w:cs="Times New Roman"/>
          <w:sz w:val="20"/>
          <w:szCs w:val="20"/>
          <w:shd w:val="clear" w:color="auto" w:fill="FFFFFF"/>
        </w:rPr>
        <w:t>,</w:t>
      </w:r>
      <w:r w:rsidRPr="00431C9A">
        <w:rPr>
          <w:rFonts w:cs="Times New Roman"/>
          <w:sz w:val="20"/>
          <w:szCs w:val="20"/>
          <w:shd w:val="clear" w:color="auto" w:fill="FFFFFF"/>
        </w:rPr>
        <w:t xml:space="preserve"> et al. </w:t>
      </w:r>
      <w:r>
        <w:rPr>
          <w:rFonts w:cs="Times New Roman"/>
          <w:sz w:val="20"/>
          <w:szCs w:val="20"/>
          <w:shd w:val="clear" w:color="auto" w:fill="FFFFFF"/>
        </w:rPr>
        <w:t>“</w:t>
      </w:r>
      <w:r w:rsidRPr="00431C9A">
        <w:rPr>
          <w:rFonts w:cs="Times New Roman"/>
          <w:sz w:val="20"/>
          <w:szCs w:val="20"/>
          <w:shd w:val="clear" w:color="auto" w:fill="FFFFFF"/>
        </w:rPr>
        <w:t xml:space="preserve">What </w:t>
      </w:r>
      <w:r>
        <w:rPr>
          <w:rFonts w:cs="Times New Roman"/>
          <w:sz w:val="20"/>
          <w:szCs w:val="20"/>
          <w:shd w:val="clear" w:color="auto" w:fill="FFFFFF"/>
        </w:rPr>
        <w:t>M</w:t>
      </w:r>
      <w:r w:rsidRPr="00431C9A">
        <w:rPr>
          <w:rFonts w:cs="Times New Roman"/>
          <w:sz w:val="20"/>
          <w:szCs w:val="20"/>
          <w:shd w:val="clear" w:color="auto" w:fill="FFFFFF"/>
        </w:rPr>
        <w:t xml:space="preserve">akes a </w:t>
      </w:r>
      <w:r>
        <w:rPr>
          <w:rFonts w:cs="Times New Roman"/>
          <w:sz w:val="20"/>
          <w:szCs w:val="20"/>
          <w:shd w:val="clear" w:color="auto" w:fill="FFFFFF"/>
        </w:rPr>
        <w:t>S</w:t>
      </w:r>
      <w:r w:rsidRPr="00431C9A">
        <w:rPr>
          <w:rFonts w:cs="Times New Roman"/>
          <w:sz w:val="20"/>
          <w:szCs w:val="20"/>
          <w:shd w:val="clear" w:color="auto" w:fill="FFFFFF"/>
        </w:rPr>
        <w:t xml:space="preserve">uccessful </w:t>
      </w:r>
      <w:r>
        <w:rPr>
          <w:rFonts w:cs="Times New Roman"/>
          <w:sz w:val="20"/>
          <w:szCs w:val="20"/>
          <w:shd w:val="clear" w:color="auto" w:fill="FFFFFF"/>
        </w:rPr>
        <w:t>E</w:t>
      </w:r>
      <w:r w:rsidRPr="00431C9A">
        <w:rPr>
          <w:rFonts w:cs="Times New Roman"/>
          <w:sz w:val="20"/>
          <w:szCs w:val="20"/>
          <w:shd w:val="clear" w:color="auto" w:fill="FFFFFF"/>
        </w:rPr>
        <w:t>ntrepreneur? Evidence from Brazil.</w:t>
      </w:r>
      <w:r>
        <w:rPr>
          <w:rFonts w:cs="Times New Roman"/>
          <w:sz w:val="20"/>
          <w:szCs w:val="20"/>
          <w:shd w:val="clear" w:color="auto" w:fill="FFFFFF"/>
        </w:rPr>
        <w:t>”</w:t>
      </w:r>
      <w:r w:rsidRPr="00431C9A">
        <w:rPr>
          <w:rStyle w:val="apple-converted-space"/>
          <w:rFonts w:cs="Times New Roman"/>
          <w:sz w:val="20"/>
          <w:szCs w:val="20"/>
          <w:shd w:val="clear" w:color="auto" w:fill="FFFFFF"/>
        </w:rPr>
        <w:t> </w:t>
      </w:r>
      <w:r w:rsidRPr="00431C9A">
        <w:rPr>
          <w:rFonts w:cs="Times New Roman"/>
          <w:i/>
          <w:iCs/>
          <w:sz w:val="20"/>
          <w:szCs w:val="20"/>
          <w:shd w:val="clear" w:color="auto" w:fill="FFFFFF"/>
        </w:rPr>
        <w:t>Center for Economic and Financial Research (CEFIR) in its series Working Papers with</w:t>
      </w:r>
      <w:r w:rsidRPr="00431C9A">
        <w:rPr>
          <w:rStyle w:val="apple-converted-space"/>
          <w:rFonts w:cs="Times New Roman"/>
          <w:sz w:val="20"/>
          <w:szCs w:val="20"/>
          <w:shd w:val="clear" w:color="auto" w:fill="FFFFFF"/>
        </w:rPr>
        <w:t> </w:t>
      </w:r>
      <w:r w:rsidRPr="00431C9A">
        <w:rPr>
          <w:rFonts w:cs="Times New Roman"/>
          <w:sz w:val="20"/>
          <w:szCs w:val="20"/>
          <w:shd w:val="clear" w:color="auto" w:fill="FFFFFF"/>
        </w:rPr>
        <w:t>w0104 (2007).</w:t>
      </w:r>
    </w:p>
    <w:p w14:paraId="568AEF93" w14:textId="7B88167E" w:rsidR="00A02DAA" w:rsidRPr="00431C9A" w:rsidRDefault="00A02DAA" w:rsidP="006C76E3">
      <w:pPr>
        <w:pStyle w:val="FootnoteText"/>
        <w:spacing w:after="60"/>
        <w:rPr>
          <w:rFonts w:ascii="Times New Roman" w:hAnsi="Times New Roman"/>
          <w:sz w:val="20"/>
        </w:rPr>
      </w:pPr>
    </w:p>
  </w:footnote>
  <w:footnote w:id="27">
    <w:p w14:paraId="0E242365" w14:textId="70FD0064" w:rsidR="00A02DAA" w:rsidRPr="00431C9A" w:rsidRDefault="00A02DAA" w:rsidP="006C76E3">
      <w:pPr>
        <w:spacing w:after="60"/>
        <w:rPr>
          <w:rFonts w:cs="Times New Roman"/>
          <w:sz w:val="20"/>
          <w:szCs w:val="20"/>
        </w:rPr>
      </w:pPr>
      <w:r w:rsidRPr="00431C9A">
        <w:rPr>
          <w:rStyle w:val="FootnoteReference"/>
          <w:rFonts w:cs="Times New Roman"/>
          <w:sz w:val="20"/>
          <w:szCs w:val="20"/>
        </w:rPr>
        <w:footnoteRef/>
      </w:r>
      <w:r w:rsidRPr="00431C9A">
        <w:rPr>
          <w:rFonts w:cs="Times New Roman"/>
          <w:sz w:val="20"/>
          <w:szCs w:val="20"/>
        </w:rPr>
        <w:t xml:space="preserve"> </w:t>
      </w:r>
      <w:r>
        <w:rPr>
          <w:rFonts w:cs="Times New Roman"/>
          <w:sz w:val="20"/>
          <w:szCs w:val="20"/>
        </w:rPr>
        <w:t xml:space="preserve">J. </w:t>
      </w:r>
      <w:r w:rsidRPr="00431C9A">
        <w:rPr>
          <w:rFonts w:cs="Times New Roman"/>
          <w:sz w:val="20"/>
          <w:szCs w:val="20"/>
        </w:rPr>
        <w:t>Levinsohn</w:t>
      </w:r>
      <w:r>
        <w:rPr>
          <w:rFonts w:cs="Times New Roman"/>
          <w:sz w:val="20"/>
          <w:szCs w:val="20"/>
        </w:rPr>
        <w:t xml:space="preserve"> and A.</w:t>
      </w:r>
      <w:r w:rsidRPr="00431C9A">
        <w:rPr>
          <w:rFonts w:cs="Times New Roman"/>
          <w:sz w:val="20"/>
          <w:szCs w:val="20"/>
        </w:rPr>
        <w:t xml:space="preserve"> Petrin, </w:t>
      </w:r>
      <w:r>
        <w:rPr>
          <w:rFonts w:cs="Times New Roman"/>
          <w:sz w:val="20"/>
          <w:szCs w:val="20"/>
        </w:rPr>
        <w:t>“</w:t>
      </w:r>
      <w:r w:rsidRPr="00431C9A">
        <w:rPr>
          <w:rFonts w:cs="Times New Roman"/>
          <w:sz w:val="20"/>
          <w:szCs w:val="20"/>
        </w:rPr>
        <w:t xml:space="preserve">Estimating </w:t>
      </w:r>
      <w:r>
        <w:rPr>
          <w:rFonts w:cs="Times New Roman"/>
          <w:sz w:val="20"/>
          <w:szCs w:val="20"/>
        </w:rPr>
        <w:t>P</w:t>
      </w:r>
      <w:r w:rsidRPr="00431C9A">
        <w:rPr>
          <w:rFonts w:cs="Times New Roman"/>
          <w:sz w:val="20"/>
          <w:szCs w:val="20"/>
        </w:rPr>
        <w:t xml:space="preserve">roduction </w:t>
      </w:r>
      <w:r>
        <w:rPr>
          <w:rFonts w:cs="Times New Roman"/>
          <w:sz w:val="20"/>
          <w:szCs w:val="20"/>
        </w:rPr>
        <w:t>F</w:t>
      </w:r>
      <w:r w:rsidRPr="00431C9A">
        <w:rPr>
          <w:rFonts w:cs="Times New Roman"/>
          <w:sz w:val="20"/>
          <w:szCs w:val="20"/>
        </w:rPr>
        <w:t xml:space="preserve">unctions </w:t>
      </w:r>
      <w:r>
        <w:rPr>
          <w:rFonts w:cs="Times New Roman"/>
          <w:sz w:val="20"/>
          <w:szCs w:val="20"/>
        </w:rPr>
        <w:t>U</w:t>
      </w:r>
      <w:r w:rsidRPr="00431C9A">
        <w:rPr>
          <w:rFonts w:cs="Times New Roman"/>
          <w:sz w:val="20"/>
          <w:szCs w:val="20"/>
        </w:rPr>
        <w:t xml:space="preserve">sing </w:t>
      </w:r>
      <w:r>
        <w:rPr>
          <w:rFonts w:cs="Times New Roman"/>
          <w:sz w:val="20"/>
          <w:szCs w:val="20"/>
        </w:rPr>
        <w:t>I</w:t>
      </w:r>
      <w:r w:rsidRPr="00431C9A">
        <w:rPr>
          <w:rFonts w:cs="Times New Roman"/>
          <w:sz w:val="20"/>
          <w:szCs w:val="20"/>
        </w:rPr>
        <w:t xml:space="preserve">nputs to </w:t>
      </w:r>
      <w:r>
        <w:rPr>
          <w:rFonts w:cs="Times New Roman"/>
          <w:sz w:val="20"/>
          <w:szCs w:val="20"/>
        </w:rPr>
        <w:t>C</w:t>
      </w:r>
      <w:r w:rsidRPr="00431C9A">
        <w:rPr>
          <w:rFonts w:cs="Times New Roman"/>
          <w:sz w:val="20"/>
          <w:szCs w:val="20"/>
        </w:rPr>
        <w:t xml:space="preserve">ontrol for </w:t>
      </w:r>
      <w:r>
        <w:rPr>
          <w:rFonts w:cs="Times New Roman"/>
          <w:sz w:val="20"/>
          <w:szCs w:val="20"/>
        </w:rPr>
        <w:t>U</w:t>
      </w:r>
      <w:r w:rsidRPr="00431C9A">
        <w:rPr>
          <w:rFonts w:cs="Times New Roman"/>
          <w:sz w:val="20"/>
          <w:szCs w:val="20"/>
        </w:rPr>
        <w:t>nobservables</w:t>
      </w:r>
      <w:r>
        <w:rPr>
          <w:rFonts w:cs="Times New Roman"/>
          <w:sz w:val="20"/>
          <w:szCs w:val="20"/>
        </w:rPr>
        <w:t>,”</w:t>
      </w:r>
      <w:r w:rsidRPr="00431C9A">
        <w:rPr>
          <w:rFonts w:cs="Times New Roman"/>
          <w:sz w:val="20"/>
          <w:szCs w:val="20"/>
        </w:rPr>
        <w:t xml:space="preserve"> </w:t>
      </w:r>
      <w:r w:rsidRPr="00431C9A">
        <w:rPr>
          <w:rStyle w:val="Emphasis"/>
          <w:rFonts w:cs="Times New Roman"/>
          <w:sz w:val="20"/>
          <w:szCs w:val="20"/>
        </w:rPr>
        <w:t xml:space="preserve">The Review of Economic Studies, Oxford University Press, </w:t>
      </w:r>
      <w:r w:rsidRPr="00431C9A">
        <w:rPr>
          <w:rFonts w:cs="Times New Roman"/>
          <w:i/>
          <w:iCs/>
          <w:sz w:val="20"/>
          <w:szCs w:val="20"/>
        </w:rPr>
        <w:t>70</w:t>
      </w:r>
      <w:r>
        <w:rPr>
          <w:rFonts w:cs="Times New Roman"/>
          <w:sz w:val="20"/>
          <w:szCs w:val="20"/>
        </w:rPr>
        <w:t>, (2003), 317-341.</w:t>
      </w:r>
    </w:p>
    <w:p w14:paraId="3E8F575C" w14:textId="42D640D9" w:rsidR="00A02DAA" w:rsidRPr="00431C9A" w:rsidRDefault="00A02DAA" w:rsidP="006C76E3">
      <w:pPr>
        <w:pStyle w:val="FootnoteText"/>
        <w:spacing w:after="60"/>
        <w:rPr>
          <w:rFonts w:ascii="Times New Roman" w:hAnsi="Times New Roman"/>
          <w:sz w:val="20"/>
        </w:rPr>
      </w:pPr>
    </w:p>
  </w:footnote>
  <w:footnote w:id="28">
    <w:p w14:paraId="147CAEA5" w14:textId="705FCB18"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See </w:t>
      </w:r>
      <w:r>
        <w:rPr>
          <w:rFonts w:ascii="Times New Roman" w:hAnsi="Times New Roman"/>
          <w:sz w:val="20"/>
        </w:rPr>
        <w:t xml:space="preserve">M. </w:t>
      </w:r>
      <w:r w:rsidRPr="00431C9A">
        <w:rPr>
          <w:rFonts w:ascii="Times New Roman" w:hAnsi="Times New Roman"/>
          <w:sz w:val="20"/>
        </w:rPr>
        <w:t>Goldstein</w:t>
      </w:r>
      <w:r>
        <w:rPr>
          <w:rFonts w:ascii="Times New Roman" w:hAnsi="Times New Roman"/>
          <w:sz w:val="20"/>
        </w:rPr>
        <w:t xml:space="preserve"> </w:t>
      </w:r>
      <w:r w:rsidRPr="00431C9A">
        <w:rPr>
          <w:rFonts w:ascii="Times New Roman" w:hAnsi="Times New Roman"/>
          <w:sz w:val="20"/>
        </w:rPr>
        <w:t xml:space="preserve">and </w:t>
      </w:r>
      <w:r>
        <w:rPr>
          <w:rFonts w:ascii="Times New Roman" w:hAnsi="Times New Roman"/>
          <w:sz w:val="20"/>
        </w:rPr>
        <w:t xml:space="preserve">C. </w:t>
      </w:r>
      <w:r w:rsidRPr="00431C9A">
        <w:rPr>
          <w:rFonts w:ascii="Times New Roman" w:hAnsi="Times New Roman"/>
          <w:sz w:val="20"/>
        </w:rPr>
        <w:t>Udry</w:t>
      </w:r>
      <w:r>
        <w:rPr>
          <w:rFonts w:ascii="Times New Roman" w:hAnsi="Times New Roman"/>
          <w:sz w:val="20"/>
        </w:rPr>
        <w:t>, “</w:t>
      </w:r>
      <w:r w:rsidRPr="00431C9A">
        <w:rPr>
          <w:rFonts w:ascii="Times New Roman" w:hAnsi="Times New Roman"/>
          <w:sz w:val="20"/>
        </w:rPr>
        <w:t xml:space="preserve">The Profits </w:t>
      </w:r>
      <w:r>
        <w:rPr>
          <w:rFonts w:ascii="Times New Roman" w:hAnsi="Times New Roman"/>
          <w:sz w:val="20"/>
        </w:rPr>
        <w:t>o</w:t>
      </w:r>
      <w:r w:rsidRPr="00431C9A">
        <w:rPr>
          <w:rFonts w:ascii="Times New Roman" w:hAnsi="Times New Roman"/>
          <w:sz w:val="20"/>
        </w:rPr>
        <w:t xml:space="preserve">f Power: Land Rights </w:t>
      </w:r>
      <w:r>
        <w:rPr>
          <w:rFonts w:ascii="Times New Roman" w:hAnsi="Times New Roman"/>
          <w:sz w:val="20"/>
        </w:rPr>
        <w:t>a</w:t>
      </w:r>
      <w:r w:rsidRPr="00431C9A">
        <w:rPr>
          <w:rFonts w:ascii="Times New Roman" w:hAnsi="Times New Roman"/>
          <w:sz w:val="20"/>
        </w:rPr>
        <w:t xml:space="preserve">nd Agricultural Investment </w:t>
      </w:r>
      <w:r>
        <w:rPr>
          <w:rFonts w:ascii="Times New Roman" w:hAnsi="Times New Roman"/>
          <w:sz w:val="20"/>
        </w:rPr>
        <w:t>i</w:t>
      </w:r>
      <w:r w:rsidRPr="00431C9A">
        <w:rPr>
          <w:rFonts w:ascii="Times New Roman" w:hAnsi="Times New Roman"/>
          <w:sz w:val="20"/>
        </w:rPr>
        <w:t>n Ghana,</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sz w:val="20"/>
        </w:rPr>
        <w:t>Journal of Political Economy</w:t>
      </w:r>
      <w:r w:rsidRPr="00431C9A">
        <w:rPr>
          <w:rFonts w:ascii="Times New Roman" w:hAnsi="Times New Roman"/>
          <w:sz w:val="20"/>
        </w:rPr>
        <w:t xml:space="preserve">, 116(6), </w:t>
      </w:r>
      <w:r>
        <w:rPr>
          <w:rFonts w:ascii="Times New Roman" w:hAnsi="Times New Roman"/>
          <w:sz w:val="20"/>
        </w:rPr>
        <w:t xml:space="preserve">(2008), </w:t>
      </w:r>
      <w:r w:rsidRPr="00431C9A">
        <w:rPr>
          <w:rFonts w:ascii="Times New Roman" w:hAnsi="Times New Roman"/>
          <w:sz w:val="20"/>
        </w:rPr>
        <w:t>981</w:t>
      </w:r>
      <w:r>
        <w:rPr>
          <w:rFonts w:ascii="Calibri" w:hAnsi="Calibri"/>
          <w:sz w:val="20"/>
        </w:rPr>
        <w:t>‒</w:t>
      </w:r>
      <w:r>
        <w:rPr>
          <w:rFonts w:ascii="Times New Roman" w:hAnsi="Times New Roman"/>
          <w:sz w:val="20"/>
        </w:rPr>
        <w:t>1</w:t>
      </w:r>
      <w:r w:rsidRPr="00431C9A">
        <w:rPr>
          <w:rFonts w:ascii="Times New Roman" w:hAnsi="Times New Roman"/>
          <w:sz w:val="20"/>
        </w:rPr>
        <w:t xml:space="preserve">022. Also see </w:t>
      </w:r>
      <w:r>
        <w:rPr>
          <w:rFonts w:ascii="Times New Roman" w:hAnsi="Times New Roman"/>
          <w:sz w:val="20"/>
        </w:rPr>
        <w:t xml:space="preserve">S. </w:t>
      </w:r>
      <w:r w:rsidRPr="00431C9A">
        <w:rPr>
          <w:rFonts w:ascii="Times New Roman" w:hAnsi="Times New Roman"/>
          <w:sz w:val="20"/>
        </w:rPr>
        <w:t xml:space="preserve">Horrell and </w:t>
      </w:r>
      <w:r>
        <w:rPr>
          <w:rFonts w:ascii="Times New Roman" w:hAnsi="Times New Roman"/>
          <w:sz w:val="20"/>
        </w:rPr>
        <w:t xml:space="preserve">P. </w:t>
      </w:r>
      <w:r w:rsidRPr="00431C9A">
        <w:rPr>
          <w:rFonts w:ascii="Times New Roman" w:hAnsi="Times New Roman"/>
          <w:sz w:val="20"/>
        </w:rPr>
        <w:t>Krishnan</w:t>
      </w:r>
      <w:r>
        <w:rPr>
          <w:rFonts w:ascii="Times New Roman" w:hAnsi="Times New Roman"/>
          <w:sz w:val="20"/>
        </w:rPr>
        <w:t>,</w:t>
      </w:r>
      <w:r w:rsidRPr="00431C9A">
        <w:rPr>
          <w:rFonts w:ascii="Times New Roman" w:hAnsi="Times New Roman"/>
          <w:sz w:val="20"/>
        </w:rPr>
        <w:t xml:space="preserve"> </w:t>
      </w:r>
      <w:r>
        <w:rPr>
          <w:rFonts w:ascii="Times New Roman" w:hAnsi="Times New Roman"/>
          <w:sz w:val="20"/>
        </w:rPr>
        <w:t>“</w:t>
      </w:r>
      <w:r w:rsidRPr="00431C9A">
        <w:rPr>
          <w:rFonts w:ascii="Times New Roman" w:hAnsi="Times New Roman"/>
          <w:sz w:val="20"/>
        </w:rPr>
        <w:t xml:space="preserve">Poverty and </w:t>
      </w:r>
      <w:r>
        <w:rPr>
          <w:rFonts w:ascii="Times New Roman" w:hAnsi="Times New Roman"/>
          <w:sz w:val="20"/>
        </w:rPr>
        <w:t>P</w:t>
      </w:r>
      <w:r w:rsidRPr="00431C9A">
        <w:rPr>
          <w:rFonts w:ascii="Times New Roman" w:hAnsi="Times New Roman"/>
          <w:sz w:val="20"/>
        </w:rPr>
        <w:t xml:space="preserve">roductivity in </w:t>
      </w:r>
      <w:r>
        <w:rPr>
          <w:rFonts w:ascii="Times New Roman" w:hAnsi="Times New Roman"/>
          <w:sz w:val="20"/>
        </w:rPr>
        <w:t>F</w:t>
      </w:r>
      <w:r w:rsidRPr="00431C9A">
        <w:rPr>
          <w:rFonts w:ascii="Times New Roman" w:hAnsi="Times New Roman"/>
          <w:sz w:val="20"/>
        </w:rPr>
        <w:t>emale-</w:t>
      </w:r>
      <w:r>
        <w:rPr>
          <w:rFonts w:ascii="Times New Roman" w:hAnsi="Times New Roman"/>
          <w:sz w:val="20"/>
        </w:rPr>
        <w:t>H</w:t>
      </w:r>
      <w:r w:rsidRPr="00431C9A">
        <w:rPr>
          <w:rFonts w:ascii="Times New Roman" w:hAnsi="Times New Roman"/>
          <w:sz w:val="20"/>
        </w:rPr>
        <w:t xml:space="preserve">eaded </w:t>
      </w:r>
      <w:r>
        <w:rPr>
          <w:rFonts w:ascii="Times New Roman" w:hAnsi="Times New Roman"/>
          <w:sz w:val="20"/>
        </w:rPr>
        <w:t>H</w:t>
      </w:r>
      <w:r w:rsidRPr="00431C9A">
        <w:rPr>
          <w:rFonts w:ascii="Times New Roman" w:hAnsi="Times New Roman"/>
          <w:sz w:val="20"/>
        </w:rPr>
        <w:t>ouseholds in Zimbabwe,</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sz w:val="20"/>
        </w:rPr>
        <w:t>Journal of Development Studies</w:t>
      </w:r>
      <w:r w:rsidRPr="00431C9A">
        <w:rPr>
          <w:rFonts w:ascii="Times New Roman" w:hAnsi="Times New Roman"/>
          <w:sz w:val="20"/>
        </w:rPr>
        <w:t xml:space="preserve">, 43(8), </w:t>
      </w:r>
      <w:r>
        <w:rPr>
          <w:rFonts w:ascii="Times New Roman" w:hAnsi="Times New Roman"/>
          <w:sz w:val="20"/>
        </w:rPr>
        <w:t xml:space="preserve">(2007), </w:t>
      </w:r>
      <w:r w:rsidRPr="00431C9A">
        <w:rPr>
          <w:rFonts w:ascii="Times New Roman" w:hAnsi="Times New Roman"/>
          <w:sz w:val="20"/>
        </w:rPr>
        <w:t>1351</w:t>
      </w:r>
      <w:r>
        <w:rPr>
          <w:rFonts w:ascii="Calibri" w:hAnsi="Calibri"/>
          <w:sz w:val="20"/>
        </w:rPr>
        <w:t>‒</w:t>
      </w:r>
      <w:r w:rsidRPr="00431C9A">
        <w:rPr>
          <w:rFonts w:ascii="Times New Roman" w:hAnsi="Times New Roman"/>
          <w:sz w:val="20"/>
        </w:rPr>
        <w:t>1380.</w:t>
      </w:r>
    </w:p>
  </w:footnote>
  <w:footnote w:id="29">
    <w:p w14:paraId="77ACA64F" w14:textId="05A161FE" w:rsidR="00A02DAA" w:rsidRDefault="00A02DAA" w:rsidP="006C76E3">
      <w:pPr>
        <w:spacing w:after="60"/>
        <w:rPr>
          <w:rFonts w:eastAsia="Times New Roman" w:cs="Times New Roman"/>
          <w:color w:val="1A1A1A"/>
          <w:sz w:val="20"/>
          <w:szCs w:val="20"/>
        </w:rPr>
      </w:pPr>
      <w:r w:rsidRPr="00431C9A">
        <w:rPr>
          <w:rStyle w:val="FootnoteReference"/>
          <w:rFonts w:cs="Times New Roman"/>
          <w:sz w:val="20"/>
          <w:szCs w:val="20"/>
        </w:rPr>
        <w:footnoteRef/>
      </w:r>
      <w:r w:rsidRPr="00431C9A">
        <w:rPr>
          <w:rFonts w:cs="Times New Roman"/>
          <w:sz w:val="20"/>
          <w:szCs w:val="20"/>
        </w:rPr>
        <w:t xml:space="preserve"> </w:t>
      </w:r>
      <w:r>
        <w:rPr>
          <w:rFonts w:cs="Times New Roman"/>
          <w:sz w:val="20"/>
          <w:szCs w:val="20"/>
        </w:rPr>
        <w:t xml:space="preserve">M. </w:t>
      </w:r>
      <w:r w:rsidRPr="00431C9A">
        <w:rPr>
          <w:rFonts w:eastAsia="Times New Roman" w:cs="Times New Roman"/>
          <w:color w:val="1A1A1A"/>
          <w:sz w:val="20"/>
          <w:szCs w:val="20"/>
        </w:rPr>
        <w:t xml:space="preserve">Hallward-Driemeier, </w:t>
      </w:r>
      <w:r>
        <w:rPr>
          <w:rFonts w:eastAsia="Times New Roman" w:cs="Times New Roman"/>
          <w:color w:val="1A1A1A"/>
          <w:sz w:val="20"/>
          <w:szCs w:val="20"/>
        </w:rPr>
        <w:t>“</w:t>
      </w:r>
      <w:r w:rsidRPr="00431C9A">
        <w:rPr>
          <w:rFonts w:eastAsia="Times New Roman" w:cs="Times New Roman"/>
          <w:color w:val="1A1A1A"/>
          <w:sz w:val="20"/>
          <w:szCs w:val="20"/>
        </w:rPr>
        <w:t>Enterprising Women: Expanding Economic Opportunities in Africa,</w:t>
      </w:r>
      <w:r>
        <w:rPr>
          <w:rFonts w:eastAsia="Times New Roman" w:cs="Times New Roman"/>
          <w:color w:val="1A1A1A"/>
          <w:sz w:val="20"/>
          <w:szCs w:val="20"/>
        </w:rPr>
        <w:t>”</w:t>
      </w:r>
      <w:r w:rsidRPr="00431C9A">
        <w:rPr>
          <w:rFonts w:eastAsia="Times New Roman" w:cs="Times New Roman"/>
          <w:color w:val="1A1A1A"/>
          <w:sz w:val="20"/>
          <w:szCs w:val="20"/>
        </w:rPr>
        <w:t xml:space="preserve"> Washington, DC: World Bank</w:t>
      </w:r>
      <w:r>
        <w:rPr>
          <w:rFonts w:eastAsia="Times New Roman" w:cs="Times New Roman"/>
          <w:color w:val="1A1A1A"/>
          <w:sz w:val="20"/>
          <w:szCs w:val="20"/>
        </w:rPr>
        <w:t>—AFD, (2013).</w:t>
      </w:r>
    </w:p>
    <w:p w14:paraId="56FDB6EB" w14:textId="77777777" w:rsidR="00A02DAA" w:rsidRDefault="00A02DAA" w:rsidP="006C76E3">
      <w:pPr>
        <w:spacing w:after="60"/>
        <w:rPr>
          <w:rFonts w:eastAsia="Times New Roman" w:cs="Times New Roman"/>
          <w:color w:val="1A1A1A"/>
          <w:sz w:val="20"/>
          <w:szCs w:val="20"/>
        </w:rPr>
      </w:pPr>
      <w:r>
        <w:rPr>
          <w:rFonts w:eastAsia="Times New Roman" w:cs="Times New Roman"/>
          <w:color w:val="1A1A1A"/>
          <w:sz w:val="20"/>
          <w:szCs w:val="20"/>
        </w:rPr>
        <w:t xml:space="preserve">E. </w:t>
      </w:r>
      <w:r w:rsidRPr="00431C9A">
        <w:rPr>
          <w:rFonts w:eastAsia="Times New Roman" w:cs="Times New Roman"/>
          <w:color w:val="1A1A1A"/>
          <w:sz w:val="20"/>
          <w:szCs w:val="20"/>
        </w:rPr>
        <w:t>Bardasi</w:t>
      </w:r>
      <w:r>
        <w:rPr>
          <w:rFonts w:eastAsia="Times New Roman" w:cs="Times New Roman"/>
          <w:color w:val="1A1A1A"/>
          <w:sz w:val="20"/>
          <w:szCs w:val="20"/>
        </w:rPr>
        <w:t>,</w:t>
      </w:r>
      <w:r w:rsidRPr="00431C9A">
        <w:rPr>
          <w:rFonts w:eastAsia="Times New Roman" w:cs="Times New Roman"/>
          <w:color w:val="1A1A1A"/>
          <w:sz w:val="20"/>
          <w:szCs w:val="20"/>
        </w:rPr>
        <w:t xml:space="preserve"> </w:t>
      </w:r>
      <w:r>
        <w:rPr>
          <w:rFonts w:eastAsia="Times New Roman" w:cs="Times New Roman"/>
          <w:color w:val="1A1A1A"/>
          <w:sz w:val="20"/>
          <w:szCs w:val="20"/>
        </w:rPr>
        <w:t xml:space="preserve">S. </w:t>
      </w:r>
      <w:r w:rsidRPr="00431C9A">
        <w:rPr>
          <w:rFonts w:eastAsia="Times New Roman" w:cs="Times New Roman"/>
          <w:color w:val="1A1A1A"/>
          <w:sz w:val="20"/>
          <w:szCs w:val="20"/>
        </w:rPr>
        <w:t>Sabarwal</w:t>
      </w:r>
      <w:r>
        <w:rPr>
          <w:rFonts w:eastAsia="Times New Roman" w:cs="Times New Roman"/>
          <w:color w:val="1A1A1A"/>
          <w:sz w:val="20"/>
          <w:szCs w:val="20"/>
        </w:rPr>
        <w:t>,</w:t>
      </w:r>
      <w:r w:rsidRPr="00431C9A">
        <w:rPr>
          <w:rFonts w:eastAsia="Times New Roman" w:cs="Times New Roman"/>
          <w:color w:val="1A1A1A"/>
          <w:sz w:val="20"/>
          <w:szCs w:val="20"/>
        </w:rPr>
        <w:t xml:space="preserve"> and </w:t>
      </w:r>
      <w:r>
        <w:rPr>
          <w:rFonts w:eastAsia="Times New Roman" w:cs="Times New Roman"/>
          <w:color w:val="1A1A1A"/>
          <w:sz w:val="20"/>
          <w:szCs w:val="20"/>
        </w:rPr>
        <w:t xml:space="preserve">K. </w:t>
      </w:r>
      <w:r w:rsidRPr="00431C9A">
        <w:rPr>
          <w:rFonts w:eastAsia="Times New Roman" w:cs="Times New Roman"/>
          <w:color w:val="1A1A1A"/>
          <w:sz w:val="20"/>
          <w:szCs w:val="20"/>
        </w:rPr>
        <w:t>Terrell</w:t>
      </w:r>
      <w:r>
        <w:rPr>
          <w:rFonts w:eastAsia="Times New Roman" w:cs="Times New Roman"/>
          <w:color w:val="1A1A1A"/>
          <w:sz w:val="20"/>
          <w:szCs w:val="20"/>
        </w:rPr>
        <w:t>,</w:t>
      </w:r>
      <w:r w:rsidRPr="00431C9A">
        <w:rPr>
          <w:rFonts w:eastAsia="Times New Roman" w:cs="Times New Roman"/>
          <w:color w:val="1A1A1A"/>
          <w:sz w:val="20"/>
          <w:szCs w:val="20"/>
        </w:rPr>
        <w:t xml:space="preserve"> </w:t>
      </w:r>
      <w:r>
        <w:rPr>
          <w:rFonts w:eastAsia="Times New Roman" w:cs="Times New Roman"/>
          <w:color w:val="1A1A1A"/>
          <w:sz w:val="20"/>
          <w:szCs w:val="20"/>
        </w:rPr>
        <w:t>“</w:t>
      </w:r>
      <w:r w:rsidRPr="00431C9A">
        <w:rPr>
          <w:rFonts w:eastAsia="Times New Roman" w:cs="Times New Roman"/>
          <w:color w:val="1A1A1A"/>
          <w:sz w:val="20"/>
          <w:szCs w:val="20"/>
        </w:rPr>
        <w:t xml:space="preserve">How Do Female Entrepreneurs Perform? Evidence </w:t>
      </w:r>
      <w:r>
        <w:rPr>
          <w:rFonts w:eastAsia="Times New Roman" w:cs="Times New Roman"/>
          <w:color w:val="1A1A1A"/>
          <w:sz w:val="20"/>
          <w:szCs w:val="20"/>
        </w:rPr>
        <w:t>f</w:t>
      </w:r>
      <w:r w:rsidRPr="00431C9A">
        <w:rPr>
          <w:rFonts w:eastAsia="Times New Roman" w:cs="Times New Roman"/>
          <w:color w:val="1A1A1A"/>
          <w:sz w:val="20"/>
          <w:szCs w:val="20"/>
        </w:rPr>
        <w:t>rom Three Developing Regions,</w:t>
      </w:r>
      <w:r>
        <w:rPr>
          <w:rFonts w:eastAsia="Times New Roman" w:cs="Times New Roman"/>
          <w:color w:val="1A1A1A"/>
          <w:sz w:val="20"/>
          <w:szCs w:val="20"/>
        </w:rPr>
        <w:t>”</w:t>
      </w:r>
      <w:r w:rsidRPr="00431C9A">
        <w:rPr>
          <w:rFonts w:eastAsia="Times New Roman" w:cs="Times New Roman"/>
          <w:color w:val="1A1A1A"/>
          <w:sz w:val="20"/>
          <w:szCs w:val="20"/>
        </w:rPr>
        <w:t xml:space="preserve"> </w:t>
      </w:r>
      <w:r w:rsidRPr="00431C9A">
        <w:rPr>
          <w:rFonts w:eastAsia="Times New Roman" w:cs="Times New Roman"/>
          <w:i/>
          <w:color w:val="1A1A1A"/>
          <w:sz w:val="20"/>
          <w:szCs w:val="20"/>
        </w:rPr>
        <w:t>Small Business Economics,</w:t>
      </w:r>
      <w:r w:rsidRPr="00431C9A">
        <w:rPr>
          <w:rFonts w:eastAsia="Times New Roman" w:cs="Times New Roman"/>
          <w:color w:val="1A1A1A"/>
          <w:sz w:val="20"/>
          <w:szCs w:val="20"/>
        </w:rPr>
        <w:t xml:space="preserve"> 37</w:t>
      </w:r>
      <w:r>
        <w:rPr>
          <w:rFonts w:eastAsia="Times New Roman" w:cs="Times New Roman"/>
          <w:color w:val="1A1A1A"/>
          <w:sz w:val="20"/>
          <w:szCs w:val="20"/>
        </w:rPr>
        <w:t xml:space="preserve">, (2011), </w:t>
      </w:r>
      <w:r w:rsidRPr="00431C9A">
        <w:rPr>
          <w:rFonts w:eastAsia="Times New Roman" w:cs="Times New Roman"/>
          <w:color w:val="1A1A1A"/>
          <w:sz w:val="20"/>
          <w:szCs w:val="20"/>
        </w:rPr>
        <w:t xml:space="preserve">417-441. </w:t>
      </w:r>
    </w:p>
    <w:p w14:paraId="0E44AB96" w14:textId="767DE66C" w:rsidR="00A02DAA" w:rsidRPr="00431C9A" w:rsidRDefault="00A02DAA" w:rsidP="006C76E3">
      <w:pPr>
        <w:spacing w:after="60"/>
        <w:rPr>
          <w:rFonts w:cs="Times New Roman"/>
          <w:sz w:val="20"/>
          <w:szCs w:val="20"/>
        </w:rPr>
      </w:pPr>
      <w:r w:rsidRPr="00431C9A">
        <w:rPr>
          <w:rFonts w:eastAsia="Times New Roman" w:cs="Times New Roman"/>
          <w:color w:val="1A1A1A"/>
          <w:sz w:val="20"/>
          <w:szCs w:val="20"/>
        </w:rPr>
        <w:t xml:space="preserve">Nagler P. and Naudé W. (2014), </w:t>
      </w:r>
      <w:r>
        <w:rPr>
          <w:rFonts w:eastAsia="Times New Roman" w:cs="Times New Roman"/>
          <w:color w:val="1A1A1A"/>
          <w:sz w:val="20"/>
          <w:szCs w:val="20"/>
        </w:rPr>
        <w:t>“</w:t>
      </w:r>
      <w:r w:rsidRPr="00431C9A">
        <w:rPr>
          <w:rFonts w:eastAsia="Times New Roman" w:cs="Times New Roman"/>
          <w:color w:val="1A1A1A"/>
          <w:sz w:val="20"/>
          <w:szCs w:val="20"/>
        </w:rPr>
        <w:t>Labor Productivity in Rural African Enterprises: Empirical Evidence from the LSMS-ISA, IZA Discussion Paper 8524, Institute for the Study of Labor (IZA).</w:t>
      </w:r>
    </w:p>
  </w:footnote>
  <w:footnote w:id="30">
    <w:p w14:paraId="7B776371" w14:textId="140BA2C8"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sidRPr="00F909B0">
        <w:rPr>
          <w:rFonts w:ascii="Times New Roman" w:hAnsi="Times New Roman"/>
          <w:sz w:val="20"/>
        </w:rPr>
        <w:t>Rijkers and Costa (</w:t>
      </w:r>
      <w:r>
        <w:rPr>
          <w:rFonts w:ascii="Times New Roman" w:hAnsi="Times New Roman"/>
          <w:sz w:val="20"/>
        </w:rPr>
        <w:t>2012), ibid.</w:t>
      </w:r>
    </w:p>
  </w:footnote>
  <w:footnote w:id="31">
    <w:p w14:paraId="2E2EF0F8" w14:textId="20D1C7CB"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Pr>
          <w:rFonts w:ascii="Times New Roman" w:hAnsi="Times New Roman"/>
          <w:sz w:val="20"/>
        </w:rPr>
        <w:t xml:space="preserve"> </w:t>
      </w:r>
      <w:r w:rsidRPr="00431C9A">
        <w:rPr>
          <w:rFonts w:ascii="Times New Roman" w:hAnsi="Times New Roman"/>
          <w:bCs/>
          <w:sz w:val="20"/>
        </w:rPr>
        <w:t xml:space="preserve">We tested the following </w:t>
      </w:r>
      <w:r>
        <w:rPr>
          <w:rFonts w:ascii="Times New Roman" w:hAnsi="Times New Roman"/>
          <w:bCs/>
          <w:sz w:val="20"/>
        </w:rPr>
        <w:t>investment climate</w:t>
      </w:r>
      <w:r w:rsidRPr="00431C9A">
        <w:rPr>
          <w:rFonts w:ascii="Times New Roman" w:hAnsi="Times New Roman"/>
          <w:bCs/>
          <w:sz w:val="20"/>
        </w:rPr>
        <w:t xml:space="preserve"> constraints: (a) transportation: time travel for a kilometer by state and by sector (rural and urban); (b) access to market: having a market in the enumeration area, distance to a city with more than </w:t>
      </w:r>
      <w:r>
        <w:rPr>
          <w:rFonts w:ascii="Times New Roman" w:hAnsi="Times New Roman"/>
          <w:bCs/>
          <w:sz w:val="20"/>
        </w:rPr>
        <w:t>twenty thousand</w:t>
      </w:r>
      <w:r w:rsidRPr="00431C9A">
        <w:rPr>
          <w:rFonts w:ascii="Times New Roman" w:hAnsi="Times New Roman"/>
          <w:bCs/>
          <w:sz w:val="20"/>
        </w:rPr>
        <w:t xml:space="preserve"> inhabitants, being in a rural area; (c) access to finance: having a financial institution (commercial bank or microfinance institution) in the enumeration area; (d) electricity: mean share of households having access to electricity by state; and (e) quality of the workforce: mean share of literate household at the state level and mean share of people with secondary education. </w:t>
      </w:r>
    </w:p>
  </w:footnote>
  <w:footnote w:id="32">
    <w:p w14:paraId="59DF2AF1" w14:textId="67384A69" w:rsidR="00A02DAA" w:rsidRPr="00431C9A" w:rsidRDefault="00A02DAA" w:rsidP="00C759C4">
      <w:pPr>
        <w:pStyle w:val="ParagraphNumbering"/>
        <w:numPr>
          <w:ilvl w:val="0"/>
          <w:numId w:val="0"/>
        </w:numPr>
        <w:spacing w:after="60"/>
        <w:rPr>
          <w:sz w:val="20"/>
          <w:szCs w:val="20"/>
        </w:rPr>
      </w:pPr>
      <w:r w:rsidRPr="00431C9A">
        <w:rPr>
          <w:rStyle w:val="FootnoteReference"/>
          <w:sz w:val="20"/>
          <w:szCs w:val="20"/>
        </w:rPr>
        <w:footnoteRef/>
      </w:r>
      <w:r w:rsidRPr="00431C9A">
        <w:rPr>
          <w:sz w:val="20"/>
          <w:szCs w:val="20"/>
        </w:rPr>
        <w:t xml:space="preserve"> To avoid endogeneity at the firm level, most </w:t>
      </w:r>
      <w:r>
        <w:rPr>
          <w:sz w:val="20"/>
          <w:szCs w:val="20"/>
        </w:rPr>
        <w:t>investment climate</w:t>
      </w:r>
      <w:r w:rsidRPr="00431C9A">
        <w:rPr>
          <w:sz w:val="20"/>
          <w:szCs w:val="20"/>
        </w:rPr>
        <w:t xml:space="preserve"> indicators are measured at the state level. Endogeneity can be a serious problem in investment climate analysis because the causality is not clear. </w:t>
      </w:r>
    </w:p>
  </w:footnote>
  <w:footnote w:id="33">
    <w:p w14:paraId="3F23218D" w14:textId="09C008BB"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A. </w:t>
      </w:r>
      <w:r w:rsidRPr="00431C9A">
        <w:rPr>
          <w:rFonts w:ascii="Times New Roman" w:hAnsi="Times New Roman"/>
          <w:sz w:val="20"/>
        </w:rPr>
        <w:t xml:space="preserve">Adams, </w:t>
      </w:r>
      <w:r>
        <w:rPr>
          <w:rFonts w:ascii="Times New Roman" w:hAnsi="Times New Roman"/>
          <w:sz w:val="20"/>
        </w:rPr>
        <w:t xml:space="preserve">S. </w:t>
      </w:r>
      <w:r w:rsidRPr="00431C9A">
        <w:rPr>
          <w:rFonts w:ascii="Times New Roman" w:hAnsi="Times New Roman"/>
          <w:sz w:val="20"/>
        </w:rPr>
        <w:t>Johansson</w:t>
      </w:r>
      <w:r>
        <w:rPr>
          <w:rFonts w:ascii="Times New Roman" w:hAnsi="Times New Roman"/>
          <w:sz w:val="20"/>
        </w:rPr>
        <w:t>,</w:t>
      </w:r>
      <w:r w:rsidRPr="00431C9A">
        <w:rPr>
          <w:rFonts w:ascii="Times New Roman" w:hAnsi="Times New Roman"/>
          <w:sz w:val="20"/>
        </w:rPr>
        <w:t xml:space="preserve"> and </w:t>
      </w:r>
      <w:r>
        <w:rPr>
          <w:rFonts w:ascii="Times New Roman" w:hAnsi="Times New Roman"/>
          <w:sz w:val="20"/>
        </w:rPr>
        <w:t xml:space="preserve">S. </w:t>
      </w:r>
      <w:r w:rsidRPr="00431C9A">
        <w:rPr>
          <w:rFonts w:ascii="Times New Roman" w:hAnsi="Times New Roman"/>
          <w:sz w:val="20"/>
        </w:rPr>
        <w:t>Razmara</w:t>
      </w:r>
      <w:r>
        <w:rPr>
          <w:rFonts w:ascii="Times New Roman" w:hAnsi="Times New Roman"/>
          <w:sz w:val="20"/>
        </w:rPr>
        <w:t>,</w:t>
      </w:r>
      <w:r w:rsidRPr="00431C9A">
        <w:rPr>
          <w:rFonts w:ascii="Times New Roman" w:hAnsi="Times New Roman"/>
          <w:sz w:val="20"/>
        </w:rPr>
        <w:t xml:space="preserve"> </w:t>
      </w:r>
      <w:r>
        <w:rPr>
          <w:rFonts w:ascii="Times New Roman" w:hAnsi="Times New Roman"/>
          <w:sz w:val="20"/>
        </w:rPr>
        <w:t>“</w:t>
      </w:r>
      <w:r w:rsidRPr="00431C9A">
        <w:rPr>
          <w:rFonts w:ascii="Times New Roman" w:hAnsi="Times New Roman"/>
          <w:sz w:val="20"/>
        </w:rPr>
        <w:t xml:space="preserve">Improving </w:t>
      </w:r>
      <w:r>
        <w:rPr>
          <w:rFonts w:ascii="Times New Roman" w:hAnsi="Times New Roman"/>
          <w:sz w:val="20"/>
        </w:rPr>
        <w:t>S</w:t>
      </w:r>
      <w:r w:rsidRPr="00431C9A">
        <w:rPr>
          <w:rFonts w:ascii="Times New Roman" w:hAnsi="Times New Roman"/>
          <w:sz w:val="20"/>
        </w:rPr>
        <w:t xml:space="preserve">kills </w:t>
      </w:r>
      <w:r>
        <w:rPr>
          <w:rFonts w:ascii="Times New Roman" w:hAnsi="Times New Roman"/>
          <w:sz w:val="20"/>
        </w:rPr>
        <w:t>D</w:t>
      </w:r>
      <w:r w:rsidRPr="00431C9A">
        <w:rPr>
          <w:rFonts w:ascii="Times New Roman" w:hAnsi="Times New Roman"/>
          <w:sz w:val="20"/>
        </w:rPr>
        <w:t xml:space="preserve">evelopment in the </w:t>
      </w:r>
      <w:r>
        <w:rPr>
          <w:rFonts w:ascii="Times New Roman" w:hAnsi="Times New Roman"/>
          <w:sz w:val="20"/>
        </w:rPr>
        <w:t>I</w:t>
      </w:r>
      <w:r w:rsidRPr="00431C9A">
        <w:rPr>
          <w:rFonts w:ascii="Times New Roman" w:hAnsi="Times New Roman"/>
          <w:sz w:val="20"/>
        </w:rPr>
        <w:t xml:space="preserve">nformal </w:t>
      </w:r>
      <w:r>
        <w:rPr>
          <w:rFonts w:ascii="Times New Roman" w:hAnsi="Times New Roman"/>
          <w:sz w:val="20"/>
        </w:rPr>
        <w:t>S</w:t>
      </w:r>
      <w:r w:rsidRPr="00431C9A">
        <w:rPr>
          <w:rFonts w:ascii="Times New Roman" w:hAnsi="Times New Roman"/>
          <w:sz w:val="20"/>
        </w:rPr>
        <w:t xml:space="preserve">ector: </w:t>
      </w:r>
      <w:r>
        <w:rPr>
          <w:rFonts w:ascii="Times New Roman" w:hAnsi="Times New Roman"/>
          <w:sz w:val="20"/>
        </w:rPr>
        <w:t>S</w:t>
      </w:r>
      <w:r w:rsidRPr="00431C9A">
        <w:rPr>
          <w:rFonts w:ascii="Times New Roman" w:hAnsi="Times New Roman"/>
          <w:sz w:val="20"/>
        </w:rPr>
        <w:t>trategies for Sub-Saharan Africa,</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sz w:val="20"/>
        </w:rPr>
        <w:t xml:space="preserve">Directions in Development, </w:t>
      </w:r>
      <w:r>
        <w:rPr>
          <w:rFonts w:ascii="Times New Roman" w:hAnsi="Times New Roman"/>
          <w:sz w:val="20"/>
        </w:rPr>
        <w:t>Washington DC, (2013).</w:t>
      </w:r>
      <w:r w:rsidRPr="00431C9A">
        <w:rPr>
          <w:rFonts w:ascii="Times New Roman" w:hAnsi="Times New Roman"/>
          <w:sz w:val="20"/>
        </w:rPr>
        <w:t xml:space="preserve"> </w:t>
      </w:r>
    </w:p>
  </w:footnote>
  <w:footnote w:id="34">
    <w:p w14:paraId="6E190754" w14:textId="7E9C5A8A" w:rsidR="00A02DAA" w:rsidRDefault="00A02DAA" w:rsidP="00821EB2">
      <w:pPr>
        <w:pStyle w:val="ParagraphNumbering"/>
        <w:numPr>
          <w:ilvl w:val="0"/>
          <w:numId w:val="0"/>
        </w:numPr>
      </w:pPr>
      <w:r>
        <w:rPr>
          <w:rStyle w:val="FootnoteReference"/>
        </w:rPr>
        <w:footnoteRef/>
      </w:r>
      <w:r>
        <w:t xml:space="preserve"> </w:t>
      </w:r>
      <w:r w:rsidRPr="000F32EE">
        <w:rPr>
          <w:bCs w:val="0"/>
          <w:sz w:val="20"/>
          <w:szCs w:val="20"/>
        </w:rPr>
        <w:t>Note that this definition excludes the following sectors: financial intermediation, real estate and renting activities</w:t>
      </w:r>
      <w:r>
        <w:rPr>
          <w:bCs w:val="0"/>
          <w:sz w:val="20"/>
          <w:szCs w:val="20"/>
        </w:rPr>
        <w:t>,</w:t>
      </w:r>
      <w:r w:rsidRPr="000F32EE">
        <w:rPr>
          <w:bCs w:val="0"/>
          <w:sz w:val="20"/>
          <w:szCs w:val="20"/>
        </w:rPr>
        <w:t xml:space="preserve"> and all public or utilities</w:t>
      </w:r>
      <w:r>
        <w:rPr>
          <w:bCs w:val="0"/>
          <w:sz w:val="20"/>
          <w:szCs w:val="20"/>
        </w:rPr>
        <w:t xml:space="preserve"> </w:t>
      </w:r>
      <w:r w:rsidRPr="000F32EE">
        <w:rPr>
          <w:bCs w:val="0"/>
          <w:sz w:val="20"/>
          <w:szCs w:val="20"/>
        </w:rPr>
        <w:t>sectors.</w:t>
      </w:r>
    </w:p>
  </w:footnote>
  <w:footnote w:id="35">
    <w:p w14:paraId="60797240" w14:textId="77777777" w:rsidR="00A02DAA" w:rsidRPr="00431C9A" w:rsidRDefault="00A02DAA" w:rsidP="00965298">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Because growth rates vary considerably over the business cycle and because the surveys in different countries occurred in different years, we do not compare growth rates in Nigeria with growth rates in the comparator countries.</w:t>
      </w:r>
      <w:r>
        <w:rPr>
          <w:rFonts w:ascii="Times New Roman" w:hAnsi="Times New Roman"/>
          <w:sz w:val="20"/>
        </w:rPr>
        <w:t xml:space="preserve"> </w:t>
      </w:r>
    </w:p>
  </w:footnote>
  <w:footnote w:id="36">
    <w:p w14:paraId="18C25A5D" w14:textId="2717450F" w:rsidR="00A02DAA" w:rsidRDefault="00A02DAA">
      <w:pPr>
        <w:pStyle w:val="FootnoteText"/>
      </w:pPr>
      <w:r w:rsidRPr="00A051C1">
        <w:rPr>
          <w:rStyle w:val="FootnoteReference"/>
        </w:rPr>
        <w:footnoteRef/>
      </w:r>
      <w:r w:rsidRPr="00D727BF">
        <w:rPr>
          <w:rFonts w:ascii="Times New Roman" w:hAnsi="Times New Roman"/>
          <w:sz w:val="20"/>
        </w:rPr>
        <w:t xml:space="preserve"> Small: </w:t>
      </w:r>
      <w:r>
        <w:rPr>
          <w:rFonts w:ascii="Times New Roman" w:hAnsi="Times New Roman"/>
          <w:sz w:val="20"/>
        </w:rPr>
        <w:t xml:space="preserve">five to nineteen </w:t>
      </w:r>
      <w:r w:rsidRPr="00D727BF">
        <w:rPr>
          <w:rFonts w:ascii="Times New Roman" w:hAnsi="Times New Roman"/>
          <w:sz w:val="20"/>
        </w:rPr>
        <w:t xml:space="preserve">employees, </w:t>
      </w:r>
      <w:r>
        <w:rPr>
          <w:rFonts w:ascii="Times New Roman" w:hAnsi="Times New Roman"/>
          <w:sz w:val="20"/>
        </w:rPr>
        <w:t>m</w:t>
      </w:r>
      <w:r w:rsidRPr="00D727BF">
        <w:rPr>
          <w:rFonts w:ascii="Times New Roman" w:hAnsi="Times New Roman"/>
          <w:sz w:val="20"/>
        </w:rPr>
        <w:t xml:space="preserve">edium: </w:t>
      </w:r>
      <w:r>
        <w:rPr>
          <w:rFonts w:ascii="Times New Roman" w:hAnsi="Times New Roman"/>
          <w:sz w:val="20"/>
        </w:rPr>
        <w:t>twenty to ninety-nine</w:t>
      </w:r>
      <w:r w:rsidRPr="00D727BF">
        <w:rPr>
          <w:rFonts w:ascii="Times New Roman" w:hAnsi="Times New Roman"/>
          <w:sz w:val="20"/>
        </w:rPr>
        <w:t xml:space="preserve"> employees</w:t>
      </w:r>
      <w:r>
        <w:rPr>
          <w:rFonts w:ascii="Times New Roman" w:hAnsi="Times New Roman"/>
          <w:sz w:val="20"/>
        </w:rPr>
        <w:t>,</w:t>
      </w:r>
      <w:r w:rsidRPr="00D727BF">
        <w:rPr>
          <w:rFonts w:ascii="Times New Roman" w:hAnsi="Times New Roman"/>
          <w:sz w:val="20"/>
        </w:rPr>
        <w:t xml:space="preserve"> and </w:t>
      </w:r>
      <w:r>
        <w:rPr>
          <w:rFonts w:ascii="Times New Roman" w:hAnsi="Times New Roman"/>
          <w:sz w:val="20"/>
        </w:rPr>
        <w:t>l</w:t>
      </w:r>
      <w:r w:rsidRPr="00D727BF">
        <w:rPr>
          <w:rFonts w:ascii="Times New Roman" w:hAnsi="Times New Roman"/>
          <w:sz w:val="20"/>
        </w:rPr>
        <w:t xml:space="preserve">arge: </w:t>
      </w:r>
      <w:r>
        <w:rPr>
          <w:rFonts w:ascii="Times New Roman" w:hAnsi="Times New Roman"/>
          <w:sz w:val="20"/>
        </w:rPr>
        <w:t>m</w:t>
      </w:r>
      <w:r w:rsidRPr="00D727BF">
        <w:rPr>
          <w:rFonts w:ascii="Times New Roman" w:hAnsi="Times New Roman"/>
          <w:sz w:val="20"/>
        </w:rPr>
        <w:t xml:space="preserve">ore than </w:t>
      </w:r>
      <w:r>
        <w:rPr>
          <w:rFonts w:ascii="Times New Roman" w:hAnsi="Times New Roman"/>
          <w:sz w:val="20"/>
        </w:rPr>
        <w:t>one hundred</w:t>
      </w:r>
      <w:r w:rsidRPr="00D727BF">
        <w:rPr>
          <w:rFonts w:ascii="Times New Roman" w:hAnsi="Times New Roman"/>
          <w:sz w:val="20"/>
        </w:rPr>
        <w:t xml:space="preserve"> employees.</w:t>
      </w:r>
      <w:r>
        <w:t xml:space="preserve"> </w:t>
      </w:r>
    </w:p>
  </w:footnote>
  <w:footnote w:id="37">
    <w:p w14:paraId="3703EC66" w14:textId="7BDE429C" w:rsidR="00A02DAA" w:rsidRPr="00D727BF" w:rsidRDefault="00A02DAA" w:rsidP="00175186">
      <w:pPr>
        <w:pStyle w:val="FootnoteText"/>
        <w:rPr>
          <w:rFonts w:ascii="Times New Roman" w:hAnsi="Times New Roman"/>
        </w:rPr>
      </w:pPr>
      <w:r>
        <w:rPr>
          <w:rStyle w:val="FootnoteReference"/>
        </w:rPr>
        <w:footnoteRef/>
      </w:r>
      <w:r>
        <w:t xml:space="preserve"> </w:t>
      </w:r>
      <w:r w:rsidRPr="00D727BF">
        <w:rPr>
          <w:rFonts w:ascii="Times New Roman" w:hAnsi="Times New Roman"/>
        </w:rPr>
        <w:t xml:space="preserve">See </w:t>
      </w:r>
      <w:r w:rsidRPr="00D727BF">
        <w:rPr>
          <w:rFonts w:ascii="Times New Roman" w:hAnsi="Times New Roman"/>
        </w:rPr>
        <w:fldChar w:fldCharType="begin"/>
      </w:r>
      <w:r w:rsidRPr="00D727BF">
        <w:rPr>
          <w:rFonts w:ascii="Times New Roman" w:hAnsi="Times New Roman"/>
        </w:rPr>
        <w:instrText xml:space="preserve"> ADDIN EN.CITE &lt;EndNote&gt;&lt;Cite AuthorYear="1"&gt;&lt;Author&gt;Clarke&lt;/Author&gt;&lt;Year&gt;2011&lt;/Year&gt;&lt;RecNum&gt;354&lt;/RecNum&gt;&lt;DisplayText&gt;Clarke (2011a)&lt;/DisplayText&gt;&lt;record&gt;&lt;rec-number&gt;354&lt;/rec-number&gt;&lt;foreign-keys&gt;&lt;key app="EN" db-id="a2axxpp0vxrx2ye0waextew499dexfxaa0v9"&gt;354&lt;/key&gt;&lt;/foreign-keys&gt;&lt;ref-type name="Journal Article"&gt;17&lt;/ref-type&gt;&lt;contributors&gt;&lt;authors&gt;&lt;author&gt;Clarke, George R. G.&lt;/author&gt;&lt;/authors&gt;&lt;/contributors&gt;&lt;titles&gt;&lt;title&gt;Are Managers&amp;apos; Perceptions about Constraints Reliable? Evidence from a Natural Experiment in South Africa&lt;/title&gt;&lt;secondary-title&gt;Journal of Globalization and Development&lt;/secondary-title&gt;&lt;/titles&gt;&lt;periodical&gt;&lt;full-title&gt;Journal of Globalization and Development&lt;/full-title&gt;&lt;/periodical&gt;&lt;pages&gt;1-28&lt;/pages&gt;&lt;volume&gt;2&lt;/volume&gt;&lt;number&gt;1&lt;/number&gt;&lt;dates&gt;&lt;year&gt;2011&lt;/year&gt;&lt;/dates&gt;&lt;pub-location&gt;Laredo, TX&lt;/pub-location&gt;&lt;publisher&gt;Texas A&amp;amp;M International University&lt;/publisher&gt;&lt;urls&gt;&lt;/urls&gt;&lt;/record&gt;&lt;/Cite&gt;&lt;/EndNote&gt;</w:instrText>
      </w:r>
      <w:r w:rsidRPr="00D727BF">
        <w:rPr>
          <w:rFonts w:ascii="Times New Roman" w:hAnsi="Times New Roman"/>
        </w:rPr>
        <w:fldChar w:fldCharType="separate"/>
      </w:r>
      <w:hyperlink w:anchor="_ENREF_5" w:tooltip="Clarke, 2011 #354" w:history="1">
        <w:r w:rsidRPr="00D727BF">
          <w:rPr>
            <w:rFonts w:ascii="Times New Roman" w:hAnsi="Times New Roman"/>
            <w:noProof/>
          </w:rPr>
          <w:t>Clarke (2011a</w:t>
        </w:r>
      </w:hyperlink>
      <w:r w:rsidRPr="00D727BF">
        <w:rPr>
          <w:rFonts w:ascii="Times New Roman" w:hAnsi="Times New Roman"/>
          <w:noProof/>
        </w:rPr>
        <w:t>)</w:t>
      </w:r>
      <w:r w:rsidRPr="00D727BF">
        <w:rPr>
          <w:rFonts w:ascii="Times New Roman" w:hAnsi="Times New Roman"/>
        </w:rPr>
        <w:fldChar w:fldCharType="end"/>
      </w:r>
      <w:r w:rsidRPr="00D727BF">
        <w:rPr>
          <w:rFonts w:ascii="Times New Roman" w:hAnsi="Times New Roman"/>
        </w:rPr>
        <w:t xml:space="preserve">, </w:t>
      </w:r>
      <w:r w:rsidRPr="00D727BF">
        <w:rPr>
          <w:rFonts w:ascii="Times New Roman" w:hAnsi="Times New Roman"/>
        </w:rPr>
        <w:fldChar w:fldCharType="begin"/>
      </w:r>
      <w:r w:rsidRPr="00D727BF">
        <w:rPr>
          <w:rFonts w:ascii="Times New Roman" w:hAnsi="Times New Roman"/>
        </w:rPr>
        <w:instrText xml:space="preserve"> ADDIN EN.CITE &lt;EndNote&gt;&lt;Cite AuthorYear="1"&gt;&lt;Author&gt;Kaplan&lt;/Author&gt;&lt;Year&gt;2010&lt;/Year&gt;&lt;RecNum&gt;905&lt;/RecNum&gt;&lt;DisplayText&gt;Kaplan and Pathania (2010)&lt;/DisplayText&gt;&lt;record&gt;&lt;rec-number&gt;905&lt;/rec-number&gt;&lt;foreign-keys&gt;&lt;key app="EN" db-id="a2axxpp0vxrx2ye0waextew499dexfxaa0v9"&gt;905&lt;/key&gt;&lt;/foreign-keys&gt;&lt;ref-type name="Journal Article"&gt;17&lt;/ref-type&gt;&lt;contributors&gt;&lt;authors&gt;&lt;author&gt;Kaplan, David S.&lt;/author&gt;&lt;author&gt;Pathania, Vikram&lt;/author&gt;&lt;/authors&gt;&lt;/contributors&gt;&lt;titles&gt;&lt;title&gt;What Influences Firms&amp;apos; Perceptions?&lt;/title&gt;&lt;secondary-title&gt;Journal of Comparative Economics&lt;/secondary-title&gt;&lt;/titles&gt;&lt;periodical&gt;&lt;full-title&gt;Journal of Comparative Economics&lt;/full-title&gt;&lt;/periodical&gt;&lt;pages&gt;419-431&lt;/pages&gt;&lt;volume&gt;38&lt;/volume&gt;&lt;number&gt;4&lt;/number&gt;&lt;keywords&gt;&lt;keyword&gt;Firms&lt;/keyword&gt;&lt;keyword&gt;Firm&lt;/keyword&gt;&lt;/keywords&gt;&lt;dates&gt;&lt;year&gt;2010&lt;/year&gt;&lt;/dates&gt;&lt;urls&gt;&lt;/urls&gt;&lt;/record&gt;&lt;/Cite&gt;&lt;/EndNote&gt;</w:instrText>
      </w:r>
      <w:r w:rsidRPr="00D727BF">
        <w:rPr>
          <w:rFonts w:ascii="Times New Roman" w:hAnsi="Times New Roman"/>
        </w:rPr>
        <w:fldChar w:fldCharType="separate"/>
      </w:r>
      <w:hyperlink w:anchor="_ENREF_24" w:tooltip="Kaplan, 2010 #905" w:history="1">
        <w:r w:rsidRPr="00D727BF">
          <w:rPr>
            <w:rFonts w:ascii="Times New Roman" w:hAnsi="Times New Roman"/>
            <w:noProof/>
          </w:rPr>
          <w:t>Kaplan and Pathania (2010</w:t>
        </w:r>
      </w:hyperlink>
      <w:r w:rsidRPr="00D727BF">
        <w:rPr>
          <w:rFonts w:ascii="Times New Roman" w:hAnsi="Times New Roman"/>
          <w:noProof/>
        </w:rPr>
        <w:t>)</w:t>
      </w:r>
      <w:r w:rsidRPr="00D727BF">
        <w:rPr>
          <w:rFonts w:ascii="Times New Roman" w:hAnsi="Times New Roman"/>
        </w:rPr>
        <w:fldChar w:fldCharType="end"/>
      </w:r>
      <w:r>
        <w:rPr>
          <w:rFonts w:ascii="Times New Roman" w:hAnsi="Times New Roman"/>
        </w:rPr>
        <w:t>,</w:t>
      </w:r>
      <w:r w:rsidRPr="00D727BF">
        <w:rPr>
          <w:rFonts w:ascii="Times New Roman" w:hAnsi="Times New Roman"/>
        </w:rPr>
        <w:t xml:space="preserve"> or </w:t>
      </w:r>
      <w:r w:rsidRPr="00D727BF">
        <w:rPr>
          <w:rFonts w:ascii="Times New Roman" w:hAnsi="Times New Roman"/>
        </w:rPr>
        <w:fldChar w:fldCharType="begin"/>
      </w:r>
      <w:r w:rsidRPr="00D727BF">
        <w:rPr>
          <w:rFonts w:ascii="Times New Roman" w:hAnsi="Times New Roman"/>
        </w:rPr>
        <w:instrText xml:space="preserve"> ADDIN EN.CITE &lt;EndNote&gt;&lt;Cite AuthorYear="1"&gt;&lt;Author&gt;Gelb&lt;/Author&gt;&lt;Year&gt;2006&lt;/Year&gt;&lt;RecNum&gt;659&lt;/RecNum&gt;&lt;DisplayText&gt;Gelb and others (2006)&lt;/DisplayText&gt;&lt;record&gt;&lt;rec-number&gt;659&lt;/rec-number&gt;&lt;foreign-keys&gt;&lt;key app="EN" db-id="a2axxpp0vxrx2ye0waextew499dexfxaa0v9"&gt;659&lt;/key&gt;&lt;/foreign-keys&gt;&lt;ref-type name="Unpublished Work"&gt;34&lt;/ref-type&gt;&lt;contributors&gt;&lt;authors&gt;&lt;author&gt;Gelb, Alan&lt;/author&gt;&lt;author&gt;Ramachandran, Vijaya&lt;/author&gt;&lt;author&gt;Shah, Manju Kedia&lt;/author&gt;&lt;author&gt;Turner, Ginger&lt;/author&gt;&lt;/authors&gt;&lt;/contributors&gt;&lt;titles&gt;&lt;title&gt;What Matters to African Firms? The Relevance of Perceptions Data&lt;/title&gt;&lt;/titles&gt;&lt;keywords&gt;&lt;keyword&gt;Firms&lt;/keyword&gt;&lt;keyword&gt;Firm&lt;/keyword&gt;&lt;keyword&gt;Data&lt;/keyword&gt;&lt;/keywords&gt;&lt;dates&gt;&lt;year&gt;2006&lt;/year&gt;&lt;/dates&gt;&lt;pub-location&gt;Washington DC&lt;/pub-location&gt;&lt;publisher&gt;World Bank&lt;/publisher&gt;&lt;urls&gt;&lt;/urls&gt;&lt;/record&gt;&lt;/Cite&gt;&lt;/EndNote&gt;</w:instrText>
      </w:r>
      <w:r w:rsidRPr="00D727BF">
        <w:rPr>
          <w:rFonts w:ascii="Times New Roman" w:hAnsi="Times New Roman"/>
        </w:rPr>
        <w:fldChar w:fldCharType="separate"/>
      </w:r>
      <w:hyperlink w:anchor="_ENREF_20" w:tooltip="Gelb, 2006 #659" w:history="1">
        <w:r w:rsidRPr="00D727BF">
          <w:rPr>
            <w:rFonts w:ascii="Times New Roman" w:hAnsi="Times New Roman"/>
            <w:noProof/>
          </w:rPr>
          <w:t>Gelb and others (2006</w:t>
        </w:r>
      </w:hyperlink>
      <w:r w:rsidRPr="00D727BF">
        <w:rPr>
          <w:rFonts w:ascii="Times New Roman" w:hAnsi="Times New Roman"/>
          <w:noProof/>
        </w:rPr>
        <w:t>)</w:t>
      </w:r>
      <w:r w:rsidRPr="00D727BF">
        <w:rPr>
          <w:rFonts w:ascii="Times New Roman" w:hAnsi="Times New Roman"/>
        </w:rPr>
        <w:fldChar w:fldCharType="end"/>
      </w:r>
      <w:r w:rsidRPr="00D727BF">
        <w:rPr>
          <w:rFonts w:ascii="Times New Roman" w:hAnsi="Times New Roman"/>
        </w:rPr>
        <w:t xml:space="preserve"> for general discussions of the problems with perception-based data in the </w:t>
      </w:r>
      <w:r>
        <w:rPr>
          <w:rFonts w:ascii="Times New Roman" w:hAnsi="Times New Roman"/>
        </w:rPr>
        <w:t>enterprise surveys</w:t>
      </w:r>
      <w:r w:rsidRPr="00D727BF">
        <w:rPr>
          <w:rFonts w:ascii="Times New Roman" w:hAnsi="Times New Roman"/>
        </w:rPr>
        <w:t>.</w:t>
      </w:r>
    </w:p>
  </w:footnote>
  <w:footnote w:id="38">
    <w:p w14:paraId="2C90D0CF" w14:textId="222B29DE" w:rsidR="00A02DAA" w:rsidRPr="00431C9A" w:rsidRDefault="00A02DAA" w:rsidP="00175186">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Managers were asked to rate each areas on a 5-point scale ranging from 0 (no obstacle) to 1 or 2 (moderate or minor obstacle) to 3 or 4 (very serious obstacle).</w:t>
      </w:r>
      <w:r>
        <w:rPr>
          <w:rFonts w:ascii="Times New Roman" w:hAnsi="Times New Roman"/>
          <w:sz w:val="20"/>
        </w:rPr>
        <w:t xml:space="preserve"> </w:t>
      </w:r>
    </w:p>
  </w:footnote>
  <w:footnote w:id="39">
    <w:p w14:paraId="19CC63ED" w14:textId="2C2C850A" w:rsidR="00A02DAA" w:rsidRPr="00D727BF" w:rsidRDefault="00A02DAA">
      <w:pPr>
        <w:pStyle w:val="FootnoteText"/>
        <w:rPr>
          <w:rFonts w:ascii="Times New Roman" w:hAnsi="Times New Roman"/>
        </w:rPr>
      </w:pPr>
      <w:r>
        <w:rPr>
          <w:rStyle w:val="FootnoteReference"/>
        </w:rPr>
        <w:footnoteRef/>
      </w:r>
      <w:r w:rsidRPr="002A21C4">
        <w:t xml:space="preserve"> </w:t>
      </w:r>
      <w:r w:rsidRPr="00D727BF">
        <w:rPr>
          <w:rFonts w:ascii="Times New Roman" w:hAnsi="Times New Roman"/>
        </w:rPr>
        <w:t xml:space="preserve">Côte D’Ivoire: </w:t>
      </w:r>
      <w:r>
        <w:rPr>
          <w:rFonts w:ascii="Times New Roman" w:hAnsi="Times New Roman"/>
        </w:rPr>
        <w:t>7</w:t>
      </w:r>
      <w:r w:rsidRPr="00D727BF">
        <w:rPr>
          <w:rFonts w:ascii="Times New Roman" w:hAnsi="Times New Roman"/>
        </w:rPr>
        <w:t xml:space="preserve"> percent, Brazil: </w:t>
      </w:r>
      <w:r>
        <w:rPr>
          <w:rFonts w:ascii="Times New Roman" w:hAnsi="Times New Roman"/>
        </w:rPr>
        <w:t>8</w:t>
      </w:r>
      <w:r w:rsidRPr="00D727BF">
        <w:rPr>
          <w:rFonts w:ascii="Times New Roman" w:hAnsi="Times New Roman"/>
        </w:rPr>
        <w:t xml:space="preserve"> percent, China: </w:t>
      </w:r>
      <w:r>
        <w:rPr>
          <w:rFonts w:ascii="Times New Roman" w:hAnsi="Times New Roman"/>
        </w:rPr>
        <w:t>8</w:t>
      </w:r>
      <w:r w:rsidRPr="00D727BF">
        <w:rPr>
          <w:rFonts w:ascii="Times New Roman" w:hAnsi="Times New Roman"/>
        </w:rPr>
        <w:t xml:space="preserve"> percent, Russia: </w:t>
      </w:r>
      <w:r>
        <w:rPr>
          <w:rFonts w:ascii="Times New Roman" w:hAnsi="Times New Roman"/>
        </w:rPr>
        <w:t>9</w:t>
      </w:r>
      <w:r w:rsidRPr="00D727BF">
        <w:rPr>
          <w:rFonts w:ascii="Times New Roman" w:hAnsi="Times New Roman"/>
        </w:rPr>
        <w:t xml:space="preserve"> percent, South Africa: 18 percent, Ethiopia: 41 percent, Ghana: 52 percent</w:t>
      </w:r>
      <w:r>
        <w:rPr>
          <w:rFonts w:ascii="Times New Roman" w:hAnsi="Times New Roman"/>
        </w:rPr>
        <w:t>,</w:t>
      </w:r>
      <w:r w:rsidRPr="00D727BF">
        <w:rPr>
          <w:rFonts w:ascii="Times New Roman" w:hAnsi="Times New Roman"/>
        </w:rPr>
        <w:t xml:space="preserve"> and Kenya: 57 percent.</w:t>
      </w:r>
    </w:p>
  </w:footnote>
  <w:footnote w:id="40">
    <w:p w14:paraId="306D0A3D" w14:textId="49DDC6CD" w:rsidR="00A02DAA" w:rsidRPr="00431C9A" w:rsidRDefault="00A02DAA" w:rsidP="00340052">
      <w:pPr>
        <w:spacing w:after="60"/>
        <w:rPr>
          <w:rFonts w:cs="Times New Roman"/>
          <w:sz w:val="20"/>
          <w:szCs w:val="20"/>
        </w:rPr>
      </w:pPr>
      <w:r w:rsidRPr="00431C9A">
        <w:rPr>
          <w:rStyle w:val="FootnoteReference"/>
          <w:rFonts w:cs="Times New Roman"/>
          <w:sz w:val="20"/>
          <w:szCs w:val="20"/>
        </w:rPr>
        <w:footnoteRef/>
      </w:r>
      <w:r w:rsidRPr="00431C9A">
        <w:rPr>
          <w:rFonts w:cs="Times New Roman"/>
          <w:sz w:val="20"/>
          <w:szCs w:val="20"/>
        </w:rPr>
        <w:t xml:space="preserve"> Managers were asked whether firms like theirs need to pay bribes to get things done with respect to regulation, taxation, licenses</w:t>
      </w:r>
      <w:r>
        <w:rPr>
          <w:rFonts w:cs="Times New Roman"/>
          <w:sz w:val="20"/>
          <w:szCs w:val="20"/>
        </w:rPr>
        <w:t>,</w:t>
      </w:r>
      <w:r w:rsidRPr="00431C9A">
        <w:rPr>
          <w:rFonts w:cs="Times New Roman"/>
          <w:sz w:val="20"/>
          <w:szCs w:val="20"/>
        </w:rPr>
        <w:t xml:space="preserve"> and other interactions with government officials.</w:t>
      </w:r>
      <w:r>
        <w:rPr>
          <w:rFonts w:cs="Times New Roman"/>
          <w:sz w:val="20"/>
          <w:szCs w:val="20"/>
        </w:rPr>
        <w:t xml:space="preserve"> </w:t>
      </w:r>
      <w:r w:rsidRPr="00431C9A">
        <w:rPr>
          <w:rFonts w:cs="Times New Roman"/>
          <w:sz w:val="20"/>
          <w:szCs w:val="20"/>
        </w:rPr>
        <w:t xml:space="preserve">The question was phrased </w:t>
      </w:r>
      <w:r>
        <w:rPr>
          <w:rFonts w:cs="Times New Roman"/>
          <w:sz w:val="20"/>
          <w:szCs w:val="20"/>
        </w:rPr>
        <w:t>“f</w:t>
      </w:r>
      <w:r w:rsidRPr="00431C9A">
        <w:rPr>
          <w:rFonts w:cs="Times New Roman"/>
          <w:sz w:val="20"/>
          <w:szCs w:val="20"/>
        </w:rPr>
        <w:t>irms like this one</w:t>
      </w:r>
      <w:r>
        <w:rPr>
          <w:rFonts w:cs="Times New Roman"/>
          <w:sz w:val="20"/>
          <w:szCs w:val="20"/>
        </w:rPr>
        <w:t>”</w:t>
      </w:r>
      <w:r w:rsidRPr="00431C9A">
        <w:rPr>
          <w:rFonts w:cs="Times New Roman"/>
          <w:sz w:val="20"/>
          <w:szCs w:val="20"/>
        </w:rPr>
        <w:t xml:space="preserve"> to allow managers to answer without incriminating themselves.</w:t>
      </w:r>
      <w:r>
        <w:rPr>
          <w:rFonts w:cs="Times New Roman"/>
          <w:sz w:val="20"/>
          <w:szCs w:val="20"/>
        </w:rPr>
        <w:t xml:space="preserve"> </w:t>
      </w:r>
      <w:r w:rsidRPr="00431C9A">
        <w:rPr>
          <w:rFonts w:cs="Times New Roman"/>
          <w:sz w:val="20"/>
          <w:szCs w:val="20"/>
        </w:rPr>
        <w:t>Most studies that use this data assume either explicitly or implicitly that the managers answer thinking about their own actions.</w:t>
      </w:r>
      <w:r>
        <w:rPr>
          <w:rFonts w:cs="Times New Roman"/>
          <w:sz w:val="20"/>
          <w:szCs w:val="20"/>
        </w:rPr>
        <w:t xml:space="preserve"> </w:t>
      </w:r>
      <w:r w:rsidRPr="00431C9A">
        <w:rPr>
          <w:rFonts w:cs="Times New Roman"/>
          <w:sz w:val="20"/>
          <w:szCs w:val="20"/>
        </w:rPr>
        <w:t>For our purposes, however, it does not matter how the managers answer the question.</w:t>
      </w:r>
      <w:r>
        <w:rPr>
          <w:rFonts w:cs="Times New Roman"/>
          <w:sz w:val="20"/>
          <w:szCs w:val="20"/>
        </w:rPr>
        <w:t xml:space="preserve"> </w:t>
      </w:r>
      <w:r w:rsidRPr="00431C9A">
        <w:rPr>
          <w:rFonts w:cs="Times New Roman"/>
          <w:sz w:val="20"/>
          <w:szCs w:val="20"/>
        </w:rPr>
        <w:t>If their perceptions about what other firms are doing are correct, they will still say firms like theirs need to pay bribes.</w:t>
      </w:r>
      <w:r>
        <w:rPr>
          <w:rFonts w:cs="Times New Roman"/>
          <w:sz w:val="20"/>
          <w:szCs w:val="20"/>
        </w:rPr>
        <w:t xml:space="preserve"> </w:t>
      </w:r>
    </w:p>
  </w:footnote>
  <w:footnote w:id="41">
    <w:p w14:paraId="4C3F716A" w14:textId="77777777" w:rsidR="00A02DAA" w:rsidRPr="00431C9A" w:rsidRDefault="00A02DAA" w:rsidP="00A741AB">
      <w:pPr>
        <w:spacing w:after="60"/>
        <w:rPr>
          <w:rFonts w:cs="Times New Roman"/>
          <w:sz w:val="20"/>
          <w:szCs w:val="20"/>
        </w:rPr>
      </w:pPr>
      <w:r w:rsidRPr="00431C9A">
        <w:rPr>
          <w:rStyle w:val="FootnoteReference"/>
          <w:rFonts w:cs="Times New Roman"/>
          <w:sz w:val="20"/>
          <w:szCs w:val="20"/>
        </w:rPr>
        <w:footnoteRef/>
      </w:r>
      <w:r w:rsidRPr="00431C9A">
        <w:rPr>
          <w:rFonts w:cs="Times New Roman"/>
          <w:sz w:val="20"/>
          <w:szCs w:val="20"/>
        </w:rPr>
        <w:t xml:space="preserve"> To ensure comparability, the averages are weighted averages, and calculations include only firms from the provinces that were covered in both surveys (Abia, Abuja, Anambra, Cross River, Enugu, Kaduna, Kano, Lagos, Ogun, and Sokoto). </w:t>
      </w:r>
    </w:p>
  </w:footnote>
  <w:footnote w:id="42">
    <w:p w14:paraId="42994747" w14:textId="1E2016DC" w:rsidR="00A02DAA" w:rsidRPr="00431C9A" w:rsidRDefault="00A02DAA" w:rsidP="000F32EE">
      <w:pPr>
        <w:spacing w:after="60"/>
        <w:rPr>
          <w:rFonts w:cs="Times New Roman"/>
          <w:sz w:val="20"/>
          <w:szCs w:val="20"/>
        </w:rPr>
      </w:pPr>
      <w:r w:rsidRPr="00431C9A">
        <w:rPr>
          <w:rStyle w:val="FootnoteReference"/>
          <w:rFonts w:cs="Times New Roman"/>
          <w:sz w:val="20"/>
          <w:szCs w:val="20"/>
        </w:rPr>
        <w:footnoteRef/>
      </w:r>
      <w:r w:rsidRPr="00431C9A">
        <w:rPr>
          <w:rFonts w:cs="Times New Roman"/>
          <w:sz w:val="20"/>
          <w:szCs w:val="20"/>
        </w:rPr>
        <w:t xml:space="preserve"> Enterprise </w:t>
      </w:r>
      <w:r>
        <w:rPr>
          <w:rFonts w:cs="Times New Roman"/>
          <w:sz w:val="20"/>
          <w:szCs w:val="20"/>
        </w:rPr>
        <w:t>s</w:t>
      </w:r>
      <w:r w:rsidRPr="00431C9A">
        <w:rPr>
          <w:rFonts w:cs="Times New Roman"/>
          <w:sz w:val="20"/>
          <w:szCs w:val="20"/>
        </w:rPr>
        <w:t>urveys collect the detailed financial data needed to calculate value-added capital only for manufacturing firms in most countries.</w:t>
      </w:r>
      <w:r>
        <w:rPr>
          <w:rFonts w:cs="Times New Roman"/>
          <w:sz w:val="20"/>
          <w:szCs w:val="20"/>
        </w:rPr>
        <w:t xml:space="preserve"> </w:t>
      </w:r>
      <w:r w:rsidRPr="00431C9A">
        <w:rPr>
          <w:rFonts w:cs="Times New Roman"/>
          <w:sz w:val="20"/>
          <w:szCs w:val="20"/>
        </w:rPr>
        <w:t>To ensure comparability, all cross-country comparisons are therefore only for manufacturing firms.</w:t>
      </w:r>
      <w:r>
        <w:rPr>
          <w:rFonts w:cs="Times New Roman"/>
          <w:sz w:val="20"/>
          <w:szCs w:val="20"/>
        </w:rPr>
        <w:t xml:space="preserve"> </w:t>
      </w:r>
      <w:r w:rsidRPr="00431C9A">
        <w:rPr>
          <w:rFonts w:cs="Times New Roman"/>
          <w:sz w:val="20"/>
          <w:szCs w:val="20"/>
        </w:rPr>
        <w:t>Some productivity measures, such as sales and employment growth, can be calculated for firms in other sectors in Nigeria.</w:t>
      </w:r>
      <w:r>
        <w:rPr>
          <w:rFonts w:cs="Times New Roman"/>
          <w:sz w:val="20"/>
          <w:szCs w:val="20"/>
        </w:rPr>
        <w:t xml:space="preserve"> </w:t>
      </w:r>
      <w:r w:rsidRPr="00431C9A">
        <w:rPr>
          <w:rFonts w:cs="Times New Roman"/>
          <w:sz w:val="20"/>
          <w:szCs w:val="20"/>
        </w:rPr>
        <w:t>In these cases, we also present sectoral medians for other firms for comparison with manufacturing.</w:t>
      </w:r>
      <w:r>
        <w:rPr>
          <w:rFonts w:cs="Times New Roman"/>
          <w:sz w:val="20"/>
          <w:szCs w:val="20"/>
        </w:rPr>
        <w:t xml:space="preserve"> </w:t>
      </w:r>
      <w:r w:rsidRPr="00431C9A">
        <w:rPr>
          <w:rFonts w:cs="Times New Roman"/>
          <w:sz w:val="20"/>
          <w:szCs w:val="20"/>
        </w:rPr>
        <w:t xml:space="preserve">For cross-country comparisons of productivity, productivity measures that are measured in monetary terms are converted from local currency at the time of the survey into 2010 US dollars. </w:t>
      </w:r>
    </w:p>
  </w:footnote>
  <w:footnote w:id="43">
    <w:p w14:paraId="7EA84CA7" w14:textId="6D61461F" w:rsidR="00A02DAA" w:rsidRPr="00431C9A" w:rsidRDefault="00A02DAA" w:rsidP="00B04107">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G. </w:t>
      </w:r>
      <w:r w:rsidRPr="00431C9A">
        <w:rPr>
          <w:rFonts w:ascii="Times New Roman" w:hAnsi="Times New Roman"/>
          <w:sz w:val="20"/>
        </w:rPr>
        <w:t xml:space="preserve">Clarke, </w:t>
      </w:r>
      <w:r>
        <w:rPr>
          <w:rFonts w:ascii="Times New Roman" w:hAnsi="Times New Roman"/>
          <w:sz w:val="20"/>
        </w:rPr>
        <w:t>“</w:t>
      </w:r>
      <w:r w:rsidRPr="00C32950">
        <w:rPr>
          <w:rFonts w:ascii="Times New Roman" w:hAnsi="Times New Roman"/>
          <w:sz w:val="20"/>
        </w:rPr>
        <w:t>Firm Performance in Nigeria</w:t>
      </w:r>
      <w:r>
        <w:rPr>
          <w:rFonts w:ascii="Times New Roman" w:hAnsi="Times New Roman"/>
          <w:sz w:val="20"/>
        </w:rPr>
        <w:t>,” background paper, (2015).</w:t>
      </w:r>
    </w:p>
  </w:footnote>
  <w:footnote w:id="44">
    <w:p w14:paraId="04186EAB" w14:textId="77777777" w:rsidR="00A02DAA" w:rsidRPr="00431C9A" w:rsidRDefault="00A02DAA" w:rsidP="00CA50DC">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Most of the performance measures discussed earlier in the report could only be calculated for manufacturing firms.</w:t>
      </w:r>
      <w:r>
        <w:rPr>
          <w:rFonts w:ascii="Times New Roman" w:hAnsi="Times New Roman"/>
          <w:sz w:val="20"/>
        </w:rPr>
        <w:t xml:space="preserve"> </w:t>
      </w:r>
      <w:r w:rsidRPr="00431C9A">
        <w:rPr>
          <w:rFonts w:ascii="Times New Roman" w:hAnsi="Times New Roman"/>
          <w:sz w:val="20"/>
        </w:rPr>
        <w:t>Because information on intermediate inputs and capital was only collected for firms in other sectors, TFP and unit labor costs cannot be calculated for firms in other sectors.</w:t>
      </w:r>
      <w:r>
        <w:rPr>
          <w:rFonts w:ascii="Times New Roman" w:hAnsi="Times New Roman"/>
          <w:sz w:val="20"/>
        </w:rPr>
        <w:t xml:space="preserve"> </w:t>
      </w:r>
      <w:r w:rsidRPr="00431C9A">
        <w:rPr>
          <w:rFonts w:ascii="Times New Roman" w:hAnsi="Times New Roman"/>
          <w:sz w:val="20"/>
        </w:rPr>
        <w:t>This is not the case for sales and employment growth.</w:t>
      </w:r>
      <w:r>
        <w:rPr>
          <w:rFonts w:ascii="Times New Roman" w:hAnsi="Times New Roman"/>
          <w:sz w:val="20"/>
        </w:rPr>
        <w:t xml:space="preserve"> </w:t>
      </w:r>
      <w:r w:rsidRPr="00431C9A">
        <w:rPr>
          <w:rFonts w:ascii="Times New Roman" w:hAnsi="Times New Roman"/>
          <w:sz w:val="20"/>
        </w:rPr>
        <w:t>Because this information was collected for all firms, it is possible to look at them across all sectors and subsectors.</w:t>
      </w:r>
    </w:p>
    <w:p w14:paraId="385A41CE" w14:textId="77777777" w:rsidR="00A02DAA" w:rsidRPr="00431C9A" w:rsidRDefault="00A02DAA" w:rsidP="00CA50DC">
      <w:pPr>
        <w:pStyle w:val="FootnoteText"/>
        <w:spacing w:after="60"/>
        <w:rPr>
          <w:rFonts w:ascii="Times New Roman" w:hAnsi="Times New Roman"/>
          <w:sz w:val="20"/>
        </w:rPr>
      </w:pPr>
    </w:p>
  </w:footnote>
  <w:footnote w:id="45">
    <w:p w14:paraId="62106ECC" w14:textId="77777777" w:rsidR="00A02DAA" w:rsidRPr="00431C9A" w:rsidRDefault="00A02DAA" w:rsidP="0056056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See, for example, </w:t>
      </w:r>
      <w:r w:rsidRPr="00431C9A">
        <w:rPr>
          <w:rFonts w:ascii="Times New Roman" w:hAnsi="Times New Roman"/>
          <w:sz w:val="20"/>
        </w:rPr>
        <w:fldChar w:fldCharType="begin"/>
      </w:r>
      <w:r w:rsidRPr="00431C9A">
        <w:rPr>
          <w:rFonts w:ascii="Times New Roman" w:hAnsi="Times New Roman"/>
          <w:sz w:val="20"/>
        </w:rPr>
        <w:instrText xml:space="preserve"> ADDIN EN.CITE &lt;EndNote&gt;&lt;Cite AuthorYear="1"&gt;&lt;Author&gt;Clarke&lt;/Author&gt;&lt;Year&gt;2007&lt;/Year&gt;&lt;RecNum&gt;342&lt;/RecNum&gt;&lt;DisplayText&gt;Clarke and others (2007)&lt;/DisplayText&gt;&lt;record&gt;&lt;rec-number&gt;342&lt;/rec-number&gt;&lt;foreign-keys&gt;&lt;key app="EN" db-id="a2axxpp0vxrx2ye0waextew499dexfxaa0v9"&gt;342&lt;/key&gt;&lt;/foreign-keys&gt;&lt;ref-type name="Book"&gt;6&lt;/ref-type&gt;&lt;contributors&gt;&lt;authors&gt;&lt;author&gt;Clarke, George R. G.&lt;/author&gt;&lt;author&gt;Habyarimana, James&lt;/author&gt;&lt;author&gt;Ingram, Michael&lt;/author&gt;&lt;author&gt;Kaplan, David&lt;/author&gt;&lt;author&gt;Ramachandran, Vijaya&lt;/author&gt;&lt;/authors&gt;&lt;/contributors&gt;&lt;titles&gt;&lt;title&gt;An Assessment of the Investment Climate in South Africa&lt;/title&gt;&lt;/titles&gt;&lt;keywords&gt;&lt;keyword&gt;Investment&lt;/keyword&gt;&lt;/keywords&gt;&lt;dates&gt;&lt;year&gt;2007&lt;/year&gt;&lt;/dates&gt;&lt;pub-location&gt;Washington DC&lt;/pub-location&gt;&lt;publisher&gt;World Bank&lt;/publisher&gt;&lt;urls&gt;&lt;/urls&gt;&lt;/record&gt;&lt;/Cite&gt;&lt;/EndNote&gt;</w:instrText>
      </w:r>
      <w:r w:rsidRPr="00431C9A">
        <w:rPr>
          <w:rFonts w:ascii="Times New Roman" w:hAnsi="Times New Roman"/>
          <w:sz w:val="20"/>
        </w:rPr>
        <w:fldChar w:fldCharType="separate"/>
      </w:r>
      <w:hyperlink w:anchor="_ENREF_10" w:tooltip="Clarke, 2007 #342" w:history="1">
        <w:r w:rsidRPr="00431C9A">
          <w:rPr>
            <w:rFonts w:ascii="Times New Roman" w:hAnsi="Times New Roman"/>
            <w:noProof/>
            <w:sz w:val="20"/>
          </w:rPr>
          <w:t>Clarke and others (2007</w:t>
        </w:r>
      </w:hyperlink>
      <w:r w:rsidRPr="00431C9A">
        <w:rPr>
          <w:rFonts w:ascii="Times New Roman" w:hAnsi="Times New Roman"/>
          <w:noProof/>
          <w:sz w:val="20"/>
        </w:rPr>
        <w:t>)</w:t>
      </w:r>
      <w:r w:rsidRPr="00431C9A">
        <w:rPr>
          <w:rFonts w:ascii="Times New Roman" w:hAnsi="Times New Roman"/>
          <w:sz w:val="20"/>
        </w:rPr>
        <w:fldChar w:fldCharType="end"/>
      </w:r>
      <w:r w:rsidRPr="00431C9A">
        <w:rPr>
          <w:rFonts w:ascii="Times New Roman" w:hAnsi="Times New Roman"/>
          <w:sz w:val="20"/>
        </w:rPr>
        <w:t xml:space="preserve"> for a discussion of high labor costs in South Africa.</w:t>
      </w:r>
    </w:p>
  </w:footnote>
  <w:footnote w:id="46">
    <w:p w14:paraId="1A84562A" w14:textId="1B938092"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G. </w:t>
      </w:r>
      <w:r w:rsidRPr="00431C9A">
        <w:rPr>
          <w:rFonts w:ascii="Times New Roman" w:hAnsi="Times New Roman"/>
          <w:sz w:val="20"/>
        </w:rPr>
        <w:t xml:space="preserve">Clarke, </w:t>
      </w:r>
      <w:r>
        <w:rPr>
          <w:rFonts w:ascii="Times New Roman" w:hAnsi="Times New Roman"/>
          <w:sz w:val="20"/>
        </w:rPr>
        <w:t>“</w:t>
      </w:r>
      <w:r w:rsidRPr="00D14A36">
        <w:rPr>
          <w:rFonts w:ascii="Times New Roman" w:hAnsi="Times New Roman"/>
          <w:sz w:val="20"/>
        </w:rPr>
        <w:t>Firm Performance in Nigeria</w:t>
      </w:r>
      <w:r>
        <w:rPr>
          <w:rFonts w:ascii="Times New Roman" w:hAnsi="Times New Roman"/>
          <w:sz w:val="20"/>
        </w:rPr>
        <w:t>,” background paper, (2015).</w:t>
      </w:r>
    </w:p>
  </w:footnote>
  <w:footnote w:id="47">
    <w:p w14:paraId="0EAE5C56" w14:textId="34A70A32"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See </w:t>
      </w:r>
      <w:r>
        <w:rPr>
          <w:rFonts w:ascii="Times New Roman" w:hAnsi="Times New Roman"/>
          <w:sz w:val="20"/>
        </w:rPr>
        <w:t>a</w:t>
      </w:r>
      <w:r w:rsidRPr="00431C9A">
        <w:rPr>
          <w:rFonts w:ascii="Times New Roman" w:hAnsi="Times New Roman"/>
          <w:sz w:val="20"/>
        </w:rPr>
        <w:t>ppendix 2 of the background paper for a discussion of these variables and how they are calculated.</w:t>
      </w:r>
      <w:r>
        <w:rPr>
          <w:rFonts w:ascii="Times New Roman" w:hAnsi="Times New Roman"/>
          <w:sz w:val="20"/>
        </w:rPr>
        <w:t xml:space="preserve"> </w:t>
      </w:r>
      <w:r w:rsidRPr="00431C9A">
        <w:rPr>
          <w:rFonts w:ascii="Times New Roman" w:hAnsi="Times New Roman"/>
          <w:sz w:val="20"/>
        </w:rPr>
        <w:t>Note that the bribes, losses due to outages, and crime variables are based on firms that answered in monetary units.</w:t>
      </w:r>
    </w:p>
  </w:footnote>
  <w:footnote w:id="48">
    <w:p w14:paraId="52190F01" w14:textId="18BAD02C"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These are calculated by first calculating the weighted average for each variable for each country where </w:t>
      </w:r>
      <w:r>
        <w:rPr>
          <w:rFonts w:ascii="Times New Roman" w:hAnsi="Times New Roman"/>
          <w:sz w:val="20"/>
        </w:rPr>
        <w:t>e</w:t>
      </w:r>
      <w:r w:rsidRPr="00431C9A">
        <w:rPr>
          <w:rFonts w:ascii="Times New Roman" w:hAnsi="Times New Roman"/>
          <w:sz w:val="20"/>
        </w:rPr>
        <w:t xml:space="preserve">nterprise </w:t>
      </w:r>
      <w:r>
        <w:rPr>
          <w:rFonts w:ascii="Times New Roman" w:hAnsi="Times New Roman"/>
          <w:sz w:val="20"/>
        </w:rPr>
        <w:t>s</w:t>
      </w:r>
      <w:r w:rsidRPr="00431C9A">
        <w:rPr>
          <w:rFonts w:ascii="Times New Roman" w:hAnsi="Times New Roman"/>
          <w:sz w:val="20"/>
        </w:rPr>
        <w:t>urveys have been completed.</w:t>
      </w:r>
      <w:r>
        <w:rPr>
          <w:rFonts w:ascii="Times New Roman" w:hAnsi="Times New Roman"/>
          <w:sz w:val="20"/>
        </w:rPr>
        <w:t xml:space="preserve"> </w:t>
      </w:r>
      <w:r w:rsidRPr="00431C9A">
        <w:rPr>
          <w:rFonts w:ascii="Times New Roman" w:hAnsi="Times New Roman"/>
          <w:sz w:val="20"/>
        </w:rPr>
        <w:t xml:space="preserve">We then calculate an (unweighted) median and </w:t>
      </w:r>
      <w:r>
        <w:rPr>
          <w:rFonts w:ascii="Times New Roman" w:hAnsi="Times New Roman"/>
          <w:sz w:val="20"/>
        </w:rPr>
        <w:t>twentieth</w:t>
      </w:r>
      <w:r w:rsidRPr="00431C9A">
        <w:rPr>
          <w:rFonts w:ascii="Times New Roman" w:hAnsi="Times New Roman"/>
          <w:sz w:val="20"/>
        </w:rPr>
        <w:t xml:space="preserve"> percentile for each variable using the country averages.</w:t>
      </w:r>
      <w:r>
        <w:rPr>
          <w:rFonts w:ascii="Times New Roman" w:hAnsi="Times New Roman"/>
          <w:sz w:val="20"/>
        </w:rPr>
        <w:t xml:space="preserve"> </w:t>
      </w:r>
      <w:r w:rsidRPr="00431C9A">
        <w:rPr>
          <w:rFonts w:ascii="Times New Roman" w:hAnsi="Times New Roman"/>
          <w:sz w:val="20"/>
        </w:rPr>
        <w:t xml:space="preserve">We do not weight the country medians because we do not want the results to be driven mostly by large countries such as China and India. </w:t>
      </w:r>
    </w:p>
  </w:footnote>
  <w:footnote w:id="49">
    <w:p w14:paraId="33A41C87" w14:textId="095E8452" w:rsidR="00A02DAA" w:rsidRPr="00C1531C" w:rsidRDefault="00A02DAA" w:rsidP="00C1531C">
      <w:pPr>
        <w:rPr>
          <w:sz w:val="20"/>
          <w:szCs w:val="20"/>
        </w:rPr>
      </w:pPr>
      <w:r w:rsidRPr="00C1531C">
        <w:rPr>
          <w:rStyle w:val="FootnoteReference"/>
          <w:sz w:val="20"/>
          <w:szCs w:val="20"/>
        </w:rPr>
        <w:footnoteRef/>
      </w:r>
      <w:r w:rsidRPr="00C1531C">
        <w:rPr>
          <w:sz w:val="20"/>
          <w:szCs w:val="20"/>
        </w:rPr>
        <w:t xml:space="preserve"> </w:t>
      </w:r>
      <w:r>
        <w:rPr>
          <w:sz w:val="20"/>
          <w:szCs w:val="20"/>
        </w:rPr>
        <w:t>There is an issue when asking</w:t>
      </w:r>
      <w:r w:rsidRPr="00C1531C">
        <w:rPr>
          <w:sz w:val="20"/>
          <w:szCs w:val="20"/>
        </w:rPr>
        <w:t xml:space="preserve"> managers </w:t>
      </w:r>
      <w:r>
        <w:rPr>
          <w:sz w:val="20"/>
          <w:szCs w:val="20"/>
        </w:rPr>
        <w:t>what</w:t>
      </w:r>
      <w:r w:rsidRPr="00C1531C">
        <w:rPr>
          <w:sz w:val="20"/>
          <w:szCs w:val="20"/>
        </w:rPr>
        <w:t xml:space="preserve"> </w:t>
      </w:r>
      <w:r>
        <w:rPr>
          <w:sz w:val="20"/>
          <w:szCs w:val="20"/>
        </w:rPr>
        <w:t>their</w:t>
      </w:r>
      <w:r w:rsidRPr="00C1531C">
        <w:rPr>
          <w:sz w:val="20"/>
          <w:szCs w:val="20"/>
        </w:rPr>
        <w:t xml:space="preserve"> losses due to investment climate problems</w:t>
      </w:r>
      <w:r>
        <w:rPr>
          <w:sz w:val="20"/>
          <w:szCs w:val="20"/>
        </w:rPr>
        <w:t xml:space="preserve"> are</w:t>
      </w:r>
      <w:r w:rsidRPr="00C1531C">
        <w:rPr>
          <w:sz w:val="20"/>
          <w:szCs w:val="20"/>
        </w:rPr>
        <w:t>: losses due to crime and security costs</w:t>
      </w:r>
      <w:r>
        <w:rPr>
          <w:sz w:val="20"/>
          <w:szCs w:val="20"/>
        </w:rPr>
        <w:t>,</w:t>
      </w:r>
      <w:r w:rsidRPr="00C1531C">
        <w:rPr>
          <w:sz w:val="20"/>
          <w:szCs w:val="20"/>
        </w:rPr>
        <w:t xml:space="preserve"> bribe payments</w:t>
      </w:r>
      <w:r>
        <w:rPr>
          <w:sz w:val="20"/>
          <w:szCs w:val="20"/>
        </w:rPr>
        <w:t>,</w:t>
      </w:r>
      <w:r w:rsidRPr="00C1531C">
        <w:rPr>
          <w:sz w:val="20"/>
          <w:szCs w:val="20"/>
        </w:rPr>
        <w:t xml:space="preserve"> and losses due to power outages.</w:t>
      </w:r>
      <w:r>
        <w:rPr>
          <w:sz w:val="20"/>
          <w:szCs w:val="20"/>
        </w:rPr>
        <w:t xml:space="preserve"> </w:t>
      </w:r>
      <w:r w:rsidRPr="00C1531C">
        <w:rPr>
          <w:sz w:val="20"/>
          <w:szCs w:val="20"/>
        </w:rPr>
        <w:t xml:space="preserve">The questions that these three variables are based on </w:t>
      </w:r>
      <w:r>
        <w:rPr>
          <w:sz w:val="20"/>
          <w:szCs w:val="20"/>
        </w:rPr>
        <w:t xml:space="preserve">are </w:t>
      </w:r>
      <w:r w:rsidRPr="00C1531C">
        <w:rPr>
          <w:sz w:val="20"/>
          <w:szCs w:val="20"/>
        </w:rPr>
        <w:t>questions that allow the managers to answer either as a percent of sales or in monetary terms.</w:t>
      </w:r>
      <w:r>
        <w:rPr>
          <w:sz w:val="20"/>
          <w:szCs w:val="20"/>
        </w:rPr>
        <w:t xml:space="preserve"> </w:t>
      </w:r>
      <w:r w:rsidRPr="00C1531C">
        <w:rPr>
          <w:sz w:val="20"/>
          <w:szCs w:val="20"/>
        </w:rPr>
        <w:t xml:space="preserve">Although this should not matter in principles, earlier studies have shown that managers who answer in monetary terms report significantly lower losses than managers who answer as a percent of sales </w:t>
      </w:r>
      <w:r w:rsidRPr="00C1531C">
        <w:rPr>
          <w:sz w:val="20"/>
          <w:szCs w:val="20"/>
        </w:rPr>
        <w:fldChar w:fldCharType="begin"/>
      </w:r>
      <w:r w:rsidRPr="00C1531C">
        <w:rPr>
          <w:sz w:val="20"/>
          <w:szCs w:val="20"/>
        </w:rPr>
        <w:instrText xml:space="preserve"> ADDIN EN.CITE &lt;EndNote&gt;&lt;Cite&gt;&lt;Author&gt;Malomo&lt;/Author&gt;&lt;Year&gt;2013&lt;/Year&gt;&lt;RecNum&gt;1876&lt;/RecNum&gt;&lt;DisplayText&gt;(Clarke, 2011b; Malomo, 2013)&lt;/DisplayText&gt;&lt;record&gt;&lt;rec-number&gt;1876&lt;/rec-number&gt;&lt;foreign-keys&gt;&lt;key app="EN" db-id="a2axxpp0vxrx2ye0waextew499dexfxaa0v9"&gt;1876&lt;/key&gt;&lt;/foreign-keys&gt;&lt;ref-type name="Unpublished Work"&gt;34&lt;/ref-type&gt;&lt;contributors&gt;&lt;authors&gt;&lt;author&gt;Malomo, Fola&lt;/author&gt;&lt;/authors&gt;&lt;/contributors&gt;&lt;titles&gt;&lt;title&gt;Factors Influencing the Propensity to Bribe and Size of Bribe Payments: Evidence from Formal Manufacturing Firms in West Africa&lt;/title&gt;&lt;/titles&gt;&lt;dates&gt;&lt;year&gt;2013&lt;/year&gt;&lt;/dates&gt;&lt;pub-location&gt;Brighton, UK&lt;/pub-location&gt;&lt;publisher&gt;University of Sussex&lt;/publisher&gt;&lt;urls&gt;&lt;/urls&gt;&lt;/record&gt;&lt;/Cite&gt;&lt;Cite&gt;&lt;Author&gt;Clarke&lt;/Author&gt;&lt;Year&gt;2011&lt;/Year&gt;&lt;RecNum&gt;355&lt;/RecNum&gt;&lt;record&gt;&lt;rec-number&gt;355&lt;/rec-number&gt;&lt;foreign-keys&gt;&lt;key app="EN" db-id="a2axxpp0vxrx2ye0waextew499dexfxaa0v9"&gt;355&lt;/key&gt;&lt;/foreign-keys&gt;&lt;ref-type name="Journal Article"&gt;17&lt;/ref-type&gt;&lt;contributors&gt;&lt;authors&gt;&lt;author&gt;Clarke, George R. G.&lt;/author&gt;&lt;/authors&gt;&lt;/contributors&gt;&lt;titles&gt;&lt;title&gt;How Petty is Petty Corruption? Evidence from Firm Surveys in Africa&lt;/title&gt;&lt;secondary-title&gt;World Development&lt;/secondary-title&gt;&lt;/titles&gt;&lt;periodical&gt;&lt;full-title&gt;World Development&lt;/full-title&gt;&lt;/periodical&gt;&lt;pages&gt;1122-1132&lt;/pages&gt;&lt;volume&gt;39&lt;/volume&gt;&lt;number&gt;7&lt;/number&gt;&lt;keywords&gt;&lt;keyword&gt;Corruption&lt;/keyword&gt;&lt;keyword&gt;Firms&lt;/keyword&gt;&lt;keyword&gt;Firm&lt;/keyword&gt;&lt;keyword&gt;Surveys&lt;/keyword&gt;&lt;keyword&gt;Survey&lt;/keyword&gt;&lt;/keywords&gt;&lt;dates&gt;&lt;year&gt;2011&lt;/year&gt;&lt;/dates&gt;&lt;pub-location&gt;Washington DC&lt;/pub-location&gt;&lt;publisher&gt;World Bank&lt;/publisher&gt;&lt;urls&gt;&lt;related-urls&gt;&lt;url&gt;http://dx.doi.org/ doi:10.1016/j.worlddev.2010.11.002&lt;/url&gt;&lt;/related-urls&gt;&lt;/urls&gt;&lt;/record&gt;&lt;/Cite&gt;&lt;/EndNote&gt;</w:instrText>
      </w:r>
      <w:r w:rsidRPr="00C1531C">
        <w:rPr>
          <w:sz w:val="20"/>
          <w:szCs w:val="20"/>
        </w:rPr>
        <w:fldChar w:fldCharType="separate"/>
      </w:r>
      <w:r w:rsidRPr="00C1531C">
        <w:rPr>
          <w:noProof/>
          <w:sz w:val="20"/>
          <w:szCs w:val="20"/>
        </w:rPr>
        <w:t>(</w:t>
      </w:r>
      <w:hyperlink w:anchor="_ENREF_6" w:tooltip="Clarke, 2011 #355" w:history="1">
        <w:r w:rsidRPr="00C1531C">
          <w:rPr>
            <w:noProof/>
            <w:sz w:val="20"/>
            <w:szCs w:val="20"/>
          </w:rPr>
          <w:t>Clarke 2011b</w:t>
        </w:r>
      </w:hyperlink>
      <w:r w:rsidRPr="00C1531C">
        <w:rPr>
          <w:noProof/>
          <w:sz w:val="20"/>
          <w:szCs w:val="20"/>
        </w:rPr>
        <w:t xml:space="preserve">; </w:t>
      </w:r>
      <w:hyperlink w:anchor="_ENREF_28" w:tooltip="Malomo, 2013 #1876" w:history="1">
        <w:r w:rsidRPr="00C1531C">
          <w:rPr>
            <w:noProof/>
            <w:sz w:val="20"/>
            <w:szCs w:val="20"/>
          </w:rPr>
          <w:t>Malomo 2013</w:t>
        </w:r>
      </w:hyperlink>
      <w:r w:rsidRPr="00C1531C">
        <w:rPr>
          <w:noProof/>
          <w:sz w:val="20"/>
          <w:szCs w:val="20"/>
        </w:rPr>
        <w:t>)</w:t>
      </w:r>
      <w:r w:rsidRPr="00C1531C">
        <w:rPr>
          <w:sz w:val="20"/>
          <w:szCs w:val="20"/>
        </w:rPr>
        <w:fldChar w:fldCharType="end"/>
      </w:r>
      <w:r w:rsidRPr="00C1531C">
        <w:rPr>
          <w:sz w:val="20"/>
          <w:szCs w:val="20"/>
        </w:rPr>
        <w:t>.</w:t>
      </w:r>
      <w:r>
        <w:rPr>
          <w:sz w:val="20"/>
          <w:szCs w:val="20"/>
        </w:rPr>
        <w:t xml:space="preserve"> </w:t>
      </w:r>
      <w:r w:rsidRPr="00C1531C">
        <w:rPr>
          <w:sz w:val="20"/>
          <w:szCs w:val="20"/>
        </w:rPr>
        <w:t xml:space="preserve">Moreover, these differences do not appear to be due to observable or unobservable differences between firms whose managers answer as a percent of sales and firms whose managers answer in monetary terms </w:t>
      </w:r>
      <w:r w:rsidRPr="00C1531C">
        <w:rPr>
          <w:sz w:val="20"/>
          <w:szCs w:val="20"/>
        </w:rPr>
        <w:fldChar w:fldCharType="begin"/>
      </w:r>
      <w:r w:rsidRPr="00C1531C">
        <w:rPr>
          <w:sz w:val="20"/>
          <w:szCs w:val="20"/>
        </w:rPr>
        <w:instrText xml:space="preserve"> ADDIN EN.CITE &lt;EndNote&gt;&lt;Cite&gt;&lt;Author&gt;Clarke&lt;/Author&gt;&lt;Year&gt;2011&lt;/Year&gt;&lt;RecNum&gt;355&lt;/RecNum&gt;&lt;DisplayText&gt;(Clarke, 2011b)&lt;/DisplayText&gt;&lt;record&gt;&lt;rec-number&gt;355&lt;/rec-number&gt;&lt;foreign-keys&gt;&lt;key app="EN" db-id="a2axxpp0vxrx2ye0waextew499dexfxaa0v9"&gt;355&lt;/key&gt;&lt;/foreign-keys&gt;&lt;ref-type name="Journal Article"&gt;17&lt;/ref-type&gt;&lt;contributors&gt;&lt;authors&gt;&lt;author&gt;Clarke, George R. G.&lt;/author&gt;&lt;/authors&gt;&lt;/contributors&gt;&lt;titles&gt;&lt;title&gt;How Petty is Petty Corruption? Evidence from Firm Surveys in Africa&lt;/title&gt;&lt;secondary-title&gt;World Development&lt;/secondary-title&gt;&lt;/titles&gt;&lt;periodical&gt;&lt;full-title&gt;World Development&lt;/full-title&gt;&lt;/periodical&gt;&lt;pages&gt;1122-1132&lt;/pages&gt;&lt;volume&gt;39&lt;/volume&gt;&lt;number&gt;7&lt;/number&gt;&lt;keywords&gt;&lt;keyword&gt;Corruption&lt;/keyword&gt;&lt;keyword&gt;Firms&lt;/keyword&gt;&lt;keyword&gt;Firm&lt;/keyword&gt;&lt;keyword&gt;Surveys&lt;/keyword&gt;&lt;keyword&gt;Survey&lt;/keyword&gt;&lt;/keywords&gt;&lt;dates&gt;&lt;year&gt;2011&lt;/year&gt;&lt;/dates&gt;&lt;pub-location&gt;Washington DC&lt;/pub-location&gt;&lt;publisher&gt;World Bank&lt;/publisher&gt;&lt;urls&gt;&lt;related-urls&gt;&lt;url&gt;http://dx.doi.org/ doi:10.1016/j.worlddev.2010.11.002&lt;/url&gt;&lt;/related-urls&gt;&lt;/urls&gt;&lt;/record&gt;&lt;/Cite&gt;&lt;/EndNote&gt;</w:instrText>
      </w:r>
      <w:r w:rsidRPr="00C1531C">
        <w:rPr>
          <w:sz w:val="20"/>
          <w:szCs w:val="20"/>
        </w:rPr>
        <w:fldChar w:fldCharType="separate"/>
      </w:r>
      <w:r w:rsidRPr="00C1531C">
        <w:rPr>
          <w:noProof/>
          <w:sz w:val="20"/>
          <w:szCs w:val="20"/>
        </w:rPr>
        <w:t>(</w:t>
      </w:r>
      <w:hyperlink w:anchor="_ENREF_6" w:tooltip="Clarke, 2011 #355" w:history="1">
        <w:r w:rsidRPr="00C1531C">
          <w:rPr>
            <w:noProof/>
            <w:sz w:val="20"/>
            <w:szCs w:val="20"/>
          </w:rPr>
          <w:t>Clarke 2011b</w:t>
        </w:r>
      </w:hyperlink>
      <w:r w:rsidRPr="00C1531C">
        <w:rPr>
          <w:noProof/>
          <w:sz w:val="20"/>
          <w:szCs w:val="20"/>
        </w:rPr>
        <w:t>)</w:t>
      </w:r>
      <w:r w:rsidRPr="00C1531C">
        <w:rPr>
          <w:sz w:val="20"/>
          <w:szCs w:val="20"/>
        </w:rPr>
        <w:fldChar w:fldCharType="end"/>
      </w:r>
      <w:r w:rsidRPr="00C1531C">
        <w:rPr>
          <w:sz w:val="20"/>
          <w:szCs w:val="20"/>
        </w:rPr>
        <w:t>.</w:t>
      </w:r>
      <w:r>
        <w:rPr>
          <w:sz w:val="20"/>
          <w:szCs w:val="20"/>
        </w:rPr>
        <w:t xml:space="preserve"> </w:t>
      </w:r>
      <w:r w:rsidRPr="00C1531C">
        <w:rPr>
          <w:sz w:val="20"/>
          <w:szCs w:val="20"/>
        </w:rPr>
        <w:t xml:space="preserve">Although it is not clear whether managers who report as a percent of sales </w:t>
      </w:r>
      <w:r>
        <w:rPr>
          <w:sz w:val="20"/>
          <w:szCs w:val="20"/>
        </w:rPr>
        <w:t>over</w:t>
      </w:r>
      <w:r w:rsidRPr="00C1531C">
        <w:rPr>
          <w:sz w:val="20"/>
          <w:szCs w:val="20"/>
        </w:rPr>
        <w:t xml:space="preserve">report losses or managers who report in monetary terms </w:t>
      </w:r>
      <w:r>
        <w:rPr>
          <w:sz w:val="20"/>
          <w:szCs w:val="20"/>
        </w:rPr>
        <w:t>under</w:t>
      </w:r>
      <w:r w:rsidRPr="00C1531C">
        <w:rPr>
          <w:sz w:val="20"/>
          <w:szCs w:val="20"/>
        </w:rPr>
        <w:t>report, it is important to ensure that managers</w:t>
      </w:r>
      <w:r>
        <w:rPr>
          <w:sz w:val="20"/>
          <w:szCs w:val="20"/>
        </w:rPr>
        <w:t>’</w:t>
      </w:r>
      <w:r w:rsidRPr="00C1531C">
        <w:rPr>
          <w:sz w:val="20"/>
          <w:szCs w:val="20"/>
        </w:rPr>
        <w:t xml:space="preserve"> responses are comparable.</w:t>
      </w:r>
      <w:r>
        <w:rPr>
          <w:sz w:val="20"/>
          <w:szCs w:val="20"/>
        </w:rPr>
        <w:t xml:space="preserve"> </w:t>
      </w:r>
      <w:r w:rsidRPr="00C1531C">
        <w:rPr>
          <w:sz w:val="20"/>
          <w:szCs w:val="20"/>
        </w:rPr>
        <w:t>To do this, we regress the reported losses on a complete set of country dummies and a dummy indicating the manager answered in monetary terms.</w:t>
      </w:r>
      <w:r>
        <w:rPr>
          <w:sz w:val="20"/>
          <w:szCs w:val="20"/>
        </w:rPr>
        <w:t xml:space="preserve"> </w:t>
      </w:r>
      <w:r w:rsidRPr="00C1531C">
        <w:rPr>
          <w:sz w:val="20"/>
          <w:szCs w:val="20"/>
        </w:rPr>
        <w:t>We then calculate responses assuming the manager answered in monetary terms.</w:t>
      </w:r>
    </w:p>
  </w:footnote>
  <w:footnote w:id="50">
    <w:p w14:paraId="2661894F" w14:textId="14F9F524"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C. </w:t>
      </w:r>
      <w:r w:rsidRPr="00431C9A">
        <w:rPr>
          <w:rFonts w:ascii="Times New Roman" w:hAnsi="Times New Roman"/>
          <w:sz w:val="20"/>
        </w:rPr>
        <w:t xml:space="preserve">Blattman and </w:t>
      </w:r>
      <w:r>
        <w:rPr>
          <w:rFonts w:ascii="Times New Roman" w:hAnsi="Times New Roman"/>
          <w:sz w:val="20"/>
        </w:rPr>
        <w:t xml:space="preserve">S. </w:t>
      </w:r>
      <w:r w:rsidRPr="00431C9A">
        <w:rPr>
          <w:rFonts w:ascii="Times New Roman" w:hAnsi="Times New Roman"/>
          <w:sz w:val="20"/>
        </w:rPr>
        <w:t xml:space="preserve">Dercon, </w:t>
      </w:r>
      <w:r w:rsidRPr="00431C9A">
        <w:rPr>
          <w:rFonts w:ascii="Times New Roman" w:hAnsi="Times New Roman"/>
          <w:i/>
          <w:sz w:val="20"/>
        </w:rPr>
        <w:t xml:space="preserve">More Sweatshops for Africa? A </w:t>
      </w:r>
      <w:r>
        <w:rPr>
          <w:rFonts w:ascii="Times New Roman" w:hAnsi="Times New Roman"/>
          <w:i/>
          <w:sz w:val="20"/>
        </w:rPr>
        <w:t>R</w:t>
      </w:r>
      <w:r w:rsidRPr="00431C9A">
        <w:rPr>
          <w:rFonts w:ascii="Times New Roman" w:hAnsi="Times New Roman"/>
          <w:i/>
          <w:sz w:val="20"/>
        </w:rPr>
        <w:t xml:space="preserve">andomized </w:t>
      </w:r>
      <w:r>
        <w:rPr>
          <w:rFonts w:ascii="Times New Roman" w:hAnsi="Times New Roman"/>
          <w:i/>
          <w:sz w:val="20"/>
        </w:rPr>
        <w:t>T</w:t>
      </w:r>
      <w:r w:rsidRPr="00431C9A">
        <w:rPr>
          <w:rFonts w:ascii="Times New Roman" w:hAnsi="Times New Roman"/>
          <w:i/>
          <w:sz w:val="20"/>
        </w:rPr>
        <w:t xml:space="preserve">rial of </w:t>
      </w:r>
      <w:r>
        <w:rPr>
          <w:rFonts w:ascii="Times New Roman" w:hAnsi="Times New Roman"/>
          <w:i/>
          <w:sz w:val="20"/>
        </w:rPr>
        <w:t>I</w:t>
      </w:r>
      <w:r w:rsidRPr="00431C9A">
        <w:rPr>
          <w:rFonts w:ascii="Times New Roman" w:hAnsi="Times New Roman"/>
          <w:i/>
          <w:sz w:val="20"/>
        </w:rPr>
        <w:t xml:space="preserve">ndustrial </w:t>
      </w:r>
      <w:r>
        <w:rPr>
          <w:rFonts w:ascii="Times New Roman" w:hAnsi="Times New Roman"/>
          <w:i/>
          <w:sz w:val="20"/>
        </w:rPr>
        <w:t>J</w:t>
      </w:r>
      <w:r w:rsidRPr="00431C9A">
        <w:rPr>
          <w:rFonts w:ascii="Times New Roman" w:hAnsi="Times New Roman"/>
          <w:i/>
          <w:sz w:val="20"/>
        </w:rPr>
        <w:t xml:space="preserve">obs and </w:t>
      </w:r>
      <w:r>
        <w:rPr>
          <w:rFonts w:ascii="Times New Roman" w:hAnsi="Times New Roman"/>
          <w:i/>
          <w:sz w:val="20"/>
        </w:rPr>
        <w:t>S</w:t>
      </w:r>
      <w:r w:rsidRPr="00431C9A">
        <w:rPr>
          <w:rFonts w:ascii="Times New Roman" w:hAnsi="Times New Roman"/>
          <w:i/>
          <w:sz w:val="20"/>
        </w:rPr>
        <w:t>elf-employment</w:t>
      </w:r>
      <w:r>
        <w:rPr>
          <w:rFonts w:ascii="Times New Roman" w:hAnsi="Times New Roman"/>
          <w:sz w:val="20"/>
        </w:rPr>
        <w:t xml:space="preserve">, forthcoming, (2014). </w:t>
      </w:r>
      <w:r w:rsidRPr="00431C9A">
        <w:rPr>
          <w:rFonts w:ascii="Times New Roman" w:hAnsi="Times New Roman"/>
          <w:sz w:val="20"/>
        </w:rPr>
        <w:t>Some developing countries, such as Ethiopia, suffer from a retention issue. Workers report industrial jobs are poorly paid and most of them quit after a few weeks on the factory floor.</w:t>
      </w:r>
    </w:p>
  </w:footnote>
  <w:footnote w:id="51">
    <w:p w14:paraId="06DD5D6A" w14:textId="5EECB3C0" w:rsidR="00A02DAA" w:rsidRPr="00EE3726" w:rsidRDefault="00A02DAA" w:rsidP="006C76E3">
      <w:pPr>
        <w:pStyle w:val="Default"/>
        <w:spacing w:after="60"/>
        <w:rPr>
          <w:rFonts w:ascii="Times New Roman" w:hAnsi="Times New Roman" w:cs="Times New Roman"/>
          <w:i/>
          <w:sz w:val="20"/>
          <w:szCs w:val="20"/>
        </w:rPr>
      </w:pPr>
      <w:r w:rsidRPr="00431C9A">
        <w:rPr>
          <w:rStyle w:val="FootnoteReference"/>
          <w:rFonts w:ascii="Times New Roman" w:hAnsi="Times New Roman" w:cs="Times New Roman"/>
          <w:sz w:val="20"/>
          <w:szCs w:val="20"/>
        </w:rPr>
        <w:footnoteRef/>
      </w:r>
      <w:r w:rsidRPr="00431C9A">
        <w:rPr>
          <w:rFonts w:ascii="Times New Roman" w:hAnsi="Times New Roman" w:cs="Times New Roman"/>
          <w:sz w:val="20"/>
          <w:szCs w:val="20"/>
        </w:rPr>
        <w:t xml:space="preserve"> World Bank</w:t>
      </w:r>
      <w:r>
        <w:rPr>
          <w:rFonts w:ascii="Times New Roman" w:hAnsi="Times New Roman" w:cs="Times New Roman"/>
          <w:sz w:val="20"/>
          <w:szCs w:val="20"/>
        </w:rPr>
        <w:t>,</w:t>
      </w:r>
      <w:r w:rsidRPr="00431C9A">
        <w:rPr>
          <w:rFonts w:ascii="Times New Roman" w:hAnsi="Times New Roman" w:cs="Times New Roman"/>
          <w:sz w:val="20"/>
          <w:szCs w:val="20"/>
        </w:rPr>
        <w:t xml:space="preserve"> </w:t>
      </w:r>
      <w:r w:rsidRPr="00EE3726">
        <w:rPr>
          <w:rFonts w:ascii="Times New Roman" w:hAnsi="Times New Roman" w:cs="Times New Roman"/>
          <w:i/>
          <w:sz w:val="20"/>
          <w:szCs w:val="20"/>
        </w:rPr>
        <w:t xml:space="preserve">Nigeria Education and Skills Policy Note 2: Skills for Competitiveness and Employability, </w:t>
      </w:r>
      <w:r w:rsidRPr="00EE3726">
        <w:rPr>
          <w:rFonts w:ascii="Times New Roman" w:hAnsi="Times New Roman" w:cs="Times New Roman"/>
          <w:bCs/>
          <w:i/>
          <w:sz w:val="20"/>
          <w:szCs w:val="20"/>
        </w:rPr>
        <w:t>Report No. 96420-NG</w:t>
      </w:r>
      <w:r>
        <w:rPr>
          <w:rFonts w:ascii="Times New Roman" w:hAnsi="Times New Roman" w:cs="Times New Roman"/>
          <w:bCs/>
          <w:i/>
          <w:sz w:val="20"/>
          <w:szCs w:val="20"/>
        </w:rPr>
        <w:t xml:space="preserve">, </w:t>
      </w:r>
      <w:r w:rsidRPr="00EE3726">
        <w:rPr>
          <w:rFonts w:ascii="Times New Roman" w:hAnsi="Times New Roman" w:cs="Times New Roman"/>
          <w:bCs/>
          <w:sz w:val="20"/>
          <w:szCs w:val="20"/>
        </w:rPr>
        <w:t>(2015).</w:t>
      </w:r>
    </w:p>
  </w:footnote>
  <w:footnote w:id="52">
    <w:p w14:paraId="75556A72" w14:textId="77777777"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World Bank (2015), ibid. </w:t>
      </w:r>
    </w:p>
  </w:footnote>
  <w:footnote w:id="53">
    <w:p w14:paraId="68E1876E" w14:textId="2B7D517B"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J. </w:t>
      </w:r>
      <w:r w:rsidRPr="00431C9A">
        <w:rPr>
          <w:rFonts w:ascii="Times New Roman" w:hAnsi="Times New Roman"/>
          <w:sz w:val="20"/>
        </w:rPr>
        <w:t xml:space="preserve">Giles and </w:t>
      </w:r>
      <w:r>
        <w:rPr>
          <w:rFonts w:ascii="Times New Roman" w:hAnsi="Times New Roman"/>
          <w:sz w:val="20"/>
        </w:rPr>
        <w:t xml:space="preserve">Y. </w:t>
      </w:r>
      <w:r w:rsidRPr="00431C9A">
        <w:rPr>
          <w:rFonts w:ascii="Times New Roman" w:hAnsi="Times New Roman"/>
          <w:sz w:val="20"/>
        </w:rPr>
        <w:t>Huang</w:t>
      </w:r>
      <w:r>
        <w:rPr>
          <w:rFonts w:ascii="Times New Roman" w:hAnsi="Times New Roman"/>
          <w:sz w:val="20"/>
        </w:rPr>
        <w:t xml:space="preserve">, </w:t>
      </w:r>
      <w:r w:rsidRPr="00EE3726">
        <w:rPr>
          <w:rFonts w:ascii="Times New Roman" w:hAnsi="Times New Roman"/>
          <w:i/>
          <w:sz w:val="20"/>
        </w:rPr>
        <w:t>Education and Family Background in the Transition to Wage Employment in Nigeria</w:t>
      </w:r>
      <w:r>
        <w:rPr>
          <w:rFonts w:ascii="Times New Roman" w:hAnsi="Times New Roman"/>
          <w:sz w:val="20"/>
        </w:rPr>
        <w:t>, World Bank, draft report, (2015).</w:t>
      </w:r>
    </w:p>
  </w:footnote>
  <w:footnote w:id="54">
    <w:p w14:paraId="79857457" w14:textId="29DE332E" w:rsidR="00A02DAA" w:rsidRPr="00282C3D" w:rsidRDefault="00A02DAA" w:rsidP="006C76E3">
      <w:pPr>
        <w:spacing w:after="60"/>
        <w:rPr>
          <w:rFonts w:eastAsia="Times New Roman" w:cs="Times New Roman"/>
          <w:color w:val="000000"/>
          <w:sz w:val="20"/>
          <w:szCs w:val="20"/>
        </w:rPr>
      </w:pPr>
      <w:r w:rsidRPr="00431C9A">
        <w:rPr>
          <w:rStyle w:val="FootnoteReference"/>
          <w:rFonts w:cs="Times New Roman"/>
          <w:sz w:val="20"/>
          <w:szCs w:val="20"/>
        </w:rPr>
        <w:footnoteRef/>
      </w:r>
      <w:r w:rsidRPr="00431C9A">
        <w:rPr>
          <w:rFonts w:cs="Times New Roman"/>
          <w:sz w:val="20"/>
          <w:szCs w:val="20"/>
        </w:rPr>
        <w:t xml:space="preserve"> </w:t>
      </w:r>
      <w:r>
        <w:rPr>
          <w:rFonts w:cs="Times New Roman"/>
          <w:sz w:val="20"/>
          <w:szCs w:val="20"/>
        </w:rPr>
        <w:t xml:space="preserve">J. </w:t>
      </w:r>
      <w:r w:rsidRPr="00431C9A">
        <w:rPr>
          <w:rFonts w:eastAsia="Times New Roman" w:cs="Times New Roman"/>
          <w:color w:val="000000"/>
          <w:sz w:val="20"/>
          <w:szCs w:val="20"/>
        </w:rPr>
        <w:t xml:space="preserve">Schumpeter, </w:t>
      </w:r>
      <w:r w:rsidRPr="00431C9A">
        <w:rPr>
          <w:rFonts w:eastAsia="Times New Roman" w:cs="Times New Roman"/>
          <w:i/>
          <w:color w:val="000000"/>
          <w:sz w:val="20"/>
          <w:szCs w:val="20"/>
        </w:rPr>
        <w:t>Capitalism, Socialism, and Democracy</w:t>
      </w:r>
      <w:r>
        <w:rPr>
          <w:rFonts w:eastAsia="Times New Roman" w:cs="Times New Roman"/>
          <w:color w:val="000000"/>
          <w:sz w:val="20"/>
          <w:szCs w:val="20"/>
        </w:rPr>
        <w:t xml:space="preserve">. </w:t>
      </w:r>
      <w:r w:rsidRPr="00282C3D">
        <w:rPr>
          <w:rFonts w:eastAsia="Times New Roman" w:cs="Times New Roman"/>
          <w:color w:val="000000"/>
          <w:sz w:val="20"/>
          <w:szCs w:val="20"/>
        </w:rPr>
        <w:t>(New York: Harper &amp; Bros, 1942).</w:t>
      </w:r>
    </w:p>
  </w:footnote>
  <w:footnote w:id="55">
    <w:p w14:paraId="07167DBF" w14:textId="3BAAE0A8"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Paul M. </w:t>
      </w:r>
      <w:r w:rsidRPr="00431C9A">
        <w:rPr>
          <w:rFonts w:ascii="Times New Roman" w:hAnsi="Times New Roman"/>
          <w:color w:val="000000"/>
          <w:sz w:val="20"/>
        </w:rPr>
        <w:t xml:space="preserve">Romer, </w:t>
      </w:r>
      <w:r>
        <w:rPr>
          <w:rFonts w:ascii="Times New Roman" w:hAnsi="Times New Roman"/>
          <w:color w:val="000000"/>
          <w:sz w:val="20"/>
        </w:rPr>
        <w:t>“</w:t>
      </w:r>
      <w:r w:rsidRPr="00431C9A">
        <w:rPr>
          <w:rFonts w:ascii="Times New Roman" w:hAnsi="Times New Roman"/>
          <w:color w:val="000000"/>
          <w:sz w:val="20"/>
        </w:rPr>
        <w:t>Increasing Returns and Long</w:t>
      </w:r>
      <w:r>
        <w:rPr>
          <w:rFonts w:ascii="Times New Roman" w:hAnsi="Times New Roman"/>
          <w:color w:val="000000"/>
          <w:sz w:val="20"/>
        </w:rPr>
        <w:t>-</w:t>
      </w:r>
      <w:r w:rsidRPr="00431C9A">
        <w:rPr>
          <w:rFonts w:ascii="Times New Roman" w:hAnsi="Times New Roman"/>
          <w:color w:val="000000"/>
          <w:sz w:val="20"/>
        </w:rPr>
        <w:t>Run Growth,</w:t>
      </w:r>
      <w:r>
        <w:rPr>
          <w:rFonts w:ascii="Times New Roman" w:hAnsi="Times New Roman"/>
          <w:color w:val="000000"/>
          <w:sz w:val="20"/>
        </w:rPr>
        <w:t>”</w:t>
      </w:r>
      <w:r w:rsidRPr="00431C9A">
        <w:rPr>
          <w:rFonts w:ascii="Times New Roman" w:hAnsi="Times New Roman"/>
          <w:color w:val="000000"/>
          <w:sz w:val="20"/>
        </w:rPr>
        <w:t xml:space="preserve"> </w:t>
      </w:r>
      <w:r w:rsidRPr="00431C9A">
        <w:rPr>
          <w:rFonts w:ascii="Times New Roman" w:hAnsi="Times New Roman"/>
          <w:i/>
          <w:color w:val="000000"/>
          <w:sz w:val="20"/>
        </w:rPr>
        <w:t>Journal of Political Economy</w:t>
      </w:r>
      <w:r w:rsidRPr="00431C9A">
        <w:rPr>
          <w:rFonts w:ascii="Times New Roman" w:hAnsi="Times New Roman"/>
          <w:color w:val="000000"/>
          <w:sz w:val="20"/>
        </w:rPr>
        <w:t xml:space="preserve"> 94 (October 1986)</w:t>
      </w:r>
      <w:r>
        <w:rPr>
          <w:rFonts w:ascii="Times New Roman" w:hAnsi="Times New Roman"/>
          <w:color w:val="000000"/>
          <w:sz w:val="20"/>
        </w:rPr>
        <w:t>,</w:t>
      </w:r>
      <w:r w:rsidRPr="00431C9A">
        <w:rPr>
          <w:rFonts w:ascii="Times New Roman" w:hAnsi="Times New Roman"/>
          <w:color w:val="000000"/>
          <w:sz w:val="20"/>
        </w:rPr>
        <w:t xml:space="preserve"> 102</w:t>
      </w:r>
      <w:r>
        <w:rPr>
          <w:rFonts w:ascii="Calibri" w:hAnsi="Calibri"/>
          <w:color w:val="000000"/>
          <w:sz w:val="20"/>
        </w:rPr>
        <w:t>‒</w:t>
      </w:r>
      <w:r w:rsidRPr="00431C9A">
        <w:rPr>
          <w:rFonts w:ascii="Times New Roman" w:hAnsi="Times New Roman"/>
          <w:color w:val="000000"/>
          <w:sz w:val="20"/>
        </w:rPr>
        <w:t>1037</w:t>
      </w:r>
      <w:r>
        <w:rPr>
          <w:rFonts w:ascii="Times New Roman" w:hAnsi="Times New Roman"/>
          <w:color w:val="000000"/>
          <w:sz w:val="20"/>
        </w:rPr>
        <w:t>.</w:t>
      </w:r>
    </w:p>
  </w:footnote>
  <w:footnote w:id="56">
    <w:p w14:paraId="7FFF672A" w14:textId="12940DF4" w:rsidR="00A02DAA" w:rsidRPr="00431C9A" w:rsidRDefault="00A02DAA" w:rsidP="006C76E3">
      <w:pPr>
        <w:spacing w:after="60"/>
        <w:rPr>
          <w:rFonts w:cs="Times New Roman"/>
          <w:sz w:val="20"/>
          <w:szCs w:val="20"/>
        </w:rPr>
      </w:pPr>
      <w:r w:rsidRPr="00431C9A">
        <w:rPr>
          <w:rStyle w:val="FootnoteReference"/>
          <w:rFonts w:cs="Times New Roman"/>
          <w:sz w:val="20"/>
          <w:szCs w:val="20"/>
        </w:rPr>
        <w:footnoteRef/>
      </w:r>
      <w:r w:rsidRPr="00431C9A">
        <w:rPr>
          <w:rFonts w:cs="Times New Roman"/>
          <w:sz w:val="20"/>
          <w:szCs w:val="20"/>
        </w:rPr>
        <w:t xml:space="preserve"> </w:t>
      </w:r>
      <w:r>
        <w:rPr>
          <w:rFonts w:cs="Times New Roman"/>
          <w:sz w:val="20"/>
          <w:szCs w:val="20"/>
        </w:rPr>
        <w:t xml:space="preserve">P. </w:t>
      </w:r>
      <w:r w:rsidRPr="00431C9A">
        <w:rPr>
          <w:rFonts w:cs="Times New Roman"/>
          <w:sz w:val="20"/>
          <w:szCs w:val="20"/>
        </w:rPr>
        <w:t>Aghion</w:t>
      </w:r>
      <w:r>
        <w:rPr>
          <w:rFonts w:cs="Times New Roman"/>
          <w:sz w:val="20"/>
          <w:szCs w:val="20"/>
        </w:rPr>
        <w:t xml:space="preserve"> and</w:t>
      </w:r>
      <w:r w:rsidRPr="00431C9A">
        <w:rPr>
          <w:rFonts w:cs="Times New Roman"/>
          <w:sz w:val="20"/>
          <w:szCs w:val="20"/>
        </w:rPr>
        <w:t xml:space="preserve"> </w:t>
      </w:r>
      <w:r>
        <w:rPr>
          <w:rFonts w:cs="Times New Roman"/>
          <w:sz w:val="20"/>
          <w:szCs w:val="20"/>
        </w:rPr>
        <w:t xml:space="preserve">P. </w:t>
      </w:r>
      <w:r w:rsidRPr="00431C9A">
        <w:rPr>
          <w:rFonts w:cs="Times New Roman"/>
          <w:sz w:val="20"/>
          <w:szCs w:val="20"/>
        </w:rPr>
        <w:t>Howitt</w:t>
      </w:r>
      <w:r>
        <w:rPr>
          <w:rFonts w:cs="Times New Roman"/>
          <w:sz w:val="20"/>
          <w:szCs w:val="20"/>
        </w:rPr>
        <w:t>, “</w:t>
      </w:r>
      <w:r w:rsidRPr="00431C9A">
        <w:rPr>
          <w:rFonts w:cs="Times New Roman"/>
          <w:sz w:val="20"/>
          <w:szCs w:val="20"/>
        </w:rPr>
        <w:t xml:space="preserve">Capital, </w:t>
      </w:r>
      <w:r>
        <w:rPr>
          <w:rFonts w:cs="Times New Roman"/>
          <w:sz w:val="20"/>
          <w:szCs w:val="20"/>
        </w:rPr>
        <w:t>I</w:t>
      </w:r>
      <w:r w:rsidRPr="00431C9A">
        <w:rPr>
          <w:rFonts w:cs="Times New Roman"/>
          <w:sz w:val="20"/>
          <w:szCs w:val="20"/>
        </w:rPr>
        <w:t xml:space="preserve">nnovation, and </w:t>
      </w:r>
      <w:r>
        <w:rPr>
          <w:rFonts w:cs="Times New Roman"/>
          <w:sz w:val="20"/>
          <w:szCs w:val="20"/>
        </w:rPr>
        <w:t>G</w:t>
      </w:r>
      <w:r w:rsidRPr="00431C9A">
        <w:rPr>
          <w:rFonts w:cs="Times New Roman"/>
          <w:sz w:val="20"/>
          <w:szCs w:val="20"/>
        </w:rPr>
        <w:t xml:space="preserve">rowth </w:t>
      </w:r>
      <w:r>
        <w:rPr>
          <w:rFonts w:cs="Times New Roman"/>
          <w:sz w:val="20"/>
          <w:szCs w:val="20"/>
        </w:rPr>
        <w:t>A</w:t>
      </w:r>
      <w:r w:rsidRPr="00431C9A">
        <w:rPr>
          <w:rFonts w:cs="Times New Roman"/>
          <w:sz w:val="20"/>
          <w:szCs w:val="20"/>
        </w:rPr>
        <w:t>ccounting,</w:t>
      </w:r>
      <w:r>
        <w:rPr>
          <w:rFonts w:cs="Times New Roman"/>
          <w:sz w:val="20"/>
          <w:szCs w:val="20"/>
        </w:rPr>
        <w:t>”</w:t>
      </w:r>
      <w:r w:rsidRPr="00431C9A">
        <w:rPr>
          <w:rFonts w:cs="Times New Roman"/>
          <w:sz w:val="20"/>
          <w:szCs w:val="20"/>
        </w:rPr>
        <w:t xml:space="preserve"> </w:t>
      </w:r>
      <w:r w:rsidRPr="00431C9A">
        <w:rPr>
          <w:rStyle w:val="Emphasis"/>
          <w:rFonts w:cs="Times New Roman"/>
          <w:sz w:val="20"/>
          <w:szCs w:val="20"/>
        </w:rPr>
        <w:t>Oxford Review of Economic Policy, Oxford Univ</w:t>
      </w:r>
      <w:r>
        <w:rPr>
          <w:rStyle w:val="Emphasis"/>
          <w:rFonts w:cs="Times New Roman"/>
          <w:sz w:val="20"/>
          <w:szCs w:val="20"/>
        </w:rPr>
        <w:t>ersity</w:t>
      </w:r>
      <w:r w:rsidRPr="00431C9A">
        <w:rPr>
          <w:rStyle w:val="Emphasis"/>
          <w:rFonts w:cs="Times New Roman"/>
          <w:sz w:val="20"/>
          <w:szCs w:val="20"/>
        </w:rPr>
        <w:t xml:space="preserve"> Press, </w:t>
      </w:r>
      <w:r w:rsidRPr="00431C9A">
        <w:rPr>
          <w:rFonts w:cs="Times New Roman"/>
          <w:i/>
          <w:iCs/>
          <w:sz w:val="20"/>
          <w:szCs w:val="20"/>
        </w:rPr>
        <w:t>23</w:t>
      </w:r>
      <w:r w:rsidRPr="00431C9A">
        <w:rPr>
          <w:rFonts w:cs="Times New Roman"/>
          <w:sz w:val="20"/>
          <w:szCs w:val="20"/>
        </w:rPr>
        <w:t xml:space="preserve">, </w:t>
      </w:r>
      <w:r>
        <w:rPr>
          <w:rFonts w:cs="Times New Roman"/>
          <w:sz w:val="20"/>
          <w:szCs w:val="20"/>
        </w:rPr>
        <w:t xml:space="preserve">(2007), </w:t>
      </w:r>
      <w:r w:rsidRPr="00431C9A">
        <w:rPr>
          <w:rFonts w:cs="Times New Roman"/>
          <w:sz w:val="20"/>
          <w:szCs w:val="20"/>
        </w:rPr>
        <w:t>79</w:t>
      </w:r>
      <w:r>
        <w:rPr>
          <w:rFonts w:ascii="Calibri" w:hAnsi="Calibri" w:cs="Times New Roman"/>
          <w:sz w:val="20"/>
          <w:szCs w:val="20"/>
        </w:rPr>
        <w:t>‒</w:t>
      </w:r>
      <w:r w:rsidRPr="00431C9A">
        <w:rPr>
          <w:rFonts w:cs="Times New Roman"/>
          <w:sz w:val="20"/>
          <w:szCs w:val="20"/>
        </w:rPr>
        <w:t>93</w:t>
      </w:r>
      <w:r>
        <w:rPr>
          <w:rFonts w:cs="Times New Roman"/>
          <w:sz w:val="20"/>
          <w:szCs w:val="20"/>
        </w:rPr>
        <w:t>.</w:t>
      </w:r>
      <w:r w:rsidRPr="00431C9A">
        <w:rPr>
          <w:rFonts w:cs="Times New Roman"/>
          <w:sz w:val="20"/>
          <w:szCs w:val="20"/>
        </w:rPr>
        <w:t xml:space="preserve"> </w:t>
      </w:r>
    </w:p>
  </w:footnote>
  <w:footnote w:id="57">
    <w:p w14:paraId="02D84132" w14:textId="1EF73DEB" w:rsidR="00A02DAA" w:rsidRPr="00282C3D"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This chapter is a summary of the background paper: </w:t>
      </w:r>
      <w:r>
        <w:rPr>
          <w:rFonts w:ascii="Times New Roman" w:hAnsi="Times New Roman"/>
          <w:sz w:val="20"/>
        </w:rPr>
        <w:t xml:space="preserve">X. </w:t>
      </w:r>
      <w:r w:rsidRPr="00431C9A">
        <w:rPr>
          <w:rFonts w:ascii="Times New Roman" w:hAnsi="Times New Roman"/>
          <w:sz w:val="20"/>
        </w:rPr>
        <w:t xml:space="preserve">Cirera, </w:t>
      </w:r>
      <w:r w:rsidRPr="00282C3D">
        <w:rPr>
          <w:rFonts w:ascii="Times New Roman" w:hAnsi="Times New Roman"/>
          <w:sz w:val="20"/>
        </w:rPr>
        <w:t xml:space="preserve">“The </w:t>
      </w:r>
      <w:r>
        <w:rPr>
          <w:rFonts w:ascii="Times New Roman" w:hAnsi="Times New Roman"/>
          <w:sz w:val="20"/>
        </w:rPr>
        <w:t>I</w:t>
      </w:r>
      <w:r w:rsidRPr="00282C3D">
        <w:rPr>
          <w:rFonts w:ascii="Times New Roman" w:hAnsi="Times New Roman"/>
          <w:sz w:val="20"/>
        </w:rPr>
        <w:t xml:space="preserve">mpact of </w:t>
      </w:r>
      <w:r>
        <w:rPr>
          <w:rFonts w:ascii="Times New Roman" w:hAnsi="Times New Roman"/>
          <w:sz w:val="20"/>
        </w:rPr>
        <w:t>F</w:t>
      </w:r>
      <w:r w:rsidRPr="00282C3D">
        <w:rPr>
          <w:rFonts w:ascii="Times New Roman" w:hAnsi="Times New Roman"/>
          <w:sz w:val="20"/>
        </w:rPr>
        <w:t>irm-</w:t>
      </w:r>
      <w:r>
        <w:rPr>
          <w:rFonts w:ascii="Times New Roman" w:hAnsi="Times New Roman"/>
          <w:sz w:val="20"/>
        </w:rPr>
        <w:t>L</w:t>
      </w:r>
      <w:r w:rsidRPr="00282C3D">
        <w:rPr>
          <w:rFonts w:ascii="Times New Roman" w:hAnsi="Times New Roman"/>
          <w:sz w:val="20"/>
        </w:rPr>
        <w:t xml:space="preserve">evel </w:t>
      </w:r>
      <w:r>
        <w:rPr>
          <w:rFonts w:ascii="Times New Roman" w:hAnsi="Times New Roman"/>
          <w:sz w:val="20"/>
        </w:rPr>
        <w:t>I</w:t>
      </w:r>
      <w:r w:rsidRPr="00282C3D">
        <w:rPr>
          <w:rFonts w:ascii="Times New Roman" w:hAnsi="Times New Roman"/>
          <w:sz w:val="20"/>
        </w:rPr>
        <w:t xml:space="preserve">nnovation on </w:t>
      </w:r>
      <w:r>
        <w:rPr>
          <w:rFonts w:ascii="Times New Roman" w:hAnsi="Times New Roman"/>
          <w:sz w:val="20"/>
        </w:rPr>
        <w:t>P</w:t>
      </w:r>
      <w:r w:rsidRPr="00282C3D">
        <w:rPr>
          <w:rFonts w:ascii="Times New Roman" w:hAnsi="Times New Roman"/>
          <w:sz w:val="20"/>
        </w:rPr>
        <w:t>roductivity in Nigeria,” (2015).</w:t>
      </w:r>
    </w:p>
  </w:footnote>
  <w:footnote w:id="58">
    <w:p w14:paraId="3D49BDDB" w14:textId="77777777"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eastAsia="Baskerville" w:hAnsi="Times New Roman"/>
          <w:sz w:val="20"/>
        </w:rPr>
        <w:footnoteRef/>
      </w:r>
      <w:r w:rsidRPr="00431C9A">
        <w:rPr>
          <w:rFonts w:ascii="Times New Roman" w:hAnsi="Times New Roman"/>
          <w:sz w:val="20"/>
        </w:rPr>
        <w:t xml:space="preserve"> This dataset provides a larger source of information and sample than the previous enterprise survey in 2007, which had 396 firms but no full innovation questionnaire, or the 2012 innovation survey implemented by the Ministry of Education, Science and Technology (MoEST) on a sample of 160 firms.</w:t>
      </w:r>
    </w:p>
  </w:footnote>
  <w:footnote w:id="59">
    <w:p w14:paraId="1457A066" w14:textId="69DF3310"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X. Cirera</w:t>
      </w:r>
      <w:r w:rsidRPr="00431C9A">
        <w:rPr>
          <w:rFonts w:ascii="Times New Roman" w:hAnsi="Times New Roman"/>
          <w:sz w:val="20"/>
        </w:rPr>
        <w:t xml:space="preserve">, </w:t>
      </w:r>
      <w:r w:rsidRPr="00431C9A">
        <w:rPr>
          <w:rFonts w:ascii="Times New Roman" w:hAnsi="Times New Roman"/>
          <w:i/>
          <w:sz w:val="20"/>
        </w:rPr>
        <w:t xml:space="preserve">The </w:t>
      </w:r>
      <w:r>
        <w:rPr>
          <w:rFonts w:ascii="Times New Roman" w:hAnsi="Times New Roman"/>
          <w:i/>
          <w:sz w:val="20"/>
        </w:rPr>
        <w:t>I</w:t>
      </w:r>
      <w:r w:rsidRPr="00431C9A">
        <w:rPr>
          <w:rFonts w:ascii="Times New Roman" w:hAnsi="Times New Roman"/>
          <w:i/>
          <w:sz w:val="20"/>
        </w:rPr>
        <w:t xml:space="preserve">mpact of </w:t>
      </w:r>
      <w:r>
        <w:rPr>
          <w:rFonts w:ascii="Times New Roman" w:hAnsi="Times New Roman"/>
          <w:i/>
          <w:sz w:val="20"/>
        </w:rPr>
        <w:t>F</w:t>
      </w:r>
      <w:r w:rsidRPr="00431C9A">
        <w:rPr>
          <w:rFonts w:ascii="Times New Roman" w:hAnsi="Times New Roman"/>
          <w:i/>
          <w:sz w:val="20"/>
        </w:rPr>
        <w:t xml:space="preserve">irm-level </w:t>
      </w:r>
      <w:r>
        <w:rPr>
          <w:rFonts w:ascii="Times New Roman" w:hAnsi="Times New Roman"/>
          <w:i/>
          <w:sz w:val="20"/>
        </w:rPr>
        <w:t>I</w:t>
      </w:r>
      <w:r w:rsidRPr="00431C9A">
        <w:rPr>
          <w:rFonts w:ascii="Times New Roman" w:hAnsi="Times New Roman"/>
          <w:i/>
          <w:sz w:val="20"/>
        </w:rPr>
        <w:t xml:space="preserve">nnovation on </w:t>
      </w:r>
      <w:r>
        <w:rPr>
          <w:rFonts w:ascii="Times New Roman" w:hAnsi="Times New Roman"/>
          <w:i/>
          <w:sz w:val="20"/>
        </w:rPr>
        <w:t>P</w:t>
      </w:r>
      <w:r w:rsidRPr="00431C9A">
        <w:rPr>
          <w:rFonts w:ascii="Times New Roman" w:hAnsi="Times New Roman"/>
          <w:i/>
          <w:sz w:val="20"/>
        </w:rPr>
        <w:t xml:space="preserve">roductivity in </w:t>
      </w:r>
      <w:r>
        <w:rPr>
          <w:rFonts w:ascii="Times New Roman" w:hAnsi="Times New Roman"/>
          <w:i/>
          <w:sz w:val="20"/>
        </w:rPr>
        <w:t>Southern</w:t>
      </w:r>
      <w:r w:rsidRPr="00431C9A">
        <w:rPr>
          <w:rFonts w:ascii="Times New Roman" w:hAnsi="Times New Roman"/>
          <w:i/>
          <w:sz w:val="20"/>
        </w:rPr>
        <w:t xml:space="preserve"> </w:t>
      </w:r>
      <w:r>
        <w:rPr>
          <w:rFonts w:ascii="Times New Roman" w:hAnsi="Times New Roman"/>
          <w:i/>
          <w:sz w:val="20"/>
        </w:rPr>
        <w:t>States</w:t>
      </w:r>
      <w:r w:rsidRPr="00431C9A">
        <w:rPr>
          <w:rFonts w:ascii="Times New Roman" w:hAnsi="Times New Roman"/>
          <w:i/>
          <w:sz w:val="20"/>
        </w:rPr>
        <w:t xml:space="preserve"> in Nigeria</w:t>
      </w:r>
      <w:r>
        <w:rPr>
          <w:rFonts w:ascii="Times New Roman" w:hAnsi="Times New Roman"/>
          <w:i/>
          <w:sz w:val="20"/>
        </w:rPr>
        <w:t xml:space="preserve">, </w:t>
      </w:r>
      <w:r w:rsidRPr="00F51855">
        <w:rPr>
          <w:rFonts w:ascii="Times New Roman" w:hAnsi="Times New Roman"/>
          <w:sz w:val="20"/>
        </w:rPr>
        <w:t>(2015).</w:t>
      </w:r>
    </w:p>
  </w:footnote>
  <w:footnote w:id="60">
    <w:p w14:paraId="51055838" w14:textId="08A04884"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sidRPr="00D948C5">
        <w:rPr>
          <w:rFonts w:ascii="Times New Roman" w:hAnsi="Times New Roman"/>
          <w:sz w:val="20"/>
        </w:rPr>
        <w:t>Market condition variables include: (a) whether firms face one or two competitors in the market, (b) export and import dummies</w:t>
      </w:r>
      <w:r>
        <w:rPr>
          <w:rFonts w:ascii="Times New Roman" w:hAnsi="Times New Roman"/>
          <w:sz w:val="20"/>
        </w:rPr>
        <w:t>,</w:t>
      </w:r>
      <w:r w:rsidRPr="00D948C5">
        <w:rPr>
          <w:rFonts w:ascii="Times New Roman" w:hAnsi="Times New Roman"/>
          <w:sz w:val="20"/>
        </w:rPr>
        <w:t xml:space="preserve"> (c) the degree to which practices of the informal sector are an obstacle, (d) whether firm demand has increased (determined by evaluating revenue or employment growth).</w:t>
      </w:r>
    </w:p>
  </w:footnote>
  <w:footnote w:id="61">
    <w:p w14:paraId="1EFD633F" w14:textId="13E4E6F2"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B. </w:t>
      </w:r>
      <w:r w:rsidRPr="00431C9A">
        <w:rPr>
          <w:rFonts w:ascii="Times New Roman" w:hAnsi="Times New Roman"/>
          <w:sz w:val="20"/>
        </w:rPr>
        <w:t>Crépon, E. Duguet</w:t>
      </w:r>
      <w:r>
        <w:rPr>
          <w:rFonts w:ascii="Times New Roman" w:hAnsi="Times New Roman"/>
          <w:sz w:val="20"/>
        </w:rPr>
        <w:t>,</w:t>
      </w:r>
      <w:r w:rsidRPr="00431C9A">
        <w:rPr>
          <w:rFonts w:ascii="Times New Roman" w:hAnsi="Times New Roman"/>
          <w:sz w:val="20"/>
        </w:rPr>
        <w:t xml:space="preserve"> and J. Mairesse</w:t>
      </w:r>
      <w:r>
        <w:rPr>
          <w:rFonts w:ascii="Times New Roman" w:hAnsi="Times New Roman"/>
          <w:sz w:val="20"/>
        </w:rPr>
        <w:t>,</w:t>
      </w:r>
      <w:r w:rsidRPr="00431C9A">
        <w:rPr>
          <w:rFonts w:ascii="Times New Roman" w:hAnsi="Times New Roman"/>
          <w:sz w:val="20"/>
        </w:rPr>
        <w:t xml:space="preserve"> </w:t>
      </w:r>
      <w:r>
        <w:rPr>
          <w:rFonts w:ascii="Times New Roman" w:hAnsi="Times New Roman"/>
          <w:sz w:val="20"/>
        </w:rPr>
        <w:t>“</w:t>
      </w:r>
      <w:r w:rsidRPr="00431C9A">
        <w:rPr>
          <w:rFonts w:ascii="Times New Roman" w:hAnsi="Times New Roman"/>
          <w:sz w:val="20"/>
        </w:rPr>
        <w:t>Research and Development, Innovation and Productivity: An Econometric Analysis at the Firm Level</w:t>
      </w:r>
      <w:r>
        <w:rPr>
          <w:rFonts w:ascii="Times New Roman" w:hAnsi="Times New Roman"/>
          <w:sz w:val="20"/>
        </w:rPr>
        <w:t>,”</w:t>
      </w:r>
      <w:r w:rsidRPr="00431C9A">
        <w:rPr>
          <w:rFonts w:ascii="Times New Roman" w:hAnsi="Times New Roman"/>
          <w:sz w:val="20"/>
        </w:rPr>
        <w:t xml:space="preserve"> </w:t>
      </w:r>
      <w:r w:rsidRPr="00F51855">
        <w:rPr>
          <w:rFonts w:ascii="Times New Roman" w:hAnsi="Times New Roman"/>
          <w:i/>
          <w:sz w:val="20"/>
        </w:rPr>
        <w:t>Economics of Innovation and New Technology</w:t>
      </w:r>
      <w:r w:rsidRPr="00431C9A">
        <w:rPr>
          <w:rFonts w:ascii="Times New Roman" w:hAnsi="Times New Roman"/>
          <w:sz w:val="20"/>
        </w:rPr>
        <w:t>, 7(2),</w:t>
      </w:r>
      <w:r>
        <w:rPr>
          <w:rFonts w:ascii="Times New Roman" w:hAnsi="Times New Roman"/>
          <w:sz w:val="20"/>
        </w:rPr>
        <w:t xml:space="preserve"> (1998),</w:t>
      </w:r>
      <w:r w:rsidRPr="00431C9A">
        <w:rPr>
          <w:rFonts w:ascii="Times New Roman" w:hAnsi="Times New Roman"/>
          <w:sz w:val="20"/>
        </w:rPr>
        <w:t xml:space="preserve"> 115-158.</w:t>
      </w:r>
    </w:p>
  </w:footnote>
  <w:footnote w:id="62">
    <w:p w14:paraId="55164F22" w14:textId="77777777"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Although there is information in the intensity of the knowledge capital investment, this tends to be incomplete since firms tend to underestimate the amount spent in such activities. As a result, the knowledge capital is introduced in the equation using a dummy index with value 1 if the firm engaged in R&amp;D activities and value 0 otherwise. </w:t>
      </w:r>
    </w:p>
  </w:footnote>
  <w:footnote w:id="63">
    <w:p w14:paraId="53E6AFAE" w14:textId="4E82B30D"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Two innovation outcomes are used in the estimation: (a) technological innovation as the introduction of a new product or process that is new to the firm, and (b) the share of sales due to innovative products in the last three years to measure intensity of innovation. </w:t>
      </w:r>
    </w:p>
  </w:footnote>
  <w:footnote w:id="64">
    <w:p w14:paraId="2350D822" w14:textId="23F94308" w:rsidR="00A02DAA" w:rsidRPr="00431C9A" w:rsidRDefault="00A02DAA" w:rsidP="006C76E3">
      <w:pPr>
        <w:spacing w:after="60"/>
        <w:rPr>
          <w:rFonts w:eastAsia="Times New Roman" w:cs="Times New Roman"/>
          <w:color w:val="000000"/>
          <w:sz w:val="20"/>
          <w:szCs w:val="20"/>
        </w:rPr>
      </w:pPr>
      <w:r w:rsidRPr="00431C9A">
        <w:rPr>
          <w:rStyle w:val="FootnoteReference"/>
          <w:rFonts w:cs="Times New Roman"/>
          <w:sz w:val="20"/>
          <w:szCs w:val="20"/>
        </w:rPr>
        <w:footnoteRef/>
      </w:r>
      <w:r w:rsidRPr="00431C9A">
        <w:rPr>
          <w:rFonts w:cs="Times New Roman"/>
          <w:sz w:val="20"/>
          <w:szCs w:val="20"/>
        </w:rPr>
        <w:t xml:space="preserve"> </w:t>
      </w:r>
      <w:r>
        <w:rPr>
          <w:rFonts w:cs="Times New Roman"/>
          <w:sz w:val="20"/>
          <w:szCs w:val="20"/>
        </w:rPr>
        <w:t xml:space="preserve">Pierre </w:t>
      </w:r>
      <w:r w:rsidRPr="00431C9A">
        <w:rPr>
          <w:rFonts w:eastAsia="Times New Roman" w:cs="Times New Roman"/>
          <w:color w:val="000000"/>
          <w:sz w:val="20"/>
          <w:szCs w:val="20"/>
        </w:rPr>
        <w:t xml:space="preserve">Mohnen </w:t>
      </w:r>
      <w:r>
        <w:rPr>
          <w:rFonts w:eastAsia="Times New Roman" w:cs="Times New Roman"/>
          <w:color w:val="000000"/>
          <w:sz w:val="20"/>
          <w:szCs w:val="20"/>
        </w:rPr>
        <w:t>and</w:t>
      </w:r>
      <w:r w:rsidRPr="00431C9A">
        <w:rPr>
          <w:rFonts w:eastAsia="Times New Roman" w:cs="Times New Roman"/>
          <w:color w:val="000000"/>
          <w:sz w:val="20"/>
          <w:szCs w:val="20"/>
        </w:rPr>
        <w:t xml:space="preserve"> Bronwyn Hall, </w:t>
      </w:r>
      <w:r>
        <w:rPr>
          <w:rFonts w:eastAsia="Times New Roman" w:cs="Times New Roman"/>
          <w:color w:val="000000"/>
          <w:sz w:val="20"/>
          <w:szCs w:val="20"/>
        </w:rPr>
        <w:t>“</w:t>
      </w:r>
      <w:r w:rsidRPr="00431C9A">
        <w:rPr>
          <w:rFonts w:eastAsia="Times New Roman" w:cs="Times New Roman"/>
          <w:color w:val="000000"/>
          <w:sz w:val="20"/>
          <w:szCs w:val="20"/>
        </w:rPr>
        <w:t>Innovation and Productivity: An Update,</w:t>
      </w:r>
      <w:r>
        <w:rPr>
          <w:rFonts w:eastAsia="Times New Roman" w:cs="Times New Roman"/>
          <w:color w:val="000000"/>
          <w:sz w:val="20"/>
          <w:szCs w:val="20"/>
        </w:rPr>
        <w:t>”</w:t>
      </w:r>
      <w:r w:rsidRPr="00431C9A">
        <w:rPr>
          <w:rFonts w:eastAsia="Times New Roman" w:cs="Times New Roman"/>
          <w:color w:val="000000"/>
          <w:sz w:val="20"/>
          <w:szCs w:val="20"/>
        </w:rPr>
        <w:t xml:space="preserve"> </w:t>
      </w:r>
      <w:r w:rsidRPr="00F60749">
        <w:rPr>
          <w:rFonts w:eastAsia="Times New Roman" w:cs="Times New Roman"/>
          <w:i/>
          <w:color w:val="000000"/>
          <w:sz w:val="20"/>
          <w:szCs w:val="20"/>
        </w:rPr>
        <w:t>Eurasian Business Review,</w:t>
      </w:r>
      <w:r w:rsidRPr="00431C9A">
        <w:rPr>
          <w:rFonts w:eastAsia="Times New Roman" w:cs="Times New Roman"/>
          <w:color w:val="000000"/>
          <w:sz w:val="20"/>
          <w:szCs w:val="20"/>
        </w:rPr>
        <w:t xml:space="preserve"> </w:t>
      </w:r>
      <w:r w:rsidRPr="00431C9A">
        <w:rPr>
          <w:rFonts w:eastAsia="Times New Roman" w:cs="Times New Roman"/>
          <w:i/>
          <w:color w:val="000000"/>
          <w:sz w:val="20"/>
          <w:szCs w:val="20"/>
        </w:rPr>
        <w:t>Eurasia Business and Economics Society</w:t>
      </w:r>
      <w:r w:rsidRPr="00431C9A">
        <w:rPr>
          <w:rFonts w:eastAsia="Times New Roman" w:cs="Times New Roman"/>
          <w:color w:val="000000"/>
          <w:sz w:val="20"/>
          <w:szCs w:val="20"/>
        </w:rPr>
        <w:t xml:space="preserve">, vol. 3(1), </w:t>
      </w:r>
      <w:r>
        <w:rPr>
          <w:rFonts w:eastAsia="Times New Roman" w:cs="Times New Roman"/>
          <w:color w:val="000000"/>
          <w:sz w:val="20"/>
          <w:szCs w:val="20"/>
        </w:rPr>
        <w:t>(</w:t>
      </w:r>
      <w:r w:rsidRPr="00431C9A">
        <w:rPr>
          <w:rFonts w:eastAsia="Times New Roman" w:cs="Times New Roman"/>
          <w:color w:val="000000"/>
          <w:sz w:val="20"/>
          <w:szCs w:val="20"/>
        </w:rPr>
        <w:t>June</w:t>
      </w:r>
      <w:r>
        <w:rPr>
          <w:rFonts w:eastAsia="Times New Roman" w:cs="Times New Roman"/>
          <w:color w:val="000000"/>
          <w:sz w:val="20"/>
          <w:szCs w:val="20"/>
        </w:rPr>
        <w:t xml:space="preserve"> 2015), 47</w:t>
      </w:r>
      <w:r>
        <w:rPr>
          <w:rFonts w:ascii="Calibri" w:eastAsia="Times New Roman" w:hAnsi="Calibri" w:cs="Times New Roman"/>
          <w:color w:val="000000"/>
          <w:sz w:val="20"/>
          <w:szCs w:val="20"/>
        </w:rPr>
        <w:t>‒</w:t>
      </w:r>
      <w:r>
        <w:rPr>
          <w:rFonts w:eastAsia="Times New Roman" w:cs="Times New Roman"/>
          <w:color w:val="000000"/>
          <w:sz w:val="20"/>
          <w:szCs w:val="20"/>
        </w:rPr>
        <w:t>65.</w:t>
      </w:r>
    </w:p>
  </w:footnote>
  <w:footnote w:id="65">
    <w:p w14:paraId="7D18502F" w14:textId="3F2E1CDB"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M. </w:t>
      </w:r>
      <w:r w:rsidRPr="00431C9A">
        <w:rPr>
          <w:rFonts w:ascii="Times New Roman" w:hAnsi="Times New Roman"/>
          <w:sz w:val="20"/>
        </w:rPr>
        <w:t xml:space="preserve">Goedhuys, </w:t>
      </w:r>
      <w:r>
        <w:rPr>
          <w:rFonts w:ascii="Times New Roman" w:hAnsi="Times New Roman"/>
          <w:sz w:val="20"/>
        </w:rPr>
        <w:t>“</w:t>
      </w:r>
      <w:r w:rsidRPr="00431C9A">
        <w:rPr>
          <w:rFonts w:ascii="Times New Roman" w:hAnsi="Times New Roman"/>
          <w:sz w:val="20"/>
        </w:rPr>
        <w:t xml:space="preserve">Learning, </w:t>
      </w:r>
      <w:r>
        <w:rPr>
          <w:rFonts w:ascii="Times New Roman" w:hAnsi="Times New Roman"/>
          <w:sz w:val="20"/>
        </w:rPr>
        <w:t>P</w:t>
      </w:r>
      <w:r w:rsidRPr="00431C9A">
        <w:rPr>
          <w:rFonts w:ascii="Times New Roman" w:hAnsi="Times New Roman"/>
          <w:sz w:val="20"/>
        </w:rPr>
        <w:t xml:space="preserve">roduct </w:t>
      </w:r>
      <w:r>
        <w:rPr>
          <w:rFonts w:ascii="Times New Roman" w:hAnsi="Times New Roman"/>
          <w:sz w:val="20"/>
        </w:rPr>
        <w:t>I</w:t>
      </w:r>
      <w:r w:rsidRPr="00431C9A">
        <w:rPr>
          <w:rFonts w:ascii="Times New Roman" w:hAnsi="Times New Roman"/>
          <w:sz w:val="20"/>
        </w:rPr>
        <w:t xml:space="preserve">nnovation, and </w:t>
      </w:r>
      <w:r>
        <w:rPr>
          <w:rFonts w:ascii="Times New Roman" w:hAnsi="Times New Roman"/>
          <w:sz w:val="20"/>
        </w:rPr>
        <w:t>F</w:t>
      </w:r>
      <w:r w:rsidRPr="00431C9A">
        <w:rPr>
          <w:rFonts w:ascii="Times New Roman" w:hAnsi="Times New Roman"/>
          <w:sz w:val="20"/>
        </w:rPr>
        <w:t xml:space="preserve">irm </w:t>
      </w:r>
      <w:r>
        <w:rPr>
          <w:rFonts w:ascii="Times New Roman" w:hAnsi="Times New Roman"/>
          <w:sz w:val="20"/>
        </w:rPr>
        <w:t>H</w:t>
      </w:r>
      <w:r w:rsidRPr="00431C9A">
        <w:rPr>
          <w:rFonts w:ascii="Times New Roman" w:hAnsi="Times New Roman"/>
          <w:sz w:val="20"/>
        </w:rPr>
        <w:t xml:space="preserve">eterogeneity in </w:t>
      </w:r>
      <w:r>
        <w:rPr>
          <w:rFonts w:ascii="Times New Roman" w:hAnsi="Times New Roman"/>
          <w:sz w:val="20"/>
        </w:rPr>
        <w:t>D</w:t>
      </w:r>
      <w:r w:rsidRPr="00431C9A">
        <w:rPr>
          <w:rFonts w:ascii="Times New Roman" w:hAnsi="Times New Roman"/>
          <w:sz w:val="20"/>
        </w:rPr>
        <w:t xml:space="preserve">eveloping </w:t>
      </w:r>
      <w:r>
        <w:rPr>
          <w:rFonts w:ascii="Times New Roman" w:hAnsi="Times New Roman"/>
          <w:sz w:val="20"/>
        </w:rPr>
        <w:t>C</w:t>
      </w:r>
      <w:r w:rsidRPr="00431C9A">
        <w:rPr>
          <w:rFonts w:ascii="Times New Roman" w:hAnsi="Times New Roman"/>
          <w:sz w:val="20"/>
        </w:rPr>
        <w:t>ountries: Evidence from Tanzania</w:t>
      </w:r>
      <w:r>
        <w:rPr>
          <w:rFonts w:ascii="Times New Roman" w:hAnsi="Times New Roman"/>
          <w:sz w:val="20"/>
        </w:rPr>
        <w:t>,”</w:t>
      </w:r>
      <w:r w:rsidRPr="00431C9A">
        <w:rPr>
          <w:rFonts w:ascii="Times New Roman" w:hAnsi="Times New Roman"/>
          <w:sz w:val="20"/>
        </w:rPr>
        <w:t xml:space="preserve"> </w:t>
      </w:r>
      <w:r w:rsidRPr="00431C9A">
        <w:rPr>
          <w:rFonts w:ascii="Times New Roman" w:hAnsi="Times New Roman"/>
          <w:i/>
          <w:sz w:val="20"/>
        </w:rPr>
        <w:t>Industrial and Corporate Change</w:t>
      </w:r>
      <w:r w:rsidRPr="00F60749">
        <w:rPr>
          <w:rFonts w:ascii="Times New Roman" w:hAnsi="Times New Roman"/>
          <w:sz w:val="20"/>
        </w:rPr>
        <w:t xml:space="preserve">, </w:t>
      </w:r>
      <w:r w:rsidRPr="00431C9A">
        <w:rPr>
          <w:rFonts w:ascii="Times New Roman" w:hAnsi="Times New Roman"/>
          <w:sz w:val="20"/>
        </w:rPr>
        <w:t xml:space="preserve">16, </w:t>
      </w:r>
      <w:r>
        <w:rPr>
          <w:rFonts w:ascii="Times New Roman" w:hAnsi="Times New Roman"/>
          <w:sz w:val="20"/>
        </w:rPr>
        <w:t xml:space="preserve">(2007a), </w:t>
      </w:r>
      <w:r w:rsidRPr="00431C9A">
        <w:rPr>
          <w:rFonts w:ascii="Times New Roman" w:hAnsi="Times New Roman"/>
          <w:sz w:val="20"/>
        </w:rPr>
        <w:t>269–292</w:t>
      </w:r>
      <w:r>
        <w:rPr>
          <w:rFonts w:ascii="Times New Roman" w:hAnsi="Times New Roman"/>
          <w:sz w:val="20"/>
        </w:rPr>
        <w:t>.</w:t>
      </w:r>
    </w:p>
  </w:footnote>
  <w:footnote w:id="66">
    <w:p w14:paraId="672F96B0" w14:textId="42F8896E" w:rsidR="00A02DAA" w:rsidRPr="00431C9A" w:rsidRDefault="00A02DAA" w:rsidP="006C76E3">
      <w:pPr>
        <w:pStyle w:val="FootnoteText"/>
        <w:spacing w:after="60"/>
        <w:rPr>
          <w:rFonts w:ascii="Times New Roman" w:hAnsi="Times New Roman"/>
          <w:sz w:val="20"/>
        </w:rPr>
      </w:pPr>
      <w:r w:rsidRPr="00431C9A">
        <w:rPr>
          <w:rStyle w:val="FootnoteReference"/>
          <w:rFonts w:ascii="Times New Roman" w:hAnsi="Times New Roman"/>
          <w:sz w:val="20"/>
        </w:rPr>
        <w:footnoteRef/>
      </w:r>
      <w:r w:rsidRPr="00431C9A">
        <w:rPr>
          <w:rFonts w:ascii="Times New Roman" w:hAnsi="Times New Roman"/>
          <w:sz w:val="20"/>
        </w:rPr>
        <w:t xml:space="preserve"> </w:t>
      </w:r>
      <w:r>
        <w:rPr>
          <w:rFonts w:ascii="Times New Roman" w:hAnsi="Times New Roman"/>
          <w:sz w:val="20"/>
        </w:rPr>
        <w:t xml:space="preserve">Xavier </w:t>
      </w:r>
      <w:r w:rsidRPr="00431C9A">
        <w:rPr>
          <w:rFonts w:ascii="Times New Roman" w:hAnsi="Times New Roman"/>
          <w:iCs/>
          <w:color w:val="000000"/>
          <w:sz w:val="20"/>
          <w:lang w:val="en"/>
        </w:rPr>
        <w:t xml:space="preserve">Cirera, </w:t>
      </w:r>
      <w:r>
        <w:rPr>
          <w:rFonts w:ascii="Times New Roman" w:hAnsi="Times New Roman"/>
          <w:iCs/>
          <w:color w:val="000000"/>
          <w:sz w:val="20"/>
          <w:lang w:val="en"/>
        </w:rPr>
        <w:t>“</w:t>
      </w:r>
      <w:r w:rsidRPr="00431C9A">
        <w:rPr>
          <w:rStyle w:val="italic1"/>
          <w:rFonts w:ascii="Times New Roman" w:hAnsi="Times New Roman"/>
          <w:i w:val="0"/>
          <w:color w:val="000000"/>
          <w:sz w:val="20"/>
          <w:lang w:val="en"/>
        </w:rPr>
        <w:t xml:space="preserve">Catching </w:t>
      </w:r>
      <w:r>
        <w:rPr>
          <w:rStyle w:val="italic1"/>
          <w:rFonts w:ascii="Times New Roman" w:hAnsi="Times New Roman"/>
          <w:i w:val="0"/>
          <w:color w:val="000000"/>
          <w:sz w:val="20"/>
          <w:lang w:val="en"/>
        </w:rPr>
        <w:t>u</w:t>
      </w:r>
      <w:r w:rsidRPr="00431C9A">
        <w:rPr>
          <w:rStyle w:val="italic1"/>
          <w:rFonts w:ascii="Times New Roman" w:hAnsi="Times New Roman"/>
          <w:i w:val="0"/>
          <w:color w:val="000000"/>
          <w:sz w:val="20"/>
          <w:lang w:val="en"/>
        </w:rPr>
        <w:t>p to the Technological Frontier?: Understanding Firm-</w:t>
      </w:r>
      <w:r>
        <w:rPr>
          <w:rStyle w:val="italic1"/>
          <w:rFonts w:ascii="Times New Roman" w:hAnsi="Times New Roman"/>
          <w:i w:val="0"/>
          <w:color w:val="000000"/>
          <w:sz w:val="20"/>
          <w:lang w:val="en"/>
        </w:rPr>
        <w:t>L</w:t>
      </w:r>
      <w:r w:rsidRPr="00431C9A">
        <w:rPr>
          <w:rStyle w:val="italic1"/>
          <w:rFonts w:ascii="Times New Roman" w:hAnsi="Times New Roman"/>
          <w:i w:val="0"/>
          <w:color w:val="000000"/>
          <w:sz w:val="20"/>
          <w:lang w:val="en"/>
        </w:rPr>
        <w:t>evel Innovation and Productivity in Kenya</w:t>
      </w:r>
      <w:r w:rsidRPr="00431C9A">
        <w:rPr>
          <w:rFonts w:ascii="Times New Roman" w:hAnsi="Times New Roman"/>
          <w:iCs/>
          <w:color w:val="000000"/>
          <w:sz w:val="20"/>
          <w:lang w:val="en"/>
        </w:rPr>
        <w:t>.</w:t>
      </w:r>
      <w:r>
        <w:rPr>
          <w:rFonts w:ascii="Times New Roman" w:hAnsi="Times New Roman"/>
          <w:iCs/>
          <w:color w:val="000000"/>
          <w:sz w:val="20"/>
          <w:lang w:val="en"/>
        </w:rPr>
        <w:t>”</w:t>
      </w:r>
      <w:r w:rsidRPr="00431C9A">
        <w:rPr>
          <w:rFonts w:ascii="Times New Roman" w:hAnsi="Times New Roman"/>
          <w:iCs/>
          <w:color w:val="000000"/>
          <w:sz w:val="20"/>
          <w:lang w:val="en"/>
        </w:rPr>
        <w:t xml:space="preserve"> World Bank Group, Washington,</w:t>
      </w:r>
      <w:r>
        <w:rPr>
          <w:rFonts w:ascii="Times New Roman" w:hAnsi="Times New Roman"/>
          <w:iCs/>
          <w:color w:val="000000"/>
          <w:sz w:val="20"/>
          <w:lang w:val="en"/>
        </w:rPr>
        <w:t xml:space="preserve"> DC,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809BB"/>
    <w:multiLevelType w:val="multilevel"/>
    <w:tmpl w:val="95F8B128"/>
    <w:lvl w:ilvl="0">
      <w:start w:val="1"/>
      <w:numFmt w:val="none"/>
      <w:lvlText w:val=""/>
      <w:lvlJc w:val="left"/>
      <w:pPr>
        <w:tabs>
          <w:tab w:val="num" w:pos="360"/>
        </w:tabs>
        <w:ind w:left="0" w:firstLine="0"/>
      </w:pPr>
      <w:rPr>
        <w:rFonts w:hint="default"/>
      </w:rPr>
    </w:lvl>
    <w:lvl w:ilvl="1">
      <w:start w:val="1"/>
      <w:numFmt w:val="upperRoman"/>
      <w:lvlText w:val="%1%2."/>
      <w:lvlJc w:val="left"/>
      <w:pPr>
        <w:tabs>
          <w:tab w:val="num" w:pos="1080"/>
        </w:tabs>
        <w:ind w:left="720" w:firstLine="0"/>
      </w:pPr>
      <w:rPr>
        <w:rFonts w:hint="default"/>
      </w:rPr>
    </w:lvl>
    <w:lvl w:ilvl="2">
      <w:start w:val="1"/>
      <w:numFmt w:val="none"/>
      <w:lvlText w:val=""/>
      <w:lvlJc w:val="left"/>
      <w:pPr>
        <w:tabs>
          <w:tab w:val="num" w:pos="1800"/>
        </w:tabs>
        <w:ind w:left="1440" w:firstLine="0"/>
      </w:pPr>
      <w:rPr>
        <w:rFonts w:hint="default"/>
        <w:b w:val="0"/>
        <w:i/>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9EE14BA"/>
    <w:multiLevelType w:val="hybridMultilevel"/>
    <w:tmpl w:val="A1B2B008"/>
    <w:lvl w:ilvl="0" w:tplc="7382C442">
      <w:start w:val="1"/>
      <w:numFmt w:val="decimal"/>
      <w:pStyle w:val="ParagraphNumbering"/>
      <w:lvlText w:val="%1."/>
      <w:lvlJc w:val="left"/>
      <w:pPr>
        <w:ind w:left="806" w:hanging="360"/>
      </w:pPr>
      <w:rPr>
        <w:rFonts w:ascii="Times New Roman" w:hAnsi="Times New Roman" w:cs="Times New Roman" w:hint="default"/>
        <w:b w:val="0"/>
        <w:color w:val="auto"/>
        <w:sz w:val="24"/>
        <w:szCs w:val="24"/>
      </w:rPr>
    </w:lvl>
    <w:lvl w:ilvl="1" w:tplc="B156CFD2">
      <w:start w:val="1"/>
      <w:numFmt w:val="lowerLetter"/>
      <w:lvlText w:val="%2."/>
      <w:lvlJc w:val="left"/>
      <w:pPr>
        <w:ind w:left="1346" w:hanging="360"/>
      </w:pPr>
      <w:rPr>
        <w:i w:val="0"/>
      </w:rPr>
    </w:lvl>
    <w:lvl w:ilvl="2" w:tplc="0409001B">
      <w:start w:val="1"/>
      <w:numFmt w:val="lowerRoman"/>
      <w:lvlText w:val="%3."/>
      <w:lvlJc w:val="right"/>
      <w:pPr>
        <w:ind w:left="2066" w:hanging="180"/>
      </w:pPr>
    </w:lvl>
    <w:lvl w:ilvl="3" w:tplc="0409000F">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2" w15:restartNumberingAfterBreak="0">
    <w:nsid w:val="0D604E58"/>
    <w:multiLevelType w:val="hybridMultilevel"/>
    <w:tmpl w:val="717AB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A691C"/>
    <w:multiLevelType w:val="multilevel"/>
    <w:tmpl w:val="6456D4B2"/>
    <w:lvl w:ilvl="0">
      <w:start w:val="1"/>
      <w:numFmt w:val="none"/>
      <w:pStyle w:val="Heading1"/>
      <w:lvlText w:val=""/>
      <w:lvlJc w:val="left"/>
      <w:pPr>
        <w:ind w:left="720" w:hanging="360"/>
      </w:pPr>
      <w:rPr>
        <w:rFonts w:hint="default"/>
      </w:rPr>
    </w:lvl>
    <w:lvl w:ilvl="1">
      <w:start w:val="1"/>
      <w:numFmt w:val="upperLetter"/>
      <w:lvlText w:val="%2."/>
      <w:lvlJc w:val="left"/>
      <w:pPr>
        <w:ind w:left="1440" w:hanging="360"/>
      </w:pPr>
      <w:rPr>
        <w:rFonts w:hint="default"/>
        <w:b w:val="0"/>
      </w:rPr>
    </w:lvl>
    <w:lvl w:ilvl="2">
      <w:start w:val="1"/>
      <w:numFmt w:val="none"/>
      <w:pStyle w:val="Heading3"/>
      <w:lvlText w:val="%3"/>
      <w:lvlJc w:val="right"/>
      <w:pPr>
        <w:ind w:left="2160" w:hanging="180"/>
      </w:pPr>
      <w:rPr>
        <w:rFonts w:hint="default"/>
      </w:rPr>
    </w:lvl>
    <w:lvl w:ilvl="3">
      <w:start w:val="1"/>
      <w:numFmt w:val="decimal"/>
      <w:lvlRestart w:val="0"/>
      <w:pStyle w:val="BodyText"/>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2B318FC"/>
    <w:multiLevelType w:val="hybridMultilevel"/>
    <w:tmpl w:val="5A222E4E"/>
    <w:lvl w:ilvl="0" w:tplc="C1FC523A">
      <w:start w:val="1"/>
      <w:numFmt w:val="decimal"/>
      <w:pStyle w:val="ListParagraph1"/>
      <w:lvlText w:val="%1."/>
      <w:lvlJc w:val="left"/>
      <w:pPr>
        <w:ind w:left="540" w:hanging="360"/>
      </w:pPr>
      <w:rPr>
        <w:rFonts w:ascii="Calibri" w:hAnsi="Calibri" w:cs="Calibri" w:hint="default"/>
        <w:i w:val="0"/>
        <w:sz w:val="22"/>
      </w:rPr>
    </w:lvl>
    <w:lvl w:ilvl="1" w:tplc="04090003">
      <w:start w:val="1"/>
      <w:numFmt w:val="bullet"/>
      <w:lvlText w:val="o"/>
      <w:lvlJc w:val="left"/>
      <w:pPr>
        <w:ind w:left="1495"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603B2"/>
    <w:multiLevelType w:val="hybridMultilevel"/>
    <w:tmpl w:val="51A80C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05CA9"/>
    <w:multiLevelType w:val="hybridMultilevel"/>
    <w:tmpl w:val="6302ABAA"/>
    <w:lvl w:ilvl="0" w:tplc="04090001">
      <w:start w:val="1"/>
      <w:numFmt w:val="bullet"/>
      <w:lvlText w:val=""/>
      <w:lvlJc w:val="left"/>
      <w:pPr>
        <w:tabs>
          <w:tab w:val="num" w:pos="720"/>
        </w:tabs>
        <w:ind w:left="0" w:firstLine="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153428E0"/>
    <w:multiLevelType w:val="hybridMultilevel"/>
    <w:tmpl w:val="A1D63364"/>
    <w:lvl w:ilvl="0" w:tplc="00287C98">
      <w:start w:val="1"/>
      <w:numFmt w:val="bullet"/>
      <w:pStyle w:val="Bull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9C63DF1"/>
    <w:multiLevelType w:val="hybridMultilevel"/>
    <w:tmpl w:val="7DF82220"/>
    <w:lvl w:ilvl="0" w:tplc="BBFAEF6C">
      <w:start w:val="1"/>
      <w:numFmt w:val="decimal"/>
      <w:lvlText w:val="%1."/>
      <w:lvlJc w:val="left"/>
      <w:pPr>
        <w:ind w:left="360" w:hanging="360"/>
      </w:pPr>
      <w:rPr>
        <w:rFonts w:ascii="Times New Roman" w:hAnsi="Times New Roman" w:cs="Times New Roman" w:hint="default"/>
        <w:b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C37855"/>
    <w:multiLevelType w:val="hybridMultilevel"/>
    <w:tmpl w:val="7C02F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9E2E09"/>
    <w:multiLevelType w:val="hybridMultilevel"/>
    <w:tmpl w:val="9EE67AD8"/>
    <w:lvl w:ilvl="0" w:tplc="F9A867DA">
      <w:numFmt w:val="bullet"/>
      <w:lvlText w:val="-"/>
      <w:lvlJc w:val="left"/>
      <w:pPr>
        <w:ind w:left="1526" w:hanging="360"/>
      </w:pPr>
      <w:rPr>
        <w:rFonts w:ascii="Times New Roman" w:eastAsia="Times New Roman" w:hAnsi="Times New Roman" w:cs="Times New Roman"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1" w15:restartNumberingAfterBreak="0">
    <w:nsid w:val="507258D3"/>
    <w:multiLevelType w:val="hybridMultilevel"/>
    <w:tmpl w:val="17C2E98E"/>
    <w:lvl w:ilvl="0" w:tplc="04090001">
      <w:start w:val="1"/>
      <w:numFmt w:val="bullet"/>
      <w:pStyle w:val="Bullets"/>
      <w:lvlText w:val=""/>
      <w:lvlJc w:val="left"/>
      <w:pPr>
        <w:ind w:left="740" w:hanging="360"/>
      </w:pPr>
      <w:rPr>
        <w:rFonts w:ascii="Symbol" w:hAnsi="Symbol" w:hint="default"/>
        <w:b w:val="0"/>
        <w:bCs w:val="0"/>
        <w:i w:val="0"/>
        <w:iCs w:val="0"/>
        <w:color w:val="2784F8" w:themeColor="text1" w:themeTint="80"/>
        <w:sz w:val="20"/>
        <w:szCs w:val="20"/>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 w15:restartNumberingAfterBreak="0">
    <w:nsid w:val="56037B06"/>
    <w:multiLevelType w:val="hybridMultilevel"/>
    <w:tmpl w:val="05DE7AA4"/>
    <w:lvl w:ilvl="0" w:tplc="C8A4B97A">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44165FF"/>
    <w:multiLevelType w:val="hybridMultilevel"/>
    <w:tmpl w:val="D6F87D2A"/>
    <w:lvl w:ilvl="0" w:tplc="8BEAF38E">
      <w:start w:val="9"/>
      <w:numFmt w:val="decimal"/>
      <w:pStyle w:val="Minh"/>
      <w:lvlText w:val="%1."/>
      <w:lvlJc w:val="left"/>
      <w:pPr>
        <w:ind w:left="36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153432"/>
    <w:multiLevelType w:val="hybridMultilevel"/>
    <w:tmpl w:val="E982E3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3FC6D0C"/>
    <w:multiLevelType w:val="hybridMultilevel"/>
    <w:tmpl w:val="84F88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93F3B75"/>
    <w:multiLevelType w:val="hybridMultilevel"/>
    <w:tmpl w:val="7C3216EC"/>
    <w:lvl w:ilvl="0" w:tplc="C646236C">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A6A874E">
      <w:start w:val="1"/>
      <w:numFmt w:val="lowerRoman"/>
      <w:lvlText w:val="%2."/>
      <w:lvlJc w:val="left"/>
      <w:pPr>
        <w:ind w:left="1082" w:hanging="360"/>
      </w:pPr>
      <w:rPr>
        <w:rFonts w:ascii="Times New Roman" w:eastAsia="Calibri" w:hAnsi="Times New Roman" w:cs="Times New Roman"/>
        <w:b w:val="0"/>
      </w:rPr>
    </w:lvl>
    <w:lvl w:ilvl="2" w:tplc="0409001B">
      <w:start w:val="1"/>
      <w:numFmt w:val="lowerRoman"/>
      <w:lvlText w:val="%3."/>
      <w:lvlJc w:val="right"/>
      <w:pPr>
        <w:ind w:left="1802" w:hanging="180"/>
      </w:pPr>
    </w:lvl>
    <w:lvl w:ilvl="3" w:tplc="D53AD28A">
      <w:start w:val="1"/>
      <w:numFmt w:val="lowerRoman"/>
      <w:lvlText w:val="%4)"/>
      <w:lvlJc w:val="left"/>
      <w:pPr>
        <w:ind w:left="2882" w:hanging="720"/>
      </w:pPr>
      <w:rPr>
        <w:rFonts w:hint="default"/>
      </w:rPr>
    </w:lvl>
    <w:lvl w:ilvl="4" w:tplc="04090019">
      <w:start w:val="1"/>
      <w:numFmt w:val="lowerLetter"/>
      <w:lvlText w:val="%5."/>
      <w:lvlJc w:val="left"/>
      <w:pPr>
        <w:ind w:left="3242" w:hanging="360"/>
      </w:pPr>
    </w:lvl>
    <w:lvl w:ilvl="5" w:tplc="0409001B">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7" w15:restartNumberingAfterBreak="0">
    <w:nsid w:val="7BC32F53"/>
    <w:multiLevelType w:val="hybridMultilevel"/>
    <w:tmpl w:val="9364E30A"/>
    <w:lvl w:ilvl="0" w:tplc="0409000F">
      <w:start w:val="1"/>
      <w:numFmt w:val="decimal"/>
      <w:lvlText w:val="%1."/>
      <w:lvlJc w:val="left"/>
      <w:pPr>
        <w:ind w:left="40" w:hanging="360"/>
      </w:pPr>
    </w:lvl>
    <w:lvl w:ilvl="1" w:tplc="04090019" w:tentative="1">
      <w:start w:val="1"/>
      <w:numFmt w:val="lowerLetter"/>
      <w:lvlText w:val="%2."/>
      <w:lvlJc w:val="left"/>
      <w:pPr>
        <w:ind w:left="760" w:hanging="360"/>
      </w:pPr>
    </w:lvl>
    <w:lvl w:ilvl="2" w:tplc="0409001B" w:tentative="1">
      <w:start w:val="1"/>
      <w:numFmt w:val="lowerRoman"/>
      <w:lvlText w:val="%3."/>
      <w:lvlJc w:val="right"/>
      <w:pPr>
        <w:ind w:left="1480" w:hanging="180"/>
      </w:pPr>
    </w:lvl>
    <w:lvl w:ilvl="3" w:tplc="0409000F" w:tentative="1">
      <w:start w:val="1"/>
      <w:numFmt w:val="decimal"/>
      <w:lvlText w:val="%4."/>
      <w:lvlJc w:val="left"/>
      <w:pPr>
        <w:ind w:left="2200" w:hanging="360"/>
      </w:pPr>
    </w:lvl>
    <w:lvl w:ilvl="4" w:tplc="04090019" w:tentative="1">
      <w:start w:val="1"/>
      <w:numFmt w:val="lowerLetter"/>
      <w:lvlText w:val="%5."/>
      <w:lvlJc w:val="left"/>
      <w:pPr>
        <w:ind w:left="2920" w:hanging="360"/>
      </w:pPr>
    </w:lvl>
    <w:lvl w:ilvl="5" w:tplc="0409001B" w:tentative="1">
      <w:start w:val="1"/>
      <w:numFmt w:val="lowerRoman"/>
      <w:lvlText w:val="%6."/>
      <w:lvlJc w:val="right"/>
      <w:pPr>
        <w:ind w:left="3640" w:hanging="180"/>
      </w:pPr>
    </w:lvl>
    <w:lvl w:ilvl="6" w:tplc="0409000F" w:tentative="1">
      <w:start w:val="1"/>
      <w:numFmt w:val="decimal"/>
      <w:lvlText w:val="%7."/>
      <w:lvlJc w:val="left"/>
      <w:pPr>
        <w:ind w:left="4360" w:hanging="360"/>
      </w:pPr>
    </w:lvl>
    <w:lvl w:ilvl="7" w:tplc="04090019" w:tentative="1">
      <w:start w:val="1"/>
      <w:numFmt w:val="lowerLetter"/>
      <w:lvlText w:val="%8."/>
      <w:lvlJc w:val="left"/>
      <w:pPr>
        <w:ind w:left="5080" w:hanging="360"/>
      </w:pPr>
    </w:lvl>
    <w:lvl w:ilvl="8" w:tplc="0409001B" w:tentative="1">
      <w:start w:val="1"/>
      <w:numFmt w:val="lowerRoman"/>
      <w:lvlText w:val="%9."/>
      <w:lvlJc w:val="right"/>
      <w:pPr>
        <w:ind w:left="5800" w:hanging="180"/>
      </w:pPr>
    </w:lvl>
  </w:abstractNum>
  <w:num w:numId="1">
    <w:abstractNumId w:val="11"/>
  </w:num>
  <w:num w:numId="2">
    <w:abstractNumId w:val="6"/>
  </w:num>
  <w:num w:numId="3">
    <w:abstractNumId w:val="7"/>
  </w:num>
  <w:num w:numId="4">
    <w:abstractNumId w:val="3"/>
  </w:num>
  <w:num w:numId="5">
    <w:abstractNumId w:val="16"/>
  </w:num>
  <w:num w:numId="6">
    <w:abstractNumId w:val="4"/>
  </w:num>
  <w:num w:numId="7">
    <w:abstractNumId w:val="13"/>
  </w:num>
  <w:num w:numId="8">
    <w:abstractNumId w:val="8"/>
  </w:num>
  <w:num w:numId="9">
    <w:abstractNumId w:val="2"/>
  </w:num>
  <w:num w:numId="10">
    <w:abstractNumId w:val="1"/>
  </w:num>
  <w:num w:numId="11">
    <w:abstractNumId w:val="12"/>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
    <w:lvlOverride w:ilvl="0">
      <w:startOverride w:val="1"/>
    </w:lvlOverride>
  </w:num>
  <w:num w:numId="18">
    <w:abstractNumId w:val="1"/>
  </w:num>
  <w:num w:numId="19">
    <w:abstractNumId w:val="1"/>
  </w:num>
  <w:num w:numId="20">
    <w:abstractNumId w:val="1"/>
  </w:num>
  <w:num w:numId="21">
    <w:abstractNumId w:val="3"/>
  </w:num>
  <w:num w:numId="22">
    <w:abstractNumId w:val="3"/>
  </w:num>
  <w:num w:numId="23">
    <w:abstractNumId w:val="3"/>
  </w:num>
  <w:num w:numId="24">
    <w:abstractNumId w:val="3"/>
  </w:num>
  <w:num w:numId="25">
    <w:abstractNumId w:val="1"/>
  </w:num>
  <w:num w:numId="26">
    <w:abstractNumId w:val="1"/>
  </w:num>
  <w:num w:numId="27">
    <w:abstractNumId w:val="1"/>
  </w:num>
  <w:num w:numId="28">
    <w:abstractNumId w:val="1"/>
  </w:num>
  <w:num w:numId="29">
    <w:abstractNumId w:val="1"/>
  </w:num>
  <w:num w:numId="30">
    <w:abstractNumId w:val="0"/>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lvlOverride w:ilvl="0">
      <w:startOverride w:val="1"/>
    </w:lvlOverride>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 w:numId="49">
    <w:abstractNumId w:val="1"/>
  </w:num>
  <w:num w:numId="50">
    <w:abstractNumId w:val="1"/>
  </w:num>
  <w:num w:numId="51">
    <w:abstractNumId w:val="1"/>
  </w:num>
  <w:num w:numId="52">
    <w:abstractNumId w:val="1"/>
  </w:num>
  <w:num w:numId="53">
    <w:abstractNumId w:val="1"/>
  </w:num>
  <w:num w:numId="54">
    <w:abstractNumId w:val="1"/>
  </w:num>
  <w:num w:numId="55">
    <w:abstractNumId w:val="1"/>
  </w:num>
  <w:num w:numId="56">
    <w:abstractNumId w:val="1"/>
  </w:num>
  <w:num w:numId="57">
    <w:abstractNumId w:val="1"/>
  </w:num>
  <w:num w:numId="58">
    <w:abstractNumId w:val="1"/>
  </w:num>
  <w:num w:numId="59">
    <w:abstractNumId w:val="1"/>
  </w:num>
  <w:num w:numId="60">
    <w:abstractNumId w:val="1"/>
  </w:num>
  <w:num w:numId="61">
    <w:abstractNumId w:val="1"/>
  </w:num>
  <w:num w:numId="62">
    <w:abstractNumId w:val="1"/>
  </w:num>
  <w:num w:numId="63">
    <w:abstractNumId w:val="1"/>
  </w:num>
  <w:num w:numId="64">
    <w:abstractNumId w:val="1"/>
  </w:num>
  <w:num w:numId="65">
    <w:abstractNumId w:val="1"/>
  </w:num>
  <w:num w:numId="66">
    <w:abstractNumId w:val="1"/>
  </w:num>
  <w:num w:numId="67">
    <w:abstractNumId w:val="1"/>
  </w:num>
  <w:num w:numId="68">
    <w:abstractNumId w:val="1"/>
  </w:num>
  <w:num w:numId="69">
    <w:abstractNumId w:val="1"/>
  </w:num>
  <w:num w:numId="70">
    <w:abstractNumId w:val="1"/>
  </w:num>
  <w:num w:numId="71">
    <w:abstractNumId w:val="1"/>
  </w:num>
  <w:num w:numId="72">
    <w:abstractNumId w:val="1"/>
  </w:num>
  <w:num w:numId="73">
    <w:abstractNumId w:val="1"/>
  </w:num>
  <w:num w:numId="74">
    <w:abstractNumId w:val="1"/>
  </w:num>
  <w:num w:numId="75">
    <w:abstractNumId w:val="1"/>
  </w:num>
  <w:num w:numId="76">
    <w:abstractNumId w:val="1"/>
  </w:num>
  <w:num w:numId="77">
    <w:abstractNumId w:val="1"/>
  </w:num>
  <w:num w:numId="78">
    <w:abstractNumId w:val="1"/>
  </w:num>
  <w:num w:numId="79">
    <w:abstractNumId w:val="1"/>
  </w:num>
  <w:num w:numId="80">
    <w:abstractNumId w:val="1"/>
  </w:num>
  <w:num w:numId="81">
    <w:abstractNumId w:val="1"/>
  </w:num>
  <w:num w:numId="82">
    <w:abstractNumId w:val="1"/>
  </w:num>
  <w:num w:numId="83">
    <w:abstractNumId w:val="1"/>
  </w:num>
  <w:num w:numId="84">
    <w:abstractNumId w:val="1"/>
  </w:num>
  <w:num w:numId="85">
    <w:abstractNumId w:val="1"/>
  </w:num>
  <w:num w:numId="86">
    <w:abstractNumId w:val="1"/>
  </w:num>
  <w:num w:numId="87">
    <w:abstractNumId w:val="1"/>
  </w:num>
  <w:num w:numId="88">
    <w:abstractNumId w:val="1"/>
  </w:num>
  <w:num w:numId="89">
    <w:abstractNumId w:val="1"/>
  </w:num>
  <w:num w:numId="90">
    <w:abstractNumId w:val="1"/>
  </w:num>
  <w:num w:numId="91">
    <w:abstractNumId w:val="1"/>
  </w:num>
  <w:num w:numId="92">
    <w:abstractNumId w:val="17"/>
  </w:num>
  <w:num w:numId="93">
    <w:abstractNumId w:val="1"/>
    <w:lvlOverride w:ilvl="0">
      <w:startOverride w:val="1"/>
    </w:lvlOverride>
  </w:num>
  <w:num w:numId="94">
    <w:abstractNumId w:val="1"/>
  </w:num>
  <w:num w:numId="95">
    <w:abstractNumId w:val="1"/>
  </w:num>
  <w:num w:numId="96">
    <w:abstractNumId w:val="1"/>
  </w:num>
  <w:num w:numId="97">
    <w:abstractNumId w:val="1"/>
  </w:num>
  <w:num w:numId="98">
    <w:abstractNumId w:val="1"/>
  </w:num>
  <w:num w:numId="99">
    <w:abstractNumId w:val="1"/>
  </w:num>
  <w:num w:numId="100">
    <w:abstractNumId w:val="1"/>
  </w:num>
  <w:num w:numId="101">
    <w:abstractNumId w:val="10"/>
  </w:num>
  <w:num w:numId="102">
    <w:abstractNumId w:val="1"/>
  </w:num>
  <w:num w:numId="103">
    <w:abstractNumId w:val="1"/>
  </w:num>
  <w:num w:numId="104">
    <w:abstractNumId w:val="1"/>
  </w:num>
  <w:num w:numId="105">
    <w:abstractNumId w:val="1"/>
  </w:num>
  <w:num w:numId="106">
    <w:abstractNumId w:val="9"/>
  </w:num>
  <w:num w:numId="107">
    <w:abstractNumId w:val="5"/>
  </w:num>
  <w:num w:numId="108">
    <w:abstractNumId w:val="3"/>
  </w:num>
  <w:num w:numId="109">
    <w:abstractNumId w:val="15"/>
  </w:num>
  <w:num w:numId="110">
    <w:abstractNumId w:val="1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trackRevisions/>
  <w:defaultTabStop w:val="720"/>
  <w:characterSpacingControl w:val="doNotCompress"/>
  <w:hdrShapeDefaults>
    <o:shapedefaults v:ext="edit" spidmax="4097">
      <o:colormru v:ext="edit" colors="#e5f9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yMDe0MDWyMDEwMzdR0lEKTi0uzszPAykwNK8FAKoKrnUtAAAA"/>
  </w:docVars>
  <w:rsids>
    <w:rsidRoot w:val="00697ED7"/>
    <w:rsid w:val="00000BDA"/>
    <w:rsid w:val="00001602"/>
    <w:rsid w:val="0000447A"/>
    <w:rsid w:val="00004526"/>
    <w:rsid w:val="000045F8"/>
    <w:rsid w:val="000059B3"/>
    <w:rsid w:val="00006068"/>
    <w:rsid w:val="0000656B"/>
    <w:rsid w:val="0000694B"/>
    <w:rsid w:val="000077AD"/>
    <w:rsid w:val="00007FBF"/>
    <w:rsid w:val="00010088"/>
    <w:rsid w:val="00011447"/>
    <w:rsid w:val="0001153F"/>
    <w:rsid w:val="00012D43"/>
    <w:rsid w:val="00013197"/>
    <w:rsid w:val="000140A6"/>
    <w:rsid w:val="000143AF"/>
    <w:rsid w:val="000149E1"/>
    <w:rsid w:val="00014C0C"/>
    <w:rsid w:val="000151EE"/>
    <w:rsid w:val="0001610E"/>
    <w:rsid w:val="00017530"/>
    <w:rsid w:val="00017F2E"/>
    <w:rsid w:val="00022672"/>
    <w:rsid w:val="00023404"/>
    <w:rsid w:val="00023F1A"/>
    <w:rsid w:val="000242B5"/>
    <w:rsid w:val="000249C3"/>
    <w:rsid w:val="000257FA"/>
    <w:rsid w:val="00025E87"/>
    <w:rsid w:val="00031EF6"/>
    <w:rsid w:val="0003427A"/>
    <w:rsid w:val="000343E4"/>
    <w:rsid w:val="000356F2"/>
    <w:rsid w:val="00035788"/>
    <w:rsid w:val="000358AC"/>
    <w:rsid w:val="00035AC3"/>
    <w:rsid w:val="00035AF1"/>
    <w:rsid w:val="00035FB7"/>
    <w:rsid w:val="00036091"/>
    <w:rsid w:val="00036532"/>
    <w:rsid w:val="0003673C"/>
    <w:rsid w:val="000375A9"/>
    <w:rsid w:val="00037654"/>
    <w:rsid w:val="00040974"/>
    <w:rsid w:val="000413E8"/>
    <w:rsid w:val="000416F5"/>
    <w:rsid w:val="00041A31"/>
    <w:rsid w:val="00042002"/>
    <w:rsid w:val="000420D9"/>
    <w:rsid w:val="00042F78"/>
    <w:rsid w:val="00043370"/>
    <w:rsid w:val="00044099"/>
    <w:rsid w:val="00044ADB"/>
    <w:rsid w:val="00044CD3"/>
    <w:rsid w:val="00044DA0"/>
    <w:rsid w:val="0004515B"/>
    <w:rsid w:val="0004599C"/>
    <w:rsid w:val="0004610E"/>
    <w:rsid w:val="000462E9"/>
    <w:rsid w:val="00046539"/>
    <w:rsid w:val="0004683D"/>
    <w:rsid w:val="0004785A"/>
    <w:rsid w:val="00047ECE"/>
    <w:rsid w:val="0005003E"/>
    <w:rsid w:val="0005017A"/>
    <w:rsid w:val="0005042E"/>
    <w:rsid w:val="00053A67"/>
    <w:rsid w:val="00053C45"/>
    <w:rsid w:val="000542CD"/>
    <w:rsid w:val="00054F14"/>
    <w:rsid w:val="00055CC7"/>
    <w:rsid w:val="00056E98"/>
    <w:rsid w:val="00057699"/>
    <w:rsid w:val="00057F74"/>
    <w:rsid w:val="000602AF"/>
    <w:rsid w:val="00060555"/>
    <w:rsid w:val="000620F9"/>
    <w:rsid w:val="0006222B"/>
    <w:rsid w:val="00063BD5"/>
    <w:rsid w:val="0006516A"/>
    <w:rsid w:val="00065201"/>
    <w:rsid w:val="000652DD"/>
    <w:rsid w:val="00065FDA"/>
    <w:rsid w:val="000674C3"/>
    <w:rsid w:val="00067657"/>
    <w:rsid w:val="00067E0B"/>
    <w:rsid w:val="000703B5"/>
    <w:rsid w:val="00071017"/>
    <w:rsid w:val="000717E8"/>
    <w:rsid w:val="000726D7"/>
    <w:rsid w:val="00072ACF"/>
    <w:rsid w:val="00073DD8"/>
    <w:rsid w:val="000758D3"/>
    <w:rsid w:val="00077D4E"/>
    <w:rsid w:val="00080A3C"/>
    <w:rsid w:val="00080A86"/>
    <w:rsid w:val="0008188D"/>
    <w:rsid w:val="00081E54"/>
    <w:rsid w:val="0008226C"/>
    <w:rsid w:val="00082473"/>
    <w:rsid w:val="000832A7"/>
    <w:rsid w:val="00086B78"/>
    <w:rsid w:val="00086BC0"/>
    <w:rsid w:val="00087B0D"/>
    <w:rsid w:val="00087C86"/>
    <w:rsid w:val="0009238A"/>
    <w:rsid w:val="00093331"/>
    <w:rsid w:val="000942E7"/>
    <w:rsid w:val="000945D7"/>
    <w:rsid w:val="00094776"/>
    <w:rsid w:val="00094C26"/>
    <w:rsid w:val="00095977"/>
    <w:rsid w:val="000963E2"/>
    <w:rsid w:val="0009651F"/>
    <w:rsid w:val="000974C5"/>
    <w:rsid w:val="00097549"/>
    <w:rsid w:val="000A0F7A"/>
    <w:rsid w:val="000A2BF5"/>
    <w:rsid w:val="000A3CC6"/>
    <w:rsid w:val="000A5149"/>
    <w:rsid w:val="000A5802"/>
    <w:rsid w:val="000A656A"/>
    <w:rsid w:val="000A6A72"/>
    <w:rsid w:val="000A6AC3"/>
    <w:rsid w:val="000A6DC8"/>
    <w:rsid w:val="000A713D"/>
    <w:rsid w:val="000B0314"/>
    <w:rsid w:val="000B2EF9"/>
    <w:rsid w:val="000B371F"/>
    <w:rsid w:val="000B3D3A"/>
    <w:rsid w:val="000B3E09"/>
    <w:rsid w:val="000B3ECF"/>
    <w:rsid w:val="000B3F80"/>
    <w:rsid w:val="000B4C14"/>
    <w:rsid w:val="000B4FC8"/>
    <w:rsid w:val="000B6120"/>
    <w:rsid w:val="000B6548"/>
    <w:rsid w:val="000B71CA"/>
    <w:rsid w:val="000B74FB"/>
    <w:rsid w:val="000C11FA"/>
    <w:rsid w:val="000C23BF"/>
    <w:rsid w:val="000C44E5"/>
    <w:rsid w:val="000C5BF4"/>
    <w:rsid w:val="000C5F7D"/>
    <w:rsid w:val="000D056B"/>
    <w:rsid w:val="000D15A4"/>
    <w:rsid w:val="000D1ECC"/>
    <w:rsid w:val="000D21BE"/>
    <w:rsid w:val="000D26C7"/>
    <w:rsid w:val="000D3211"/>
    <w:rsid w:val="000D3ED6"/>
    <w:rsid w:val="000D453D"/>
    <w:rsid w:val="000D4CFB"/>
    <w:rsid w:val="000D50A4"/>
    <w:rsid w:val="000D595D"/>
    <w:rsid w:val="000D76BD"/>
    <w:rsid w:val="000D7AFD"/>
    <w:rsid w:val="000E0A67"/>
    <w:rsid w:val="000E12CA"/>
    <w:rsid w:val="000E1464"/>
    <w:rsid w:val="000E1B27"/>
    <w:rsid w:val="000E1BAF"/>
    <w:rsid w:val="000E1BD2"/>
    <w:rsid w:val="000E312C"/>
    <w:rsid w:val="000E45B5"/>
    <w:rsid w:val="000E4738"/>
    <w:rsid w:val="000E5945"/>
    <w:rsid w:val="000E6449"/>
    <w:rsid w:val="000F28D0"/>
    <w:rsid w:val="000F2FD4"/>
    <w:rsid w:val="000F3112"/>
    <w:rsid w:val="000F32EE"/>
    <w:rsid w:val="000F3D02"/>
    <w:rsid w:val="000F549B"/>
    <w:rsid w:val="000F5A4D"/>
    <w:rsid w:val="000F6A00"/>
    <w:rsid w:val="00101015"/>
    <w:rsid w:val="00101EAC"/>
    <w:rsid w:val="001031E3"/>
    <w:rsid w:val="00105E74"/>
    <w:rsid w:val="00106975"/>
    <w:rsid w:val="00107101"/>
    <w:rsid w:val="0011011A"/>
    <w:rsid w:val="0011011B"/>
    <w:rsid w:val="00110CC9"/>
    <w:rsid w:val="00110DBF"/>
    <w:rsid w:val="00110DCC"/>
    <w:rsid w:val="001113C5"/>
    <w:rsid w:val="00111729"/>
    <w:rsid w:val="00111EAB"/>
    <w:rsid w:val="0011274F"/>
    <w:rsid w:val="0011439D"/>
    <w:rsid w:val="00115F60"/>
    <w:rsid w:val="0011699F"/>
    <w:rsid w:val="00116CB6"/>
    <w:rsid w:val="00117EAB"/>
    <w:rsid w:val="00120E43"/>
    <w:rsid w:val="00121178"/>
    <w:rsid w:val="00122259"/>
    <w:rsid w:val="001228A5"/>
    <w:rsid w:val="00123056"/>
    <w:rsid w:val="00123224"/>
    <w:rsid w:val="0012711B"/>
    <w:rsid w:val="00127EAF"/>
    <w:rsid w:val="00127FC3"/>
    <w:rsid w:val="0013102A"/>
    <w:rsid w:val="001319E8"/>
    <w:rsid w:val="001330A9"/>
    <w:rsid w:val="0013460B"/>
    <w:rsid w:val="001348ED"/>
    <w:rsid w:val="00134A52"/>
    <w:rsid w:val="00134DA2"/>
    <w:rsid w:val="001364BA"/>
    <w:rsid w:val="001364DB"/>
    <w:rsid w:val="00136C16"/>
    <w:rsid w:val="001375AD"/>
    <w:rsid w:val="001407BB"/>
    <w:rsid w:val="00141621"/>
    <w:rsid w:val="0014209A"/>
    <w:rsid w:val="00142431"/>
    <w:rsid w:val="00142E4C"/>
    <w:rsid w:val="00143835"/>
    <w:rsid w:val="00144BF6"/>
    <w:rsid w:val="00144E12"/>
    <w:rsid w:val="0014562C"/>
    <w:rsid w:val="0015083F"/>
    <w:rsid w:val="00150A75"/>
    <w:rsid w:val="00150AA0"/>
    <w:rsid w:val="00152840"/>
    <w:rsid w:val="00153154"/>
    <w:rsid w:val="001547CA"/>
    <w:rsid w:val="001552C6"/>
    <w:rsid w:val="00156268"/>
    <w:rsid w:val="00156751"/>
    <w:rsid w:val="00157DD8"/>
    <w:rsid w:val="001605C1"/>
    <w:rsid w:val="001608F0"/>
    <w:rsid w:val="00160F31"/>
    <w:rsid w:val="0016151C"/>
    <w:rsid w:val="00161A43"/>
    <w:rsid w:val="00161A69"/>
    <w:rsid w:val="001622ED"/>
    <w:rsid w:val="001625FF"/>
    <w:rsid w:val="00162782"/>
    <w:rsid w:val="00163222"/>
    <w:rsid w:val="001636F0"/>
    <w:rsid w:val="0016579B"/>
    <w:rsid w:val="001657B0"/>
    <w:rsid w:val="00165FCB"/>
    <w:rsid w:val="00166758"/>
    <w:rsid w:val="00167086"/>
    <w:rsid w:val="00170F94"/>
    <w:rsid w:val="001716A7"/>
    <w:rsid w:val="001722C5"/>
    <w:rsid w:val="00174B5F"/>
    <w:rsid w:val="00174F1E"/>
    <w:rsid w:val="00175186"/>
    <w:rsid w:val="00175C0C"/>
    <w:rsid w:val="00177F34"/>
    <w:rsid w:val="0018067E"/>
    <w:rsid w:val="00180B4A"/>
    <w:rsid w:val="00181E98"/>
    <w:rsid w:val="00182232"/>
    <w:rsid w:val="0018282E"/>
    <w:rsid w:val="0018367F"/>
    <w:rsid w:val="001845F3"/>
    <w:rsid w:val="001845F4"/>
    <w:rsid w:val="001849F0"/>
    <w:rsid w:val="00184E55"/>
    <w:rsid w:val="0018645E"/>
    <w:rsid w:val="001865B5"/>
    <w:rsid w:val="0018746D"/>
    <w:rsid w:val="00190C49"/>
    <w:rsid w:val="00193068"/>
    <w:rsid w:val="0019378A"/>
    <w:rsid w:val="00193EEF"/>
    <w:rsid w:val="0019430E"/>
    <w:rsid w:val="00194C51"/>
    <w:rsid w:val="00194D93"/>
    <w:rsid w:val="00195967"/>
    <w:rsid w:val="00196567"/>
    <w:rsid w:val="001A099C"/>
    <w:rsid w:val="001A0BF2"/>
    <w:rsid w:val="001A107B"/>
    <w:rsid w:val="001A1F72"/>
    <w:rsid w:val="001A2169"/>
    <w:rsid w:val="001A29A1"/>
    <w:rsid w:val="001A321B"/>
    <w:rsid w:val="001A3546"/>
    <w:rsid w:val="001A366C"/>
    <w:rsid w:val="001A50B2"/>
    <w:rsid w:val="001A6158"/>
    <w:rsid w:val="001A6322"/>
    <w:rsid w:val="001A6886"/>
    <w:rsid w:val="001A7BC2"/>
    <w:rsid w:val="001B03AD"/>
    <w:rsid w:val="001B1B93"/>
    <w:rsid w:val="001B2AD7"/>
    <w:rsid w:val="001B31E3"/>
    <w:rsid w:val="001B3AA6"/>
    <w:rsid w:val="001B43BD"/>
    <w:rsid w:val="001B53A6"/>
    <w:rsid w:val="001B59C6"/>
    <w:rsid w:val="001B5A6D"/>
    <w:rsid w:val="001B60F1"/>
    <w:rsid w:val="001C0459"/>
    <w:rsid w:val="001C0527"/>
    <w:rsid w:val="001C079D"/>
    <w:rsid w:val="001C1065"/>
    <w:rsid w:val="001C1EFF"/>
    <w:rsid w:val="001C239C"/>
    <w:rsid w:val="001C27EB"/>
    <w:rsid w:val="001C28D5"/>
    <w:rsid w:val="001C2A8D"/>
    <w:rsid w:val="001C41E0"/>
    <w:rsid w:val="001C669E"/>
    <w:rsid w:val="001C6D98"/>
    <w:rsid w:val="001D0B90"/>
    <w:rsid w:val="001D40B6"/>
    <w:rsid w:val="001D49E8"/>
    <w:rsid w:val="001D4F0D"/>
    <w:rsid w:val="001D56EA"/>
    <w:rsid w:val="001D6113"/>
    <w:rsid w:val="001D65E1"/>
    <w:rsid w:val="001D72DF"/>
    <w:rsid w:val="001D7698"/>
    <w:rsid w:val="001E0ADB"/>
    <w:rsid w:val="001E1C0D"/>
    <w:rsid w:val="001E363D"/>
    <w:rsid w:val="001E5055"/>
    <w:rsid w:val="001E5342"/>
    <w:rsid w:val="001E5406"/>
    <w:rsid w:val="001E5A33"/>
    <w:rsid w:val="001E698E"/>
    <w:rsid w:val="001E7480"/>
    <w:rsid w:val="001F052A"/>
    <w:rsid w:val="001F07B9"/>
    <w:rsid w:val="001F07C2"/>
    <w:rsid w:val="001F297D"/>
    <w:rsid w:val="001F32CA"/>
    <w:rsid w:val="001F3DCF"/>
    <w:rsid w:val="001F543C"/>
    <w:rsid w:val="001F6991"/>
    <w:rsid w:val="001F74E7"/>
    <w:rsid w:val="0020018A"/>
    <w:rsid w:val="00200BAD"/>
    <w:rsid w:val="002015CD"/>
    <w:rsid w:val="00202B6F"/>
    <w:rsid w:val="002035C3"/>
    <w:rsid w:val="00203E8C"/>
    <w:rsid w:val="00204346"/>
    <w:rsid w:val="002044B4"/>
    <w:rsid w:val="00204DE9"/>
    <w:rsid w:val="00205F4E"/>
    <w:rsid w:val="00206611"/>
    <w:rsid w:val="002067EB"/>
    <w:rsid w:val="00206E64"/>
    <w:rsid w:val="0020705C"/>
    <w:rsid w:val="0020724A"/>
    <w:rsid w:val="0020780A"/>
    <w:rsid w:val="00207F95"/>
    <w:rsid w:val="002101FA"/>
    <w:rsid w:val="00211A8C"/>
    <w:rsid w:val="00212AA3"/>
    <w:rsid w:val="00213744"/>
    <w:rsid w:val="002141CA"/>
    <w:rsid w:val="00214A78"/>
    <w:rsid w:val="00214E0A"/>
    <w:rsid w:val="0021588E"/>
    <w:rsid w:val="00215B4B"/>
    <w:rsid w:val="00216E1F"/>
    <w:rsid w:val="0022116A"/>
    <w:rsid w:val="00221907"/>
    <w:rsid w:val="00221B8F"/>
    <w:rsid w:val="002221BF"/>
    <w:rsid w:val="00224226"/>
    <w:rsid w:val="00225D66"/>
    <w:rsid w:val="00227016"/>
    <w:rsid w:val="0023112F"/>
    <w:rsid w:val="002312E4"/>
    <w:rsid w:val="0023132B"/>
    <w:rsid w:val="00232EF4"/>
    <w:rsid w:val="0023354A"/>
    <w:rsid w:val="00233F7C"/>
    <w:rsid w:val="00234017"/>
    <w:rsid w:val="002353B0"/>
    <w:rsid w:val="00235E7C"/>
    <w:rsid w:val="002360D0"/>
    <w:rsid w:val="0023749B"/>
    <w:rsid w:val="00237F40"/>
    <w:rsid w:val="0024246A"/>
    <w:rsid w:val="00242CF2"/>
    <w:rsid w:val="002430F0"/>
    <w:rsid w:val="00243CF9"/>
    <w:rsid w:val="00243F35"/>
    <w:rsid w:val="00244093"/>
    <w:rsid w:val="00245539"/>
    <w:rsid w:val="00245FC5"/>
    <w:rsid w:val="00246A9B"/>
    <w:rsid w:val="0024747B"/>
    <w:rsid w:val="00247A5F"/>
    <w:rsid w:val="002507F4"/>
    <w:rsid w:val="00251EB9"/>
    <w:rsid w:val="00254892"/>
    <w:rsid w:val="00257012"/>
    <w:rsid w:val="0025744F"/>
    <w:rsid w:val="002577D0"/>
    <w:rsid w:val="002578B7"/>
    <w:rsid w:val="00263F62"/>
    <w:rsid w:val="00264D25"/>
    <w:rsid w:val="00265501"/>
    <w:rsid w:val="00265BD3"/>
    <w:rsid w:val="00267132"/>
    <w:rsid w:val="00270111"/>
    <w:rsid w:val="002706CA"/>
    <w:rsid w:val="00271F21"/>
    <w:rsid w:val="00272C22"/>
    <w:rsid w:val="002737E5"/>
    <w:rsid w:val="002744DD"/>
    <w:rsid w:val="0027476C"/>
    <w:rsid w:val="00274EBA"/>
    <w:rsid w:val="00274FD4"/>
    <w:rsid w:val="002758F6"/>
    <w:rsid w:val="0027605D"/>
    <w:rsid w:val="00277D24"/>
    <w:rsid w:val="00280296"/>
    <w:rsid w:val="00280790"/>
    <w:rsid w:val="00281686"/>
    <w:rsid w:val="002816A1"/>
    <w:rsid w:val="00282242"/>
    <w:rsid w:val="00282595"/>
    <w:rsid w:val="00282709"/>
    <w:rsid w:val="00282C3D"/>
    <w:rsid w:val="00285B08"/>
    <w:rsid w:val="002867C7"/>
    <w:rsid w:val="00287346"/>
    <w:rsid w:val="00290584"/>
    <w:rsid w:val="00290A0F"/>
    <w:rsid w:val="00293526"/>
    <w:rsid w:val="002935D8"/>
    <w:rsid w:val="002940BF"/>
    <w:rsid w:val="0029508E"/>
    <w:rsid w:val="00296C40"/>
    <w:rsid w:val="00296DAD"/>
    <w:rsid w:val="002A05BA"/>
    <w:rsid w:val="002A1867"/>
    <w:rsid w:val="002A1A05"/>
    <w:rsid w:val="002A2158"/>
    <w:rsid w:val="002A21C4"/>
    <w:rsid w:val="002A2785"/>
    <w:rsid w:val="002A2846"/>
    <w:rsid w:val="002A2A8F"/>
    <w:rsid w:val="002A4988"/>
    <w:rsid w:val="002A4B7E"/>
    <w:rsid w:val="002A5268"/>
    <w:rsid w:val="002A5E2C"/>
    <w:rsid w:val="002A6326"/>
    <w:rsid w:val="002A68DB"/>
    <w:rsid w:val="002A6FFC"/>
    <w:rsid w:val="002A71BB"/>
    <w:rsid w:val="002A730C"/>
    <w:rsid w:val="002A7974"/>
    <w:rsid w:val="002B0617"/>
    <w:rsid w:val="002B0CC4"/>
    <w:rsid w:val="002B2D30"/>
    <w:rsid w:val="002B3668"/>
    <w:rsid w:val="002B593E"/>
    <w:rsid w:val="002B728F"/>
    <w:rsid w:val="002C0DDD"/>
    <w:rsid w:val="002C2A65"/>
    <w:rsid w:val="002C3021"/>
    <w:rsid w:val="002C4A52"/>
    <w:rsid w:val="002C6F93"/>
    <w:rsid w:val="002C6FA0"/>
    <w:rsid w:val="002C712B"/>
    <w:rsid w:val="002C799C"/>
    <w:rsid w:val="002D0A12"/>
    <w:rsid w:val="002D0F19"/>
    <w:rsid w:val="002D2691"/>
    <w:rsid w:val="002D4B2F"/>
    <w:rsid w:val="002D4BE7"/>
    <w:rsid w:val="002D560A"/>
    <w:rsid w:val="002D6B78"/>
    <w:rsid w:val="002D7CCF"/>
    <w:rsid w:val="002E10DF"/>
    <w:rsid w:val="002E15C5"/>
    <w:rsid w:val="002E1BAA"/>
    <w:rsid w:val="002E2227"/>
    <w:rsid w:val="002E26DD"/>
    <w:rsid w:val="002E28AC"/>
    <w:rsid w:val="002E28BE"/>
    <w:rsid w:val="002E343B"/>
    <w:rsid w:val="002E3793"/>
    <w:rsid w:val="002E469F"/>
    <w:rsid w:val="002E48EF"/>
    <w:rsid w:val="002E5A6C"/>
    <w:rsid w:val="002E6F78"/>
    <w:rsid w:val="002E7B12"/>
    <w:rsid w:val="002F1A31"/>
    <w:rsid w:val="002F390A"/>
    <w:rsid w:val="002F47CF"/>
    <w:rsid w:val="002F4E21"/>
    <w:rsid w:val="002F62C0"/>
    <w:rsid w:val="002F71E2"/>
    <w:rsid w:val="0030026B"/>
    <w:rsid w:val="003011E1"/>
    <w:rsid w:val="003017BC"/>
    <w:rsid w:val="0030271A"/>
    <w:rsid w:val="00302A79"/>
    <w:rsid w:val="003030DC"/>
    <w:rsid w:val="00303720"/>
    <w:rsid w:val="00304109"/>
    <w:rsid w:val="0030484E"/>
    <w:rsid w:val="003049B7"/>
    <w:rsid w:val="0030632D"/>
    <w:rsid w:val="00306DB6"/>
    <w:rsid w:val="003104E1"/>
    <w:rsid w:val="003110E1"/>
    <w:rsid w:val="00313563"/>
    <w:rsid w:val="00314B43"/>
    <w:rsid w:val="003151B3"/>
    <w:rsid w:val="003152D3"/>
    <w:rsid w:val="00316CBD"/>
    <w:rsid w:val="00316E3F"/>
    <w:rsid w:val="0031739A"/>
    <w:rsid w:val="0031782C"/>
    <w:rsid w:val="00321130"/>
    <w:rsid w:val="00321189"/>
    <w:rsid w:val="00321280"/>
    <w:rsid w:val="00321391"/>
    <w:rsid w:val="00321D2C"/>
    <w:rsid w:val="00322095"/>
    <w:rsid w:val="00322AE9"/>
    <w:rsid w:val="003248DE"/>
    <w:rsid w:val="00324B13"/>
    <w:rsid w:val="00325A0D"/>
    <w:rsid w:val="00326049"/>
    <w:rsid w:val="0032609D"/>
    <w:rsid w:val="00327100"/>
    <w:rsid w:val="00330136"/>
    <w:rsid w:val="003307EB"/>
    <w:rsid w:val="00331280"/>
    <w:rsid w:val="00331D0B"/>
    <w:rsid w:val="00332234"/>
    <w:rsid w:val="00332B86"/>
    <w:rsid w:val="00332C82"/>
    <w:rsid w:val="0033324F"/>
    <w:rsid w:val="00333A2F"/>
    <w:rsid w:val="00333ACC"/>
    <w:rsid w:val="00333B36"/>
    <w:rsid w:val="00334015"/>
    <w:rsid w:val="00334DDC"/>
    <w:rsid w:val="00336E50"/>
    <w:rsid w:val="00340052"/>
    <w:rsid w:val="003402C2"/>
    <w:rsid w:val="0034088C"/>
    <w:rsid w:val="00340DF3"/>
    <w:rsid w:val="00342802"/>
    <w:rsid w:val="00342834"/>
    <w:rsid w:val="003428EF"/>
    <w:rsid w:val="00343AB9"/>
    <w:rsid w:val="0034520C"/>
    <w:rsid w:val="00346B10"/>
    <w:rsid w:val="00347108"/>
    <w:rsid w:val="00347EDA"/>
    <w:rsid w:val="003508FF"/>
    <w:rsid w:val="00350D14"/>
    <w:rsid w:val="00350EA3"/>
    <w:rsid w:val="003510D1"/>
    <w:rsid w:val="00351715"/>
    <w:rsid w:val="003518D7"/>
    <w:rsid w:val="0035250A"/>
    <w:rsid w:val="0035258E"/>
    <w:rsid w:val="003545C6"/>
    <w:rsid w:val="00354E8C"/>
    <w:rsid w:val="0035522B"/>
    <w:rsid w:val="00355B2B"/>
    <w:rsid w:val="00357E8E"/>
    <w:rsid w:val="003606C4"/>
    <w:rsid w:val="00361602"/>
    <w:rsid w:val="003629B2"/>
    <w:rsid w:val="00363ADE"/>
    <w:rsid w:val="0036409D"/>
    <w:rsid w:val="00365192"/>
    <w:rsid w:val="00366981"/>
    <w:rsid w:val="00367082"/>
    <w:rsid w:val="0036798B"/>
    <w:rsid w:val="00370A6A"/>
    <w:rsid w:val="003718AD"/>
    <w:rsid w:val="00372CC9"/>
    <w:rsid w:val="003748D6"/>
    <w:rsid w:val="00375448"/>
    <w:rsid w:val="00375F58"/>
    <w:rsid w:val="003765D3"/>
    <w:rsid w:val="00376763"/>
    <w:rsid w:val="00376F42"/>
    <w:rsid w:val="00380791"/>
    <w:rsid w:val="00380AAB"/>
    <w:rsid w:val="00380BED"/>
    <w:rsid w:val="00380DD8"/>
    <w:rsid w:val="00382C87"/>
    <w:rsid w:val="00383906"/>
    <w:rsid w:val="00383E43"/>
    <w:rsid w:val="00384683"/>
    <w:rsid w:val="00384A4F"/>
    <w:rsid w:val="00384FCB"/>
    <w:rsid w:val="0038596E"/>
    <w:rsid w:val="003864B5"/>
    <w:rsid w:val="00386AD3"/>
    <w:rsid w:val="00387F29"/>
    <w:rsid w:val="00391959"/>
    <w:rsid w:val="003923B6"/>
    <w:rsid w:val="00392881"/>
    <w:rsid w:val="003928F1"/>
    <w:rsid w:val="00394578"/>
    <w:rsid w:val="0039463D"/>
    <w:rsid w:val="00394A54"/>
    <w:rsid w:val="00395533"/>
    <w:rsid w:val="00396891"/>
    <w:rsid w:val="00397EC2"/>
    <w:rsid w:val="003A138E"/>
    <w:rsid w:val="003A3238"/>
    <w:rsid w:val="003A3623"/>
    <w:rsid w:val="003A458B"/>
    <w:rsid w:val="003A554E"/>
    <w:rsid w:val="003A5C41"/>
    <w:rsid w:val="003A62BA"/>
    <w:rsid w:val="003A6769"/>
    <w:rsid w:val="003A6913"/>
    <w:rsid w:val="003A7E0B"/>
    <w:rsid w:val="003B008F"/>
    <w:rsid w:val="003B0938"/>
    <w:rsid w:val="003B0E93"/>
    <w:rsid w:val="003B1FCD"/>
    <w:rsid w:val="003B2953"/>
    <w:rsid w:val="003B3493"/>
    <w:rsid w:val="003B4F13"/>
    <w:rsid w:val="003B5B6C"/>
    <w:rsid w:val="003B6C2B"/>
    <w:rsid w:val="003B71CA"/>
    <w:rsid w:val="003B75E6"/>
    <w:rsid w:val="003C219D"/>
    <w:rsid w:val="003C45B2"/>
    <w:rsid w:val="003C468C"/>
    <w:rsid w:val="003C57FB"/>
    <w:rsid w:val="003C7347"/>
    <w:rsid w:val="003D0693"/>
    <w:rsid w:val="003D095B"/>
    <w:rsid w:val="003D0ABC"/>
    <w:rsid w:val="003D0C21"/>
    <w:rsid w:val="003D2DE1"/>
    <w:rsid w:val="003D322A"/>
    <w:rsid w:val="003D33A8"/>
    <w:rsid w:val="003D485F"/>
    <w:rsid w:val="003D4AD3"/>
    <w:rsid w:val="003D4C30"/>
    <w:rsid w:val="003D6481"/>
    <w:rsid w:val="003D67E6"/>
    <w:rsid w:val="003D744F"/>
    <w:rsid w:val="003D7615"/>
    <w:rsid w:val="003D7769"/>
    <w:rsid w:val="003D7A85"/>
    <w:rsid w:val="003E093B"/>
    <w:rsid w:val="003E1754"/>
    <w:rsid w:val="003E1F9B"/>
    <w:rsid w:val="003E2A23"/>
    <w:rsid w:val="003E3546"/>
    <w:rsid w:val="003E41F7"/>
    <w:rsid w:val="003E5BBD"/>
    <w:rsid w:val="003E69D9"/>
    <w:rsid w:val="003E6CC4"/>
    <w:rsid w:val="003E797C"/>
    <w:rsid w:val="003E7D27"/>
    <w:rsid w:val="003F2115"/>
    <w:rsid w:val="003F5343"/>
    <w:rsid w:val="003F569D"/>
    <w:rsid w:val="003F5CFD"/>
    <w:rsid w:val="003F67F3"/>
    <w:rsid w:val="003F69F5"/>
    <w:rsid w:val="003F771E"/>
    <w:rsid w:val="00401951"/>
    <w:rsid w:val="00401FB2"/>
    <w:rsid w:val="00404083"/>
    <w:rsid w:val="00406B66"/>
    <w:rsid w:val="00407E00"/>
    <w:rsid w:val="00411DFA"/>
    <w:rsid w:val="0041209B"/>
    <w:rsid w:val="00414506"/>
    <w:rsid w:val="00414DAC"/>
    <w:rsid w:val="00414E57"/>
    <w:rsid w:val="00415A50"/>
    <w:rsid w:val="00415C02"/>
    <w:rsid w:val="00416913"/>
    <w:rsid w:val="00417DF3"/>
    <w:rsid w:val="00420CF5"/>
    <w:rsid w:val="004218B1"/>
    <w:rsid w:val="004219E8"/>
    <w:rsid w:val="004222AF"/>
    <w:rsid w:val="0042295E"/>
    <w:rsid w:val="004231B8"/>
    <w:rsid w:val="00423930"/>
    <w:rsid w:val="0042470D"/>
    <w:rsid w:val="00425979"/>
    <w:rsid w:val="004267EC"/>
    <w:rsid w:val="0042757E"/>
    <w:rsid w:val="004302E8"/>
    <w:rsid w:val="00430C7C"/>
    <w:rsid w:val="004312CF"/>
    <w:rsid w:val="0043149C"/>
    <w:rsid w:val="00431C9A"/>
    <w:rsid w:val="00431F89"/>
    <w:rsid w:val="00432399"/>
    <w:rsid w:val="00432E03"/>
    <w:rsid w:val="004332AA"/>
    <w:rsid w:val="00434500"/>
    <w:rsid w:val="00435044"/>
    <w:rsid w:val="00435895"/>
    <w:rsid w:val="004415E1"/>
    <w:rsid w:val="0044241B"/>
    <w:rsid w:val="00442B51"/>
    <w:rsid w:val="00443B74"/>
    <w:rsid w:val="00444400"/>
    <w:rsid w:val="00444A14"/>
    <w:rsid w:val="00444F55"/>
    <w:rsid w:val="00446735"/>
    <w:rsid w:val="00450292"/>
    <w:rsid w:val="0045230E"/>
    <w:rsid w:val="00454F6F"/>
    <w:rsid w:val="004554F6"/>
    <w:rsid w:val="00456BD1"/>
    <w:rsid w:val="0046007B"/>
    <w:rsid w:val="00460131"/>
    <w:rsid w:val="00461224"/>
    <w:rsid w:val="00461614"/>
    <w:rsid w:val="00461DB5"/>
    <w:rsid w:val="0046205B"/>
    <w:rsid w:val="004631EF"/>
    <w:rsid w:val="004632F6"/>
    <w:rsid w:val="00463FD0"/>
    <w:rsid w:val="00464A32"/>
    <w:rsid w:val="00465B9B"/>
    <w:rsid w:val="004707A6"/>
    <w:rsid w:val="00470B42"/>
    <w:rsid w:val="004711CD"/>
    <w:rsid w:val="004731F1"/>
    <w:rsid w:val="0047370E"/>
    <w:rsid w:val="00474142"/>
    <w:rsid w:val="004744EC"/>
    <w:rsid w:val="0047674F"/>
    <w:rsid w:val="00480A23"/>
    <w:rsid w:val="0048243E"/>
    <w:rsid w:val="0048283C"/>
    <w:rsid w:val="00484090"/>
    <w:rsid w:val="004840C0"/>
    <w:rsid w:val="00484638"/>
    <w:rsid w:val="00484F23"/>
    <w:rsid w:val="004854F1"/>
    <w:rsid w:val="004867D2"/>
    <w:rsid w:val="004875A2"/>
    <w:rsid w:val="0049050E"/>
    <w:rsid w:val="00490EEE"/>
    <w:rsid w:val="00490F41"/>
    <w:rsid w:val="00491A39"/>
    <w:rsid w:val="00491D4D"/>
    <w:rsid w:val="004925CD"/>
    <w:rsid w:val="0049278B"/>
    <w:rsid w:val="0049344C"/>
    <w:rsid w:val="00494342"/>
    <w:rsid w:val="0049539D"/>
    <w:rsid w:val="004960A7"/>
    <w:rsid w:val="004961BF"/>
    <w:rsid w:val="00496CE3"/>
    <w:rsid w:val="00496EC1"/>
    <w:rsid w:val="004970DC"/>
    <w:rsid w:val="00497A4D"/>
    <w:rsid w:val="00497B34"/>
    <w:rsid w:val="004A0236"/>
    <w:rsid w:val="004A1BE6"/>
    <w:rsid w:val="004A2BB6"/>
    <w:rsid w:val="004A2F38"/>
    <w:rsid w:val="004A34DC"/>
    <w:rsid w:val="004A381C"/>
    <w:rsid w:val="004A428A"/>
    <w:rsid w:val="004A5448"/>
    <w:rsid w:val="004A58D9"/>
    <w:rsid w:val="004A60F7"/>
    <w:rsid w:val="004A779B"/>
    <w:rsid w:val="004B00C9"/>
    <w:rsid w:val="004B2504"/>
    <w:rsid w:val="004B4529"/>
    <w:rsid w:val="004B5920"/>
    <w:rsid w:val="004B7F8B"/>
    <w:rsid w:val="004C0D60"/>
    <w:rsid w:val="004C1EFA"/>
    <w:rsid w:val="004C33CC"/>
    <w:rsid w:val="004C3D85"/>
    <w:rsid w:val="004C4A4A"/>
    <w:rsid w:val="004C51FC"/>
    <w:rsid w:val="004C545B"/>
    <w:rsid w:val="004C56C6"/>
    <w:rsid w:val="004C5F5A"/>
    <w:rsid w:val="004C650D"/>
    <w:rsid w:val="004C6C3A"/>
    <w:rsid w:val="004C6D2D"/>
    <w:rsid w:val="004C6D6E"/>
    <w:rsid w:val="004C706B"/>
    <w:rsid w:val="004C72B6"/>
    <w:rsid w:val="004C75A5"/>
    <w:rsid w:val="004C75BB"/>
    <w:rsid w:val="004D0142"/>
    <w:rsid w:val="004D0786"/>
    <w:rsid w:val="004D08EB"/>
    <w:rsid w:val="004D21B5"/>
    <w:rsid w:val="004D3D1E"/>
    <w:rsid w:val="004D4126"/>
    <w:rsid w:val="004D55B8"/>
    <w:rsid w:val="004D580C"/>
    <w:rsid w:val="004D66D1"/>
    <w:rsid w:val="004D7024"/>
    <w:rsid w:val="004D7135"/>
    <w:rsid w:val="004E04C3"/>
    <w:rsid w:val="004E0988"/>
    <w:rsid w:val="004E2FB4"/>
    <w:rsid w:val="004E4024"/>
    <w:rsid w:val="004E4C30"/>
    <w:rsid w:val="004E4F7B"/>
    <w:rsid w:val="004E5382"/>
    <w:rsid w:val="004E5555"/>
    <w:rsid w:val="004E5A84"/>
    <w:rsid w:val="004E78E7"/>
    <w:rsid w:val="004E7CEC"/>
    <w:rsid w:val="004F1661"/>
    <w:rsid w:val="004F282E"/>
    <w:rsid w:val="004F361F"/>
    <w:rsid w:val="004F3A5B"/>
    <w:rsid w:val="004F4472"/>
    <w:rsid w:val="004F4B8C"/>
    <w:rsid w:val="004F55B3"/>
    <w:rsid w:val="004F561D"/>
    <w:rsid w:val="004F6EE1"/>
    <w:rsid w:val="004F7B3D"/>
    <w:rsid w:val="004F7FBE"/>
    <w:rsid w:val="00500388"/>
    <w:rsid w:val="00500FCB"/>
    <w:rsid w:val="00501DF6"/>
    <w:rsid w:val="00503481"/>
    <w:rsid w:val="0050392E"/>
    <w:rsid w:val="00504B08"/>
    <w:rsid w:val="00504CF6"/>
    <w:rsid w:val="00505BC1"/>
    <w:rsid w:val="0050715D"/>
    <w:rsid w:val="005078FC"/>
    <w:rsid w:val="00507AA5"/>
    <w:rsid w:val="00507C13"/>
    <w:rsid w:val="00507F70"/>
    <w:rsid w:val="00510AD1"/>
    <w:rsid w:val="0051103B"/>
    <w:rsid w:val="005124CE"/>
    <w:rsid w:val="00512714"/>
    <w:rsid w:val="00513D4F"/>
    <w:rsid w:val="00514D46"/>
    <w:rsid w:val="00515249"/>
    <w:rsid w:val="0051589F"/>
    <w:rsid w:val="00516263"/>
    <w:rsid w:val="00520A9E"/>
    <w:rsid w:val="005213D6"/>
    <w:rsid w:val="0052249C"/>
    <w:rsid w:val="005230BB"/>
    <w:rsid w:val="0052327F"/>
    <w:rsid w:val="00523D51"/>
    <w:rsid w:val="00524AFF"/>
    <w:rsid w:val="00524F96"/>
    <w:rsid w:val="00524F9D"/>
    <w:rsid w:val="005275B6"/>
    <w:rsid w:val="00527CEA"/>
    <w:rsid w:val="00527D0A"/>
    <w:rsid w:val="005306E1"/>
    <w:rsid w:val="00531164"/>
    <w:rsid w:val="00531361"/>
    <w:rsid w:val="005320DA"/>
    <w:rsid w:val="00534C9B"/>
    <w:rsid w:val="00536150"/>
    <w:rsid w:val="0053621B"/>
    <w:rsid w:val="00537662"/>
    <w:rsid w:val="00537AF2"/>
    <w:rsid w:val="00540593"/>
    <w:rsid w:val="00540CB2"/>
    <w:rsid w:val="005416B0"/>
    <w:rsid w:val="005418E7"/>
    <w:rsid w:val="00541B98"/>
    <w:rsid w:val="00542DB2"/>
    <w:rsid w:val="0054360B"/>
    <w:rsid w:val="005442FF"/>
    <w:rsid w:val="0054541E"/>
    <w:rsid w:val="00545690"/>
    <w:rsid w:val="00545C44"/>
    <w:rsid w:val="00546254"/>
    <w:rsid w:val="005468C9"/>
    <w:rsid w:val="0054763D"/>
    <w:rsid w:val="00547C6A"/>
    <w:rsid w:val="00550052"/>
    <w:rsid w:val="00550DF7"/>
    <w:rsid w:val="0055166D"/>
    <w:rsid w:val="00552573"/>
    <w:rsid w:val="00553524"/>
    <w:rsid w:val="00554BCF"/>
    <w:rsid w:val="00554CED"/>
    <w:rsid w:val="005557B8"/>
    <w:rsid w:val="00555E35"/>
    <w:rsid w:val="0055635A"/>
    <w:rsid w:val="005563D9"/>
    <w:rsid w:val="005563E9"/>
    <w:rsid w:val="00556601"/>
    <w:rsid w:val="00560563"/>
    <w:rsid w:val="00560A9C"/>
    <w:rsid w:val="005610A4"/>
    <w:rsid w:val="00561878"/>
    <w:rsid w:val="005620ED"/>
    <w:rsid w:val="0056243F"/>
    <w:rsid w:val="00562607"/>
    <w:rsid w:val="00564A60"/>
    <w:rsid w:val="0056518C"/>
    <w:rsid w:val="00565764"/>
    <w:rsid w:val="00567128"/>
    <w:rsid w:val="005674CC"/>
    <w:rsid w:val="005720C5"/>
    <w:rsid w:val="00572CE4"/>
    <w:rsid w:val="00573917"/>
    <w:rsid w:val="005753B0"/>
    <w:rsid w:val="00576007"/>
    <w:rsid w:val="00577082"/>
    <w:rsid w:val="00580394"/>
    <w:rsid w:val="005820B9"/>
    <w:rsid w:val="0058303A"/>
    <w:rsid w:val="005838D1"/>
    <w:rsid w:val="00583F0D"/>
    <w:rsid w:val="00584317"/>
    <w:rsid w:val="0058560A"/>
    <w:rsid w:val="00585E07"/>
    <w:rsid w:val="0058686B"/>
    <w:rsid w:val="005914D0"/>
    <w:rsid w:val="00591590"/>
    <w:rsid w:val="00591853"/>
    <w:rsid w:val="005930C7"/>
    <w:rsid w:val="00593345"/>
    <w:rsid w:val="00595099"/>
    <w:rsid w:val="0059527D"/>
    <w:rsid w:val="0059593F"/>
    <w:rsid w:val="005A062F"/>
    <w:rsid w:val="005A07C1"/>
    <w:rsid w:val="005A1887"/>
    <w:rsid w:val="005A36CB"/>
    <w:rsid w:val="005A395C"/>
    <w:rsid w:val="005A4C45"/>
    <w:rsid w:val="005A71CA"/>
    <w:rsid w:val="005B095A"/>
    <w:rsid w:val="005B0BE6"/>
    <w:rsid w:val="005B32E5"/>
    <w:rsid w:val="005B3460"/>
    <w:rsid w:val="005B434A"/>
    <w:rsid w:val="005B4362"/>
    <w:rsid w:val="005B4739"/>
    <w:rsid w:val="005B4989"/>
    <w:rsid w:val="005B50AB"/>
    <w:rsid w:val="005B7072"/>
    <w:rsid w:val="005B720C"/>
    <w:rsid w:val="005C03DF"/>
    <w:rsid w:val="005C1325"/>
    <w:rsid w:val="005C20FD"/>
    <w:rsid w:val="005C23C5"/>
    <w:rsid w:val="005C2BAA"/>
    <w:rsid w:val="005C2C98"/>
    <w:rsid w:val="005C2EEA"/>
    <w:rsid w:val="005C4371"/>
    <w:rsid w:val="005C55A6"/>
    <w:rsid w:val="005C5F7F"/>
    <w:rsid w:val="005C64B0"/>
    <w:rsid w:val="005C678B"/>
    <w:rsid w:val="005C7634"/>
    <w:rsid w:val="005D0CC1"/>
    <w:rsid w:val="005D2452"/>
    <w:rsid w:val="005D36C9"/>
    <w:rsid w:val="005D48E0"/>
    <w:rsid w:val="005D546F"/>
    <w:rsid w:val="005E15B0"/>
    <w:rsid w:val="005E37D9"/>
    <w:rsid w:val="005E5030"/>
    <w:rsid w:val="005E6F61"/>
    <w:rsid w:val="005E7145"/>
    <w:rsid w:val="005E771D"/>
    <w:rsid w:val="005F06ED"/>
    <w:rsid w:val="005F0C89"/>
    <w:rsid w:val="005F2908"/>
    <w:rsid w:val="005F3C25"/>
    <w:rsid w:val="005F644B"/>
    <w:rsid w:val="005F6DF5"/>
    <w:rsid w:val="005F786B"/>
    <w:rsid w:val="0060274F"/>
    <w:rsid w:val="00602C61"/>
    <w:rsid w:val="00602FAD"/>
    <w:rsid w:val="00603562"/>
    <w:rsid w:val="006037C0"/>
    <w:rsid w:val="00603BCE"/>
    <w:rsid w:val="00604180"/>
    <w:rsid w:val="00605768"/>
    <w:rsid w:val="00607799"/>
    <w:rsid w:val="00610531"/>
    <w:rsid w:val="0061189A"/>
    <w:rsid w:val="006127EB"/>
    <w:rsid w:val="00612C69"/>
    <w:rsid w:val="00612F25"/>
    <w:rsid w:val="00613CBC"/>
    <w:rsid w:val="006173F1"/>
    <w:rsid w:val="0061779F"/>
    <w:rsid w:val="006215AC"/>
    <w:rsid w:val="00621D11"/>
    <w:rsid w:val="00622317"/>
    <w:rsid w:val="00623441"/>
    <w:rsid w:val="00623742"/>
    <w:rsid w:val="00624A9E"/>
    <w:rsid w:val="006254B6"/>
    <w:rsid w:val="00625626"/>
    <w:rsid w:val="0062604B"/>
    <w:rsid w:val="00626444"/>
    <w:rsid w:val="0062645D"/>
    <w:rsid w:val="006266C9"/>
    <w:rsid w:val="00626DBC"/>
    <w:rsid w:val="00626EB1"/>
    <w:rsid w:val="0062726D"/>
    <w:rsid w:val="0063072B"/>
    <w:rsid w:val="00635ECD"/>
    <w:rsid w:val="006366A0"/>
    <w:rsid w:val="006368D8"/>
    <w:rsid w:val="00637328"/>
    <w:rsid w:val="00640914"/>
    <w:rsid w:val="00640CA1"/>
    <w:rsid w:val="00640E13"/>
    <w:rsid w:val="0064188A"/>
    <w:rsid w:val="006425D4"/>
    <w:rsid w:val="006443CB"/>
    <w:rsid w:val="00646105"/>
    <w:rsid w:val="006464C7"/>
    <w:rsid w:val="00647C90"/>
    <w:rsid w:val="00651539"/>
    <w:rsid w:val="006520D9"/>
    <w:rsid w:val="00652236"/>
    <w:rsid w:val="006542D0"/>
    <w:rsid w:val="00656314"/>
    <w:rsid w:val="00656ECD"/>
    <w:rsid w:val="00657314"/>
    <w:rsid w:val="00657F1D"/>
    <w:rsid w:val="00660C30"/>
    <w:rsid w:val="00661E64"/>
    <w:rsid w:val="00662A55"/>
    <w:rsid w:val="006638D6"/>
    <w:rsid w:val="006670E2"/>
    <w:rsid w:val="00667E87"/>
    <w:rsid w:val="0067042E"/>
    <w:rsid w:val="006707E0"/>
    <w:rsid w:val="00671A2F"/>
    <w:rsid w:val="00671B61"/>
    <w:rsid w:val="00672197"/>
    <w:rsid w:val="006721D7"/>
    <w:rsid w:val="006727A5"/>
    <w:rsid w:val="00672D89"/>
    <w:rsid w:val="00673097"/>
    <w:rsid w:val="006735B6"/>
    <w:rsid w:val="00675C4F"/>
    <w:rsid w:val="00676379"/>
    <w:rsid w:val="00680496"/>
    <w:rsid w:val="006805D6"/>
    <w:rsid w:val="00680A00"/>
    <w:rsid w:val="006810BE"/>
    <w:rsid w:val="00681663"/>
    <w:rsid w:val="00681DBF"/>
    <w:rsid w:val="00681F7C"/>
    <w:rsid w:val="00682B40"/>
    <w:rsid w:val="00683FBA"/>
    <w:rsid w:val="0068477C"/>
    <w:rsid w:val="00684817"/>
    <w:rsid w:val="006853A4"/>
    <w:rsid w:val="00685493"/>
    <w:rsid w:val="00685613"/>
    <w:rsid w:val="00685758"/>
    <w:rsid w:val="006868CB"/>
    <w:rsid w:val="00687556"/>
    <w:rsid w:val="00687918"/>
    <w:rsid w:val="00687C54"/>
    <w:rsid w:val="00690D96"/>
    <w:rsid w:val="00690DE3"/>
    <w:rsid w:val="00692671"/>
    <w:rsid w:val="0069304D"/>
    <w:rsid w:val="00693C66"/>
    <w:rsid w:val="0069411C"/>
    <w:rsid w:val="00694386"/>
    <w:rsid w:val="0069493A"/>
    <w:rsid w:val="00695744"/>
    <w:rsid w:val="00696802"/>
    <w:rsid w:val="00696F30"/>
    <w:rsid w:val="00697ED7"/>
    <w:rsid w:val="006A02B4"/>
    <w:rsid w:val="006A1896"/>
    <w:rsid w:val="006A2681"/>
    <w:rsid w:val="006A2B9F"/>
    <w:rsid w:val="006A2D09"/>
    <w:rsid w:val="006A31B9"/>
    <w:rsid w:val="006A3898"/>
    <w:rsid w:val="006A5939"/>
    <w:rsid w:val="006A7282"/>
    <w:rsid w:val="006A7997"/>
    <w:rsid w:val="006A7B72"/>
    <w:rsid w:val="006B023B"/>
    <w:rsid w:val="006B0D2C"/>
    <w:rsid w:val="006B1ADA"/>
    <w:rsid w:val="006B2042"/>
    <w:rsid w:val="006B22A9"/>
    <w:rsid w:val="006B24E6"/>
    <w:rsid w:val="006B2A9A"/>
    <w:rsid w:val="006B3E5D"/>
    <w:rsid w:val="006B4370"/>
    <w:rsid w:val="006B4EAD"/>
    <w:rsid w:val="006B50C4"/>
    <w:rsid w:val="006B5BB5"/>
    <w:rsid w:val="006C028C"/>
    <w:rsid w:val="006C063E"/>
    <w:rsid w:val="006C3AEB"/>
    <w:rsid w:val="006C5897"/>
    <w:rsid w:val="006C610C"/>
    <w:rsid w:val="006C76E3"/>
    <w:rsid w:val="006C7732"/>
    <w:rsid w:val="006C7824"/>
    <w:rsid w:val="006D0290"/>
    <w:rsid w:val="006D0D5B"/>
    <w:rsid w:val="006D1D2A"/>
    <w:rsid w:val="006D3218"/>
    <w:rsid w:val="006D3726"/>
    <w:rsid w:val="006D5A71"/>
    <w:rsid w:val="006D5EA8"/>
    <w:rsid w:val="006D5EF0"/>
    <w:rsid w:val="006D600B"/>
    <w:rsid w:val="006D6627"/>
    <w:rsid w:val="006D6D61"/>
    <w:rsid w:val="006E0DFD"/>
    <w:rsid w:val="006E0E2A"/>
    <w:rsid w:val="006E2323"/>
    <w:rsid w:val="006E3006"/>
    <w:rsid w:val="006E52CB"/>
    <w:rsid w:val="006E52DC"/>
    <w:rsid w:val="006E53B7"/>
    <w:rsid w:val="006E6264"/>
    <w:rsid w:val="006E7588"/>
    <w:rsid w:val="006F1EEC"/>
    <w:rsid w:val="006F2210"/>
    <w:rsid w:val="006F3B5E"/>
    <w:rsid w:val="006F4611"/>
    <w:rsid w:val="006F5D35"/>
    <w:rsid w:val="006F6842"/>
    <w:rsid w:val="006F6E3D"/>
    <w:rsid w:val="006F7AA8"/>
    <w:rsid w:val="00700726"/>
    <w:rsid w:val="00700AFD"/>
    <w:rsid w:val="00700CDE"/>
    <w:rsid w:val="00700EA5"/>
    <w:rsid w:val="00702BB4"/>
    <w:rsid w:val="00703C7F"/>
    <w:rsid w:val="007044C5"/>
    <w:rsid w:val="00704A4E"/>
    <w:rsid w:val="00704D3C"/>
    <w:rsid w:val="00704E62"/>
    <w:rsid w:val="00705120"/>
    <w:rsid w:val="00707DED"/>
    <w:rsid w:val="00707E9B"/>
    <w:rsid w:val="007106CE"/>
    <w:rsid w:val="00712379"/>
    <w:rsid w:val="007140F7"/>
    <w:rsid w:val="00714BFF"/>
    <w:rsid w:val="00715400"/>
    <w:rsid w:val="007162AD"/>
    <w:rsid w:val="00716694"/>
    <w:rsid w:val="00717130"/>
    <w:rsid w:val="007173AD"/>
    <w:rsid w:val="00717FAB"/>
    <w:rsid w:val="0072080E"/>
    <w:rsid w:val="00721584"/>
    <w:rsid w:val="00721F97"/>
    <w:rsid w:val="00722CA6"/>
    <w:rsid w:val="007239AF"/>
    <w:rsid w:val="00724178"/>
    <w:rsid w:val="00725D8C"/>
    <w:rsid w:val="00726DAB"/>
    <w:rsid w:val="00726E6B"/>
    <w:rsid w:val="0072774C"/>
    <w:rsid w:val="00727B74"/>
    <w:rsid w:val="00727C09"/>
    <w:rsid w:val="007310A9"/>
    <w:rsid w:val="00731F65"/>
    <w:rsid w:val="007333FE"/>
    <w:rsid w:val="007334A0"/>
    <w:rsid w:val="00734ACA"/>
    <w:rsid w:val="007361A5"/>
    <w:rsid w:val="00736E1C"/>
    <w:rsid w:val="007370BF"/>
    <w:rsid w:val="00737D96"/>
    <w:rsid w:val="0074060A"/>
    <w:rsid w:val="00740C0F"/>
    <w:rsid w:val="007414F8"/>
    <w:rsid w:val="00742ADA"/>
    <w:rsid w:val="007440E9"/>
    <w:rsid w:val="00744FCC"/>
    <w:rsid w:val="007450E9"/>
    <w:rsid w:val="0074546C"/>
    <w:rsid w:val="00745E19"/>
    <w:rsid w:val="007461B9"/>
    <w:rsid w:val="00746335"/>
    <w:rsid w:val="0074637F"/>
    <w:rsid w:val="007473D1"/>
    <w:rsid w:val="00750828"/>
    <w:rsid w:val="007508AF"/>
    <w:rsid w:val="00751CD5"/>
    <w:rsid w:val="00751DCE"/>
    <w:rsid w:val="00753564"/>
    <w:rsid w:val="007538C3"/>
    <w:rsid w:val="0075394F"/>
    <w:rsid w:val="007542DA"/>
    <w:rsid w:val="00755757"/>
    <w:rsid w:val="0075599D"/>
    <w:rsid w:val="00756094"/>
    <w:rsid w:val="00756A50"/>
    <w:rsid w:val="0075760E"/>
    <w:rsid w:val="00757D5B"/>
    <w:rsid w:val="007617C1"/>
    <w:rsid w:val="00761A93"/>
    <w:rsid w:val="00762132"/>
    <w:rsid w:val="007621B3"/>
    <w:rsid w:val="007622B5"/>
    <w:rsid w:val="00762380"/>
    <w:rsid w:val="00762464"/>
    <w:rsid w:val="00763950"/>
    <w:rsid w:val="00763A71"/>
    <w:rsid w:val="00765197"/>
    <w:rsid w:val="00767308"/>
    <w:rsid w:val="0077175C"/>
    <w:rsid w:val="00771B16"/>
    <w:rsid w:val="00774D3D"/>
    <w:rsid w:val="0077587E"/>
    <w:rsid w:val="00775E71"/>
    <w:rsid w:val="00776436"/>
    <w:rsid w:val="007773ED"/>
    <w:rsid w:val="007777A3"/>
    <w:rsid w:val="00777ED6"/>
    <w:rsid w:val="007820B4"/>
    <w:rsid w:val="00782253"/>
    <w:rsid w:val="00782399"/>
    <w:rsid w:val="0078259C"/>
    <w:rsid w:val="00782932"/>
    <w:rsid w:val="00782B52"/>
    <w:rsid w:val="0078454F"/>
    <w:rsid w:val="00784C00"/>
    <w:rsid w:val="0079023E"/>
    <w:rsid w:val="00790783"/>
    <w:rsid w:val="00790962"/>
    <w:rsid w:val="00791235"/>
    <w:rsid w:val="00791290"/>
    <w:rsid w:val="00791319"/>
    <w:rsid w:val="00793121"/>
    <w:rsid w:val="0079333D"/>
    <w:rsid w:val="00795F7C"/>
    <w:rsid w:val="007969C3"/>
    <w:rsid w:val="00797849"/>
    <w:rsid w:val="007A0260"/>
    <w:rsid w:val="007A0E5B"/>
    <w:rsid w:val="007A0FAA"/>
    <w:rsid w:val="007A29B9"/>
    <w:rsid w:val="007A2B88"/>
    <w:rsid w:val="007A3289"/>
    <w:rsid w:val="007A3730"/>
    <w:rsid w:val="007A4A87"/>
    <w:rsid w:val="007A6B28"/>
    <w:rsid w:val="007B24C0"/>
    <w:rsid w:val="007B2A15"/>
    <w:rsid w:val="007B453D"/>
    <w:rsid w:val="007B5544"/>
    <w:rsid w:val="007B6985"/>
    <w:rsid w:val="007B69F0"/>
    <w:rsid w:val="007C0C0B"/>
    <w:rsid w:val="007C0D7A"/>
    <w:rsid w:val="007C10A8"/>
    <w:rsid w:val="007C11D6"/>
    <w:rsid w:val="007C14FD"/>
    <w:rsid w:val="007C1CA7"/>
    <w:rsid w:val="007C1F68"/>
    <w:rsid w:val="007C2DCC"/>
    <w:rsid w:val="007C318D"/>
    <w:rsid w:val="007C3302"/>
    <w:rsid w:val="007C3AF2"/>
    <w:rsid w:val="007C44F9"/>
    <w:rsid w:val="007C461D"/>
    <w:rsid w:val="007C57BC"/>
    <w:rsid w:val="007C6373"/>
    <w:rsid w:val="007C6E95"/>
    <w:rsid w:val="007C710C"/>
    <w:rsid w:val="007C716F"/>
    <w:rsid w:val="007C7AD1"/>
    <w:rsid w:val="007C7D17"/>
    <w:rsid w:val="007D437A"/>
    <w:rsid w:val="007D4C11"/>
    <w:rsid w:val="007D5BEB"/>
    <w:rsid w:val="007D67B7"/>
    <w:rsid w:val="007D7424"/>
    <w:rsid w:val="007E05BD"/>
    <w:rsid w:val="007E0725"/>
    <w:rsid w:val="007E0A98"/>
    <w:rsid w:val="007E26F1"/>
    <w:rsid w:val="007E2A12"/>
    <w:rsid w:val="007E45C5"/>
    <w:rsid w:val="007E491E"/>
    <w:rsid w:val="007E5D82"/>
    <w:rsid w:val="007E6294"/>
    <w:rsid w:val="007E6E58"/>
    <w:rsid w:val="007E6F8F"/>
    <w:rsid w:val="007F0A81"/>
    <w:rsid w:val="007F100F"/>
    <w:rsid w:val="007F13DF"/>
    <w:rsid w:val="007F2C83"/>
    <w:rsid w:val="007F33F4"/>
    <w:rsid w:val="007F516D"/>
    <w:rsid w:val="007F77BF"/>
    <w:rsid w:val="008014D4"/>
    <w:rsid w:val="0080160E"/>
    <w:rsid w:val="00801E75"/>
    <w:rsid w:val="0080234B"/>
    <w:rsid w:val="008023A1"/>
    <w:rsid w:val="00802745"/>
    <w:rsid w:val="008027B1"/>
    <w:rsid w:val="008029B2"/>
    <w:rsid w:val="00802D07"/>
    <w:rsid w:val="008064D9"/>
    <w:rsid w:val="00806AF6"/>
    <w:rsid w:val="00807A32"/>
    <w:rsid w:val="0081075E"/>
    <w:rsid w:val="0081099F"/>
    <w:rsid w:val="00810BC9"/>
    <w:rsid w:val="00812D4B"/>
    <w:rsid w:val="00815D39"/>
    <w:rsid w:val="00816425"/>
    <w:rsid w:val="0081651A"/>
    <w:rsid w:val="00820C75"/>
    <w:rsid w:val="00821EB2"/>
    <w:rsid w:val="0082331B"/>
    <w:rsid w:val="00823557"/>
    <w:rsid w:val="00824BBE"/>
    <w:rsid w:val="00824DFF"/>
    <w:rsid w:val="008273D4"/>
    <w:rsid w:val="00830EDF"/>
    <w:rsid w:val="00830FC3"/>
    <w:rsid w:val="00831189"/>
    <w:rsid w:val="0083307C"/>
    <w:rsid w:val="008331B3"/>
    <w:rsid w:val="00833F30"/>
    <w:rsid w:val="00834341"/>
    <w:rsid w:val="008344A8"/>
    <w:rsid w:val="00834AB3"/>
    <w:rsid w:val="00834EC0"/>
    <w:rsid w:val="0083511F"/>
    <w:rsid w:val="00835ECC"/>
    <w:rsid w:val="008361CA"/>
    <w:rsid w:val="00836630"/>
    <w:rsid w:val="00836948"/>
    <w:rsid w:val="0083753F"/>
    <w:rsid w:val="008402D7"/>
    <w:rsid w:val="00840C86"/>
    <w:rsid w:val="00840EED"/>
    <w:rsid w:val="008437B7"/>
    <w:rsid w:val="00843F1A"/>
    <w:rsid w:val="008441D8"/>
    <w:rsid w:val="008465B0"/>
    <w:rsid w:val="00846960"/>
    <w:rsid w:val="00846F33"/>
    <w:rsid w:val="00847FAD"/>
    <w:rsid w:val="00850112"/>
    <w:rsid w:val="00850B0D"/>
    <w:rsid w:val="008511FB"/>
    <w:rsid w:val="00851592"/>
    <w:rsid w:val="00851FD8"/>
    <w:rsid w:val="0085357D"/>
    <w:rsid w:val="00854198"/>
    <w:rsid w:val="008544F5"/>
    <w:rsid w:val="008561A5"/>
    <w:rsid w:val="0085651A"/>
    <w:rsid w:val="008578AF"/>
    <w:rsid w:val="00857ABE"/>
    <w:rsid w:val="00860162"/>
    <w:rsid w:val="0086132C"/>
    <w:rsid w:val="00862F2D"/>
    <w:rsid w:val="00863122"/>
    <w:rsid w:val="00863D16"/>
    <w:rsid w:val="0086505E"/>
    <w:rsid w:val="008652E4"/>
    <w:rsid w:val="00865670"/>
    <w:rsid w:val="00865ECF"/>
    <w:rsid w:val="00866E86"/>
    <w:rsid w:val="00867EE3"/>
    <w:rsid w:val="00867EEB"/>
    <w:rsid w:val="0087076B"/>
    <w:rsid w:val="00875828"/>
    <w:rsid w:val="0087587D"/>
    <w:rsid w:val="00875F9A"/>
    <w:rsid w:val="00877DF5"/>
    <w:rsid w:val="008807A0"/>
    <w:rsid w:val="00880BB6"/>
    <w:rsid w:val="00880C60"/>
    <w:rsid w:val="008818DB"/>
    <w:rsid w:val="00883968"/>
    <w:rsid w:val="0088419F"/>
    <w:rsid w:val="008846B5"/>
    <w:rsid w:val="00884DFB"/>
    <w:rsid w:val="00884F2C"/>
    <w:rsid w:val="00885A18"/>
    <w:rsid w:val="00885D08"/>
    <w:rsid w:val="00886774"/>
    <w:rsid w:val="0089089C"/>
    <w:rsid w:val="00891191"/>
    <w:rsid w:val="00892767"/>
    <w:rsid w:val="00892DE4"/>
    <w:rsid w:val="00894699"/>
    <w:rsid w:val="00894F99"/>
    <w:rsid w:val="00895DBF"/>
    <w:rsid w:val="008960DF"/>
    <w:rsid w:val="00896197"/>
    <w:rsid w:val="00896823"/>
    <w:rsid w:val="00897B58"/>
    <w:rsid w:val="008A0D03"/>
    <w:rsid w:val="008A1C0B"/>
    <w:rsid w:val="008A2763"/>
    <w:rsid w:val="008A3BBD"/>
    <w:rsid w:val="008A3F3E"/>
    <w:rsid w:val="008A40FA"/>
    <w:rsid w:val="008A4689"/>
    <w:rsid w:val="008A504B"/>
    <w:rsid w:val="008A639B"/>
    <w:rsid w:val="008A70D5"/>
    <w:rsid w:val="008A7990"/>
    <w:rsid w:val="008A7A51"/>
    <w:rsid w:val="008B04F5"/>
    <w:rsid w:val="008B10F1"/>
    <w:rsid w:val="008B20E9"/>
    <w:rsid w:val="008B25B6"/>
    <w:rsid w:val="008B2C14"/>
    <w:rsid w:val="008B2C4C"/>
    <w:rsid w:val="008B34A7"/>
    <w:rsid w:val="008B6CCB"/>
    <w:rsid w:val="008B6CEA"/>
    <w:rsid w:val="008B6E95"/>
    <w:rsid w:val="008B7EA8"/>
    <w:rsid w:val="008C1AD4"/>
    <w:rsid w:val="008C3774"/>
    <w:rsid w:val="008C3C5B"/>
    <w:rsid w:val="008C3CF4"/>
    <w:rsid w:val="008C4F4E"/>
    <w:rsid w:val="008C62D0"/>
    <w:rsid w:val="008C67DA"/>
    <w:rsid w:val="008C70C4"/>
    <w:rsid w:val="008C7F3A"/>
    <w:rsid w:val="008D0D5C"/>
    <w:rsid w:val="008D1035"/>
    <w:rsid w:val="008D111A"/>
    <w:rsid w:val="008D1C07"/>
    <w:rsid w:val="008D3007"/>
    <w:rsid w:val="008D34FE"/>
    <w:rsid w:val="008D3584"/>
    <w:rsid w:val="008D3B84"/>
    <w:rsid w:val="008D3C5D"/>
    <w:rsid w:val="008D3E71"/>
    <w:rsid w:val="008D57A9"/>
    <w:rsid w:val="008D5A61"/>
    <w:rsid w:val="008D5CCD"/>
    <w:rsid w:val="008D6390"/>
    <w:rsid w:val="008E005C"/>
    <w:rsid w:val="008E084E"/>
    <w:rsid w:val="008E097D"/>
    <w:rsid w:val="008E177C"/>
    <w:rsid w:val="008E2290"/>
    <w:rsid w:val="008E287C"/>
    <w:rsid w:val="008E2F74"/>
    <w:rsid w:val="008E30FE"/>
    <w:rsid w:val="008E38C7"/>
    <w:rsid w:val="008E605D"/>
    <w:rsid w:val="008E6164"/>
    <w:rsid w:val="008E632B"/>
    <w:rsid w:val="008E7C70"/>
    <w:rsid w:val="008E7E3F"/>
    <w:rsid w:val="008F02E9"/>
    <w:rsid w:val="008F046F"/>
    <w:rsid w:val="008F143E"/>
    <w:rsid w:val="008F167D"/>
    <w:rsid w:val="008F1994"/>
    <w:rsid w:val="008F26DD"/>
    <w:rsid w:val="008F4603"/>
    <w:rsid w:val="008F50DE"/>
    <w:rsid w:val="008F73EB"/>
    <w:rsid w:val="008F7DA9"/>
    <w:rsid w:val="009004DF"/>
    <w:rsid w:val="0090298A"/>
    <w:rsid w:val="00904456"/>
    <w:rsid w:val="00905835"/>
    <w:rsid w:val="00906613"/>
    <w:rsid w:val="00906B56"/>
    <w:rsid w:val="00907178"/>
    <w:rsid w:val="00907671"/>
    <w:rsid w:val="00907702"/>
    <w:rsid w:val="009078C5"/>
    <w:rsid w:val="009102D2"/>
    <w:rsid w:val="00910D33"/>
    <w:rsid w:val="0091167F"/>
    <w:rsid w:val="00911ECD"/>
    <w:rsid w:val="009126F1"/>
    <w:rsid w:val="00912CA3"/>
    <w:rsid w:val="009130F4"/>
    <w:rsid w:val="009136D3"/>
    <w:rsid w:val="00913E45"/>
    <w:rsid w:val="00915A85"/>
    <w:rsid w:val="00915B8C"/>
    <w:rsid w:val="00915DDA"/>
    <w:rsid w:val="00916FD4"/>
    <w:rsid w:val="00917B50"/>
    <w:rsid w:val="00917EA9"/>
    <w:rsid w:val="009202AC"/>
    <w:rsid w:val="009228AB"/>
    <w:rsid w:val="009229DF"/>
    <w:rsid w:val="0092355E"/>
    <w:rsid w:val="00924183"/>
    <w:rsid w:val="00924CF9"/>
    <w:rsid w:val="00925A31"/>
    <w:rsid w:val="00926671"/>
    <w:rsid w:val="00926A7E"/>
    <w:rsid w:val="00926EF6"/>
    <w:rsid w:val="009273BB"/>
    <w:rsid w:val="00930108"/>
    <w:rsid w:val="009309F4"/>
    <w:rsid w:val="00930E5A"/>
    <w:rsid w:val="00931C45"/>
    <w:rsid w:val="00932A81"/>
    <w:rsid w:val="00934105"/>
    <w:rsid w:val="00935675"/>
    <w:rsid w:val="00936E3E"/>
    <w:rsid w:val="00936EE4"/>
    <w:rsid w:val="009401CB"/>
    <w:rsid w:val="00940481"/>
    <w:rsid w:val="00941163"/>
    <w:rsid w:val="00942839"/>
    <w:rsid w:val="0094341E"/>
    <w:rsid w:val="00943A9E"/>
    <w:rsid w:val="00943B33"/>
    <w:rsid w:val="009449C9"/>
    <w:rsid w:val="00944B1D"/>
    <w:rsid w:val="00944E9B"/>
    <w:rsid w:val="00944F90"/>
    <w:rsid w:val="009452E6"/>
    <w:rsid w:val="009471C2"/>
    <w:rsid w:val="009475DF"/>
    <w:rsid w:val="0094766F"/>
    <w:rsid w:val="00947903"/>
    <w:rsid w:val="009513AC"/>
    <w:rsid w:val="009522CE"/>
    <w:rsid w:val="0095279D"/>
    <w:rsid w:val="009527A5"/>
    <w:rsid w:val="00953347"/>
    <w:rsid w:val="0095350C"/>
    <w:rsid w:val="009544C1"/>
    <w:rsid w:val="009547B1"/>
    <w:rsid w:val="00956045"/>
    <w:rsid w:val="00956440"/>
    <w:rsid w:val="009569A1"/>
    <w:rsid w:val="00956B04"/>
    <w:rsid w:val="00956DFA"/>
    <w:rsid w:val="00960BDA"/>
    <w:rsid w:val="009617D1"/>
    <w:rsid w:val="00962506"/>
    <w:rsid w:val="0096260E"/>
    <w:rsid w:val="0096267A"/>
    <w:rsid w:val="0096370E"/>
    <w:rsid w:val="00963B61"/>
    <w:rsid w:val="00964A6E"/>
    <w:rsid w:val="00964F8A"/>
    <w:rsid w:val="00965298"/>
    <w:rsid w:val="00967672"/>
    <w:rsid w:val="00970390"/>
    <w:rsid w:val="00971E61"/>
    <w:rsid w:val="00972AB5"/>
    <w:rsid w:val="009732DB"/>
    <w:rsid w:val="00974DA7"/>
    <w:rsid w:val="00976149"/>
    <w:rsid w:val="00980400"/>
    <w:rsid w:val="00980BAD"/>
    <w:rsid w:val="00980CA0"/>
    <w:rsid w:val="0098173B"/>
    <w:rsid w:val="00981F32"/>
    <w:rsid w:val="00982982"/>
    <w:rsid w:val="00982988"/>
    <w:rsid w:val="009829D3"/>
    <w:rsid w:val="0098402C"/>
    <w:rsid w:val="0098573E"/>
    <w:rsid w:val="00986422"/>
    <w:rsid w:val="009865D4"/>
    <w:rsid w:val="009869E0"/>
    <w:rsid w:val="00986C4D"/>
    <w:rsid w:val="00986D42"/>
    <w:rsid w:val="00987418"/>
    <w:rsid w:val="00992C08"/>
    <w:rsid w:val="009936FA"/>
    <w:rsid w:val="00994127"/>
    <w:rsid w:val="009946D5"/>
    <w:rsid w:val="009965B8"/>
    <w:rsid w:val="00996A71"/>
    <w:rsid w:val="00997730"/>
    <w:rsid w:val="0099795D"/>
    <w:rsid w:val="00997BF4"/>
    <w:rsid w:val="009A07AC"/>
    <w:rsid w:val="009A0A94"/>
    <w:rsid w:val="009A13C5"/>
    <w:rsid w:val="009A153E"/>
    <w:rsid w:val="009A1E3E"/>
    <w:rsid w:val="009A3EBF"/>
    <w:rsid w:val="009A6356"/>
    <w:rsid w:val="009B0FB1"/>
    <w:rsid w:val="009B1D44"/>
    <w:rsid w:val="009B2066"/>
    <w:rsid w:val="009B22F7"/>
    <w:rsid w:val="009B2B00"/>
    <w:rsid w:val="009B300B"/>
    <w:rsid w:val="009B3F94"/>
    <w:rsid w:val="009B45E8"/>
    <w:rsid w:val="009B6D17"/>
    <w:rsid w:val="009B77A2"/>
    <w:rsid w:val="009B7A32"/>
    <w:rsid w:val="009C0728"/>
    <w:rsid w:val="009C08E1"/>
    <w:rsid w:val="009C1888"/>
    <w:rsid w:val="009C1C03"/>
    <w:rsid w:val="009C1FD1"/>
    <w:rsid w:val="009C210A"/>
    <w:rsid w:val="009C2F63"/>
    <w:rsid w:val="009C3500"/>
    <w:rsid w:val="009C3619"/>
    <w:rsid w:val="009C3629"/>
    <w:rsid w:val="009C3EA3"/>
    <w:rsid w:val="009C45C1"/>
    <w:rsid w:val="009C46EC"/>
    <w:rsid w:val="009C652B"/>
    <w:rsid w:val="009C6948"/>
    <w:rsid w:val="009C6B67"/>
    <w:rsid w:val="009C6DAC"/>
    <w:rsid w:val="009C74D5"/>
    <w:rsid w:val="009C7587"/>
    <w:rsid w:val="009C77D7"/>
    <w:rsid w:val="009C7C2D"/>
    <w:rsid w:val="009D0317"/>
    <w:rsid w:val="009D0601"/>
    <w:rsid w:val="009D082D"/>
    <w:rsid w:val="009D089A"/>
    <w:rsid w:val="009D0B19"/>
    <w:rsid w:val="009D0E38"/>
    <w:rsid w:val="009D4135"/>
    <w:rsid w:val="009D4797"/>
    <w:rsid w:val="009D5137"/>
    <w:rsid w:val="009D574B"/>
    <w:rsid w:val="009D5A41"/>
    <w:rsid w:val="009D61F9"/>
    <w:rsid w:val="009D65D4"/>
    <w:rsid w:val="009D679F"/>
    <w:rsid w:val="009D6CEA"/>
    <w:rsid w:val="009D737A"/>
    <w:rsid w:val="009D780F"/>
    <w:rsid w:val="009E101A"/>
    <w:rsid w:val="009E1C1E"/>
    <w:rsid w:val="009E3484"/>
    <w:rsid w:val="009E3845"/>
    <w:rsid w:val="009E385B"/>
    <w:rsid w:val="009E4763"/>
    <w:rsid w:val="009E4ECD"/>
    <w:rsid w:val="009E5097"/>
    <w:rsid w:val="009E73B7"/>
    <w:rsid w:val="009F04CE"/>
    <w:rsid w:val="009F0660"/>
    <w:rsid w:val="009F0746"/>
    <w:rsid w:val="009F21A1"/>
    <w:rsid w:val="009F246F"/>
    <w:rsid w:val="009F262B"/>
    <w:rsid w:val="009F275D"/>
    <w:rsid w:val="009F30E8"/>
    <w:rsid w:val="009F3400"/>
    <w:rsid w:val="009F3723"/>
    <w:rsid w:val="009F41B9"/>
    <w:rsid w:val="009F44B8"/>
    <w:rsid w:val="009F4501"/>
    <w:rsid w:val="009F4834"/>
    <w:rsid w:val="009F6278"/>
    <w:rsid w:val="009F7050"/>
    <w:rsid w:val="009F76AF"/>
    <w:rsid w:val="00A023AB"/>
    <w:rsid w:val="00A0290E"/>
    <w:rsid w:val="00A02DAA"/>
    <w:rsid w:val="00A0387E"/>
    <w:rsid w:val="00A04061"/>
    <w:rsid w:val="00A04860"/>
    <w:rsid w:val="00A05030"/>
    <w:rsid w:val="00A051C1"/>
    <w:rsid w:val="00A07C10"/>
    <w:rsid w:val="00A07C59"/>
    <w:rsid w:val="00A10C26"/>
    <w:rsid w:val="00A1297B"/>
    <w:rsid w:val="00A12B04"/>
    <w:rsid w:val="00A149FF"/>
    <w:rsid w:val="00A16B05"/>
    <w:rsid w:val="00A17A77"/>
    <w:rsid w:val="00A2010F"/>
    <w:rsid w:val="00A21F91"/>
    <w:rsid w:val="00A22174"/>
    <w:rsid w:val="00A2283F"/>
    <w:rsid w:val="00A22F87"/>
    <w:rsid w:val="00A233C3"/>
    <w:rsid w:val="00A2348D"/>
    <w:rsid w:val="00A23A84"/>
    <w:rsid w:val="00A2418A"/>
    <w:rsid w:val="00A2573E"/>
    <w:rsid w:val="00A26E90"/>
    <w:rsid w:val="00A27984"/>
    <w:rsid w:val="00A32142"/>
    <w:rsid w:val="00A32476"/>
    <w:rsid w:val="00A32737"/>
    <w:rsid w:val="00A32746"/>
    <w:rsid w:val="00A32D8E"/>
    <w:rsid w:val="00A33369"/>
    <w:rsid w:val="00A343FB"/>
    <w:rsid w:val="00A35EDE"/>
    <w:rsid w:val="00A367E7"/>
    <w:rsid w:val="00A368E0"/>
    <w:rsid w:val="00A36ABE"/>
    <w:rsid w:val="00A36B89"/>
    <w:rsid w:val="00A410AB"/>
    <w:rsid w:val="00A42A56"/>
    <w:rsid w:val="00A4395D"/>
    <w:rsid w:val="00A43B7F"/>
    <w:rsid w:val="00A43F8F"/>
    <w:rsid w:val="00A442F4"/>
    <w:rsid w:val="00A44F28"/>
    <w:rsid w:val="00A455B1"/>
    <w:rsid w:val="00A459BB"/>
    <w:rsid w:val="00A4779D"/>
    <w:rsid w:val="00A4787D"/>
    <w:rsid w:val="00A507BC"/>
    <w:rsid w:val="00A50F62"/>
    <w:rsid w:val="00A5163C"/>
    <w:rsid w:val="00A5209F"/>
    <w:rsid w:val="00A5314D"/>
    <w:rsid w:val="00A5426A"/>
    <w:rsid w:val="00A544EB"/>
    <w:rsid w:val="00A557FD"/>
    <w:rsid w:val="00A560F0"/>
    <w:rsid w:val="00A5692E"/>
    <w:rsid w:val="00A56F66"/>
    <w:rsid w:val="00A5740F"/>
    <w:rsid w:val="00A57FBA"/>
    <w:rsid w:val="00A60351"/>
    <w:rsid w:val="00A61034"/>
    <w:rsid w:val="00A620B3"/>
    <w:rsid w:val="00A6333B"/>
    <w:rsid w:val="00A63833"/>
    <w:rsid w:val="00A6456C"/>
    <w:rsid w:val="00A674CE"/>
    <w:rsid w:val="00A67E0E"/>
    <w:rsid w:val="00A724C5"/>
    <w:rsid w:val="00A72C74"/>
    <w:rsid w:val="00A7363A"/>
    <w:rsid w:val="00A738ED"/>
    <w:rsid w:val="00A73E53"/>
    <w:rsid w:val="00A7408F"/>
    <w:rsid w:val="00A741AB"/>
    <w:rsid w:val="00A74674"/>
    <w:rsid w:val="00A74EC4"/>
    <w:rsid w:val="00A771F9"/>
    <w:rsid w:val="00A8034D"/>
    <w:rsid w:val="00A80BDA"/>
    <w:rsid w:val="00A80E69"/>
    <w:rsid w:val="00A82C36"/>
    <w:rsid w:val="00A83ADE"/>
    <w:rsid w:val="00A843A2"/>
    <w:rsid w:val="00A850F0"/>
    <w:rsid w:val="00A853E1"/>
    <w:rsid w:val="00A8614A"/>
    <w:rsid w:val="00A8691F"/>
    <w:rsid w:val="00A869E0"/>
    <w:rsid w:val="00A91555"/>
    <w:rsid w:val="00A93A2C"/>
    <w:rsid w:val="00A9484C"/>
    <w:rsid w:val="00A94B0A"/>
    <w:rsid w:val="00A9691C"/>
    <w:rsid w:val="00AA13E4"/>
    <w:rsid w:val="00AA16F9"/>
    <w:rsid w:val="00AA1E2E"/>
    <w:rsid w:val="00AA3F71"/>
    <w:rsid w:val="00AA4E90"/>
    <w:rsid w:val="00AA4F16"/>
    <w:rsid w:val="00AA629B"/>
    <w:rsid w:val="00AA735C"/>
    <w:rsid w:val="00AB05A1"/>
    <w:rsid w:val="00AB33B0"/>
    <w:rsid w:val="00AB389E"/>
    <w:rsid w:val="00AB3AAD"/>
    <w:rsid w:val="00AB4016"/>
    <w:rsid w:val="00AB4A30"/>
    <w:rsid w:val="00AB5CFA"/>
    <w:rsid w:val="00AB777E"/>
    <w:rsid w:val="00AC0176"/>
    <w:rsid w:val="00AC195A"/>
    <w:rsid w:val="00AC1A2F"/>
    <w:rsid w:val="00AC1DAC"/>
    <w:rsid w:val="00AC2666"/>
    <w:rsid w:val="00AC3630"/>
    <w:rsid w:val="00AC3B1E"/>
    <w:rsid w:val="00AC3C30"/>
    <w:rsid w:val="00AC3C33"/>
    <w:rsid w:val="00AC3E75"/>
    <w:rsid w:val="00AC4E9B"/>
    <w:rsid w:val="00AC5E15"/>
    <w:rsid w:val="00AC601D"/>
    <w:rsid w:val="00AC75D3"/>
    <w:rsid w:val="00AC79EA"/>
    <w:rsid w:val="00AD176F"/>
    <w:rsid w:val="00AD202E"/>
    <w:rsid w:val="00AD27CD"/>
    <w:rsid w:val="00AD2C7F"/>
    <w:rsid w:val="00AD40C5"/>
    <w:rsid w:val="00AD4208"/>
    <w:rsid w:val="00AD45F1"/>
    <w:rsid w:val="00AD498F"/>
    <w:rsid w:val="00AD50AE"/>
    <w:rsid w:val="00AD64A3"/>
    <w:rsid w:val="00AE042F"/>
    <w:rsid w:val="00AE0C91"/>
    <w:rsid w:val="00AE1F4B"/>
    <w:rsid w:val="00AE4403"/>
    <w:rsid w:val="00AE4D00"/>
    <w:rsid w:val="00AE5C51"/>
    <w:rsid w:val="00AE69B3"/>
    <w:rsid w:val="00AE6F13"/>
    <w:rsid w:val="00AE7C84"/>
    <w:rsid w:val="00AF068A"/>
    <w:rsid w:val="00AF07D4"/>
    <w:rsid w:val="00AF12FD"/>
    <w:rsid w:val="00AF173B"/>
    <w:rsid w:val="00AF1816"/>
    <w:rsid w:val="00AF1C27"/>
    <w:rsid w:val="00AF2659"/>
    <w:rsid w:val="00AF2792"/>
    <w:rsid w:val="00AF2B99"/>
    <w:rsid w:val="00AF3406"/>
    <w:rsid w:val="00AF3853"/>
    <w:rsid w:val="00AF3913"/>
    <w:rsid w:val="00AF4AAA"/>
    <w:rsid w:val="00AF5134"/>
    <w:rsid w:val="00AF5F4C"/>
    <w:rsid w:val="00AF5FB5"/>
    <w:rsid w:val="00AF608E"/>
    <w:rsid w:val="00AF66EA"/>
    <w:rsid w:val="00AF68F9"/>
    <w:rsid w:val="00AF716A"/>
    <w:rsid w:val="00AF7D97"/>
    <w:rsid w:val="00B002EE"/>
    <w:rsid w:val="00B0087B"/>
    <w:rsid w:val="00B016FA"/>
    <w:rsid w:val="00B01BB4"/>
    <w:rsid w:val="00B01C80"/>
    <w:rsid w:val="00B023B3"/>
    <w:rsid w:val="00B027E7"/>
    <w:rsid w:val="00B03430"/>
    <w:rsid w:val="00B0361A"/>
    <w:rsid w:val="00B03A65"/>
    <w:rsid w:val="00B03D05"/>
    <w:rsid w:val="00B04107"/>
    <w:rsid w:val="00B04725"/>
    <w:rsid w:val="00B04AB6"/>
    <w:rsid w:val="00B05ACC"/>
    <w:rsid w:val="00B067BB"/>
    <w:rsid w:val="00B06A6C"/>
    <w:rsid w:val="00B1127A"/>
    <w:rsid w:val="00B11B25"/>
    <w:rsid w:val="00B120C3"/>
    <w:rsid w:val="00B1401B"/>
    <w:rsid w:val="00B14690"/>
    <w:rsid w:val="00B14C24"/>
    <w:rsid w:val="00B16319"/>
    <w:rsid w:val="00B207D2"/>
    <w:rsid w:val="00B20E09"/>
    <w:rsid w:val="00B20E71"/>
    <w:rsid w:val="00B2289F"/>
    <w:rsid w:val="00B22DB7"/>
    <w:rsid w:val="00B234ED"/>
    <w:rsid w:val="00B262C1"/>
    <w:rsid w:val="00B27D4C"/>
    <w:rsid w:val="00B308E3"/>
    <w:rsid w:val="00B30A18"/>
    <w:rsid w:val="00B31746"/>
    <w:rsid w:val="00B32063"/>
    <w:rsid w:val="00B32A87"/>
    <w:rsid w:val="00B33564"/>
    <w:rsid w:val="00B3356F"/>
    <w:rsid w:val="00B345EC"/>
    <w:rsid w:val="00B34704"/>
    <w:rsid w:val="00B34E31"/>
    <w:rsid w:val="00B35333"/>
    <w:rsid w:val="00B35CEC"/>
    <w:rsid w:val="00B36FED"/>
    <w:rsid w:val="00B4193E"/>
    <w:rsid w:val="00B41B4B"/>
    <w:rsid w:val="00B43E03"/>
    <w:rsid w:val="00B43F94"/>
    <w:rsid w:val="00B44324"/>
    <w:rsid w:val="00B4488E"/>
    <w:rsid w:val="00B45955"/>
    <w:rsid w:val="00B47511"/>
    <w:rsid w:val="00B500A1"/>
    <w:rsid w:val="00B5235D"/>
    <w:rsid w:val="00B52DEC"/>
    <w:rsid w:val="00B530B6"/>
    <w:rsid w:val="00B53F94"/>
    <w:rsid w:val="00B543C8"/>
    <w:rsid w:val="00B54A94"/>
    <w:rsid w:val="00B55118"/>
    <w:rsid w:val="00B559D0"/>
    <w:rsid w:val="00B56062"/>
    <w:rsid w:val="00B560A2"/>
    <w:rsid w:val="00B5620D"/>
    <w:rsid w:val="00B565F2"/>
    <w:rsid w:val="00B5679C"/>
    <w:rsid w:val="00B57700"/>
    <w:rsid w:val="00B57BF8"/>
    <w:rsid w:val="00B6042B"/>
    <w:rsid w:val="00B60DFE"/>
    <w:rsid w:val="00B61A17"/>
    <w:rsid w:val="00B63213"/>
    <w:rsid w:val="00B637B7"/>
    <w:rsid w:val="00B63801"/>
    <w:rsid w:val="00B6428F"/>
    <w:rsid w:val="00B64D63"/>
    <w:rsid w:val="00B650BE"/>
    <w:rsid w:val="00B6527C"/>
    <w:rsid w:val="00B65700"/>
    <w:rsid w:val="00B65D27"/>
    <w:rsid w:val="00B66329"/>
    <w:rsid w:val="00B667FB"/>
    <w:rsid w:val="00B67219"/>
    <w:rsid w:val="00B67632"/>
    <w:rsid w:val="00B676E1"/>
    <w:rsid w:val="00B6776C"/>
    <w:rsid w:val="00B71057"/>
    <w:rsid w:val="00B7193D"/>
    <w:rsid w:val="00B71987"/>
    <w:rsid w:val="00B7200D"/>
    <w:rsid w:val="00B72ACE"/>
    <w:rsid w:val="00B740D8"/>
    <w:rsid w:val="00B7430C"/>
    <w:rsid w:val="00B7432E"/>
    <w:rsid w:val="00B74569"/>
    <w:rsid w:val="00B74AFD"/>
    <w:rsid w:val="00B7602A"/>
    <w:rsid w:val="00B76644"/>
    <w:rsid w:val="00B77702"/>
    <w:rsid w:val="00B77883"/>
    <w:rsid w:val="00B77A01"/>
    <w:rsid w:val="00B77A58"/>
    <w:rsid w:val="00B77EA8"/>
    <w:rsid w:val="00B8019C"/>
    <w:rsid w:val="00B81BE2"/>
    <w:rsid w:val="00B83265"/>
    <w:rsid w:val="00B85CC9"/>
    <w:rsid w:val="00B905F0"/>
    <w:rsid w:val="00B9126E"/>
    <w:rsid w:val="00B913E5"/>
    <w:rsid w:val="00B916F5"/>
    <w:rsid w:val="00B91D67"/>
    <w:rsid w:val="00B93551"/>
    <w:rsid w:val="00B93792"/>
    <w:rsid w:val="00B94320"/>
    <w:rsid w:val="00B9698D"/>
    <w:rsid w:val="00B97138"/>
    <w:rsid w:val="00BA1F78"/>
    <w:rsid w:val="00BA23E2"/>
    <w:rsid w:val="00BA32D0"/>
    <w:rsid w:val="00BA4126"/>
    <w:rsid w:val="00BA4CB2"/>
    <w:rsid w:val="00BA547D"/>
    <w:rsid w:val="00BA5627"/>
    <w:rsid w:val="00BA6D37"/>
    <w:rsid w:val="00BA7860"/>
    <w:rsid w:val="00BA7F7D"/>
    <w:rsid w:val="00BB229E"/>
    <w:rsid w:val="00BB2F79"/>
    <w:rsid w:val="00BB33C5"/>
    <w:rsid w:val="00BB37BA"/>
    <w:rsid w:val="00BB3899"/>
    <w:rsid w:val="00BB51EA"/>
    <w:rsid w:val="00BB691C"/>
    <w:rsid w:val="00BB6FE1"/>
    <w:rsid w:val="00BB730B"/>
    <w:rsid w:val="00BC0870"/>
    <w:rsid w:val="00BC1BD5"/>
    <w:rsid w:val="00BC25DB"/>
    <w:rsid w:val="00BC3085"/>
    <w:rsid w:val="00BC366F"/>
    <w:rsid w:val="00BC3D6D"/>
    <w:rsid w:val="00BC4073"/>
    <w:rsid w:val="00BC6429"/>
    <w:rsid w:val="00BC66BF"/>
    <w:rsid w:val="00BD0B43"/>
    <w:rsid w:val="00BD1662"/>
    <w:rsid w:val="00BD2A9F"/>
    <w:rsid w:val="00BD2D5F"/>
    <w:rsid w:val="00BD3722"/>
    <w:rsid w:val="00BD3CE5"/>
    <w:rsid w:val="00BD406C"/>
    <w:rsid w:val="00BD415D"/>
    <w:rsid w:val="00BD435D"/>
    <w:rsid w:val="00BD4850"/>
    <w:rsid w:val="00BD4870"/>
    <w:rsid w:val="00BD49A4"/>
    <w:rsid w:val="00BD6192"/>
    <w:rsid w:val="00BD7809"/>
    <w:rsid w:val="00BE0B46"/>
    <w:rsid w:val="00BE0E0F"/>
    <w:rsid w:val="00BE2333"/>
    <w:rsid w:val="00BE341A"/>
    <w:rsid w:val="00BE3C2C"/>
    <w:rsid w:val="00BE4B73"/>
    <w:rsid w:val="00BE5383"/>
    <w:rsid w:val="00BE6B8A"/>
    <w:rsid w:val="00BF09F3"/>
    <w:rsid w:val="00BF1C17"/>
    <w:rsid w:val="00BF1D97"/>
    <w:rsid w:val="00BF432F"/>
    <w:rsid w:val="00BF4550"/>
    <w:rsid w:val="00BF59F3"/>
    <w:rsid w:val="00BF5DAC"/>
    <w:rsid w:val="00BF6EBD"/>
    <w:rsid w:val="00BF7756"/>
    <w:rsid w:val="00BF7888"/>
    <w:rsid w:val="00C00242"/>
    <w:rsid w:val="00C002F7"/>
    <w:rsid w:val="00C00DF3"/>
    <w:rsid w:val="00C01145"/>
    <w:rsid w:val="00C01A2A"/>
    <w:rsid w:val="00C0229B"/>
    <w:rsid w:val="00C02721"/>
    <w:rsid w:val="00C0401F"/>
    <w:rsid w:val="00C04D0A"/>
    <w:rsid w:val="00C0582E"/>
    <w:rsid w:val="00C05A12"/>
    <w:rsid w:val="00C065D6"/>
    <w:rsid w:val="00C116B2"/>
    <w:rsid w:val="00C119FA"/>
    <w:rsid w:val="00C11E29"/>
    <w:rsid w:val="00C1250B"/>
    <w:rsid w:val="00C133AE"/>
    <w:rsid w:val="00C1417F"/>
    <w:rsid w:val="00C1484B"/>
    <w:rsid w:val="00C1531C"/>
    <w:rsid w:val="00C156A8"/>
    <w:rsid w:val="00C158CD"/>
    <w:rsid w:val="00C16418"/>
    <w:rsid w:val="00C16849"/>
    <w:rsid w:val="00C17259"/>
    <w:rsid w:val="00C176B5"/>
    <w:rsid w:val="00C20DA6"/>
    <w:rsid w:val="00C20EE8"/>
    <w:rsid w:val="00C2154F"/>
    <w:rsid w:val="00C2176F"/>
    <w:rsid w:val="00C263CD"/>
    <w:rsid w:val="00C2672E"/>
    <w:rsid w:val="00C277A0"/>
    <w:rsid w:val="00C278B2"/>
    <w:rsid w:val="00C31C24"/>
    <w:rsid w:val="00C3263B"/>
    <w:rsid w:val="00C32950"/>
    <w:rsid w:val="00C32B4A"/>
    <w:rsid w:val="00C33951"/>
    <w:rsid w:val="00C33A41"/>
    <w:rsid w:val="00C347E0"/>
    <w:rsid w:val="00C34D22"/>
    <w:rsid w:val="00C36385"/>
    <w:rsid w:val="00C36CAF"/>
    <w:rsid w:val="00C373DC"/>
    <w:rsid w:val="00C3768E"/>
    <w:rsid w:val="00C406CD"/>
    <w:rsid w:val="00C41DA8"/>
    <w:rsid w:val="00C42300"/>
    <w:rsid w:val="00C424DF"/>
    <w:rsid w:val="00C42C52"/>
    <w:rsid w:val="00C43601"/>
    <w:rsid w:val="00C43761"/>
    <w:rsid w:val="00C459CE"/>
    <w:rsid w:val="00C45EEE"/>
    <w:rsid w:val="00C45F5C"/>
    <w:rsid w:val="00C47B06"/>
    <w:rsid w:val="00C501DA"/>
    <w:rsid w:val="00C50E37"/>
    <w:rsid w:val="00C50EC2"/>
    <w:rsid w:val="00C5167D"/>
    <w:rsid w:val="00C52223"/>
    <w:rsid w:val="00C52FBB"/>
    <w:rsid w:val="00C53549"/>
    <w:rsid w:val="00C5434F"/>
    <w:rsid w:val="00C5480A"/>
    <w:rsid w:val="00C5511E"/>
    <w:rsid w:val="00C553E3"/>
    <w:rsid w:val="00C55724"/>
    <w:rsid w:val="00C57ECD"/>
    <w:rsid w:val="00C60E70"/>
    <w:rsid w:val="00C62663"/>
    <w:rsid w:val="00C640EF"/>
    <w:rsid w:val="00C64E0C"/>
    <w:rsid w:val="00C65750"/>
    <w:rsid w:val="00C65790"/>
    <w:rsid w:val="00C65D5C"/>
    <w:rsid w:val="00C678F7"/>
    <w:rsid w:val="00C679AA"/>
    <w:rsid w:val="00C7456D"/>
    <w:rsid w:val="00C74A20"/>
    <w:rsid w:val="00C74B6A"/>
    <w:rsid w:val="00C7585F"/>
    <w:rsid w:val="00C759C4"/>
    <w:rsid w:val="00C75C6B"/>
    <w:rsid w:val="00C76B94"/>
    <w:rsid w:val="00C7731D"/>
    <w:rsid w:val="00C802EB"/>
    <w:rsid w:val="00C81C38"/>
    <w:rsid w:val="00C84347"/>
    <w:rsid w:val="00C8596B"/>
    <w:rsid w:val="00C85A15"/>
    <w:rsid w:val="00C86411"/>
    <w:rsid w:val="00C869CC"/>
    <w:rsid w:val="00C86BA8"/>
    <w:rsid w:val="00C90057"/>
    <w:rsid w:val="00C91316"/>
    <w:rsid w:val="00C91710"/>
    <w:rsid w:val="00C91F3F"/>
    <w:rsid w:val="00C92E46"/>
    <w:rsid w:val="00C92EFF"/>
    <w:rsid w:val="00C9328C"/>
    <w:rsid w:val="00C9375A"/>
    <w:rsid w:val="00C93A11"/>
    <w:rsid w:val="00C93DDB"/>
    <w:rsid w:val="00C943F8"/>
    <w:rsid w:val="00C945D9"/>
    <w:rsid w:val="00C952D1"/>
    <w:rsid w:val="00C95511"/>
    <w:rsid w:val="00C95D03"/>
    <w:rsid w:val="00C96D63"/>
    <w:rsid w:val="00CA0106"/>
    <w:rsid w:val="00CA081A"/>
    <w:rsid w:val="00CA2FFB"/>
    <w:rsid w:val="00CA3535"/>
    <w:rsid w:val="00CA36A2"/>
    <w:rsid w:val="00CA37DC"/>
    <w:rsid w:val="00CA3977"/>
    <w:rsid w:val="00CA44EC"/>
    <w:rsid w:val="00CA4B5B"/>
    <w:rsid w:val="00CA50DC"/>
    <w:rsid w:val="00CA5426"/>
    <w:rsid w:val="00CA6642"/>
    <w:rsid w:val="00CA665F"/>
    <w:rsid w:val="00CA6C1D"/>
    <w:rsid w:val="00CA6F21"/>
    <w:rsid w:val="00CA7B8B"/>
    <w:rsid w:val="00CB081B"/>
    <w:rsid w:val="00CB1A8E"/>
    <w:rsid w:val="00CB2392"/>
    <w:rsid w:val="00CB2606"/>
    <w:rsid w:val="00CB27A0"/>
    <w:rsid w:val="00CB4EDD"/>
    <w:rsid w:val="00CB51F6"/>
    <w:rsid w:val="00CB57D3"/>
    <w:rsid w:val="00CB6271"/>
    <w:rsid w:val="00CB632C"/>
    <w:rsid w:val="00CB743D"/>
    <w:rsid w:val="00CC012B"/>
    <w:rsid w:val="00CC12A3"/>
    <w:rsid w:val="00CC183A"/>
    <w:rsid w:val="00CC3E7A"/>
    <w:rsid w:val="00CC49A8"/>
    <w:rsid w:val="00CC55E1"/>
    <w:rsid w:val="00CC5AD5"/>
    <w:rsid w:val="00CC5E41"/>
    <w:rsid w:val="00CC63D6"/>
    <w:rsid w:val="00CC6759"/>
    <w:rsid w:val="00CC7E91"/>
    <w:rsid w:val="00CD03E3"/>
    <w:rsid w:val="00CD074F"/>
    <w:rsid w:val="00CD0E9F"/>
    <w:rsid w:val="00CD167B"/>
    <w:rsid w:val="00CD1E86"/>
    <w:rsid w:val="00CD2D89"/>
    <w:rsid w:val="00CD4036"/>
    <w:rsid w:val="00CD4389"/>
    <w:rsid w:val="00CD5519"/>
    <w:rsid w:val="00CD5D51"/>
    <w:rsid w:val="00CE0446"/>
    <w:rsid w:val="00CE083B"/>
    <w:rsid w:val="00CE1529"/>
    <w:rsid w:val="00CE1D9C"/>
    <w:rsid w:val="00CE2973"/>
    <w:rsid w:val="00CE30F3"/>
    <w:rsid w:val="00CE4844"/>
    <w:rsid w:val="00CE4CE2"/>
    <w:rsid w:val="00CE5633"/>
    <w:rsid w:val="00CE5F5C"/>
    <w:rsid w:val="00CE5F60"/>
    <w:rsid w:val="00CE65ED"/>
    <w:rsid w:val="00CE72B5"/>
    <w:rsid w:val="00CF0EAF"/>
    <w:rsid w:val="00CF0FE3"/>
    <w:rsid w:val="00CF138F"/>
    <w:rsid w:val="00CF1A84"/>
    <w:rsid w:val="00CF3286"/>
    <w:rsid w:val="00CF3709"/>
    <w:rsid w:val="00CF3DAC"/>
    <w:rsid w:val="00CF4BD8"/>
    <w:rsid w:val="00CF686B"/>
    <w:rsid w:val="00CF6BC0"/>
    <w:rsid w:val="00D0087F"/>
    <w:rsid w:val="00D0142F"/>
    <w:rsid w:val="00D0255C"/>
    <w:rsid w:val="00D026BE"/>
    <w:rsid w:val="00D02A8A"/>
    <w:rsid w:val="00D03276"/>
    <w:rsid w:val="00D042D5"/>
    <w:rsid w:val="00D04432"/>
    <w:rsid w:val="00D04907"/>
    <w:rsid w:val="00D055C7"/>
    <w:rsid w:val="00D10BB5"/>
    <w:rsid w:val="00D11610"/>
    <w:rsid w:val="00D11A1A"/>
    <w:rsid w:val="00D12647"/>
    <w:rsid w:val="00D137D4"/>
    <w:rsid w:val="00D142C8"/>
    <w:rsid w:val="00D14A36"/>
    <w:rsid w:val="00D15C8E"/>
    <w:rsid w:val="00D1692A"/>
    <w:rsid w:val="00D17D5D"/>
    <w:rsid w:val="00D17E70"/>
    <w:rsid w:val="00D20B92"/>
    <w:rsid w:val="00D21255"/>
    <w:rsid w:val="00D22BCA"/>
    <w:rsid w:val="00D22C77"/>
    <w:rsid w:val="00D238BB"/>
    <w:rsid w:val="00D242EC"/>
    <w:rsid w:val="00D2433E"/>
    <w:rsid w:val="00D24852"/>
    <w:rsid w:val="00D24E18"/>
    <w:rsid w:val="00D251C2"/>
    <w:rsid w:val="00D2528C"/>
    <w:rsid w:val="00D2553C"/>
    <w:rsid w:val="00D27138"/>
    <w:rsid w:val="00D273A6"/>
    <w:rsid w:val="00D278AE"/>
    <w:rsid w:val="00D27E23"/>
    <w:rsid w:val="00D3054D"/>
    <w:rsid w:val="00D30FFC"/>
    <w:rsid w:val="00D3252F"/>
    <w:rsid w:val="00D33B77"/>
    <w:rsid w:val="00D3447C"/>
    <w:rsid w:val="00D37AF0"/>
    <w:rsid w:val="00D41481"/>
    <w:rsid w:val="00D418A0"/>
    <w:rsid w:val="00D41AC8"/>
    <w:rsid w:val="00D422C3"/>
    <w:rsid w:val="00D43187"/>
    <w:rsid w:val="00D43DD2"/>
    <w:rsid w:val="00D448C7"/>
    <w:rsid w:val="00D4543F"/>
    <w:rsid w:val="00D45A03"/>
    <w:rsid w:val="00D4640F"/>
    <w:rsid w:val="00D467BE"/>
    <w:rsid w:val="00D46E4F"/>
    <w:rsid w:val="00D47F4D"/>
    <w:rsid w:val="00D515D3"/>
    <w:rsid w:val="00D51D04"/>
    <w:rsid w:val="00D51F2F"/>
    <w:rsid w:val="00D52EF1"/>
    <w:rsid w:val="00D535E7"/>
    <w:rsid w:val="00D542EC"/>
    <w:rsid w:val="00D54A35"/>
    <w:rsid w:val="00D56DD5"/>
    <w:rsid w:val="00D61164"/>
    <w:rsid w:val="00D61263"/>
    <w:rsid w:val="00D62CA4"/>
    <w:rsid w:val="00D62D45"/>
    <w:rsid w:val="00D63050"/>
    <w:rsid w:val="00D639E3"/>
    <w:rsid w:val="00D64198"/>
    <w:rsid w:val="00D669FD"/>
    <w:rsid w:val="00D66F6D"/>
    <w:rsid w:val="00D67EE4"/>
    <w:rsid w:val="00D702BC"/>
    <w:rsid w:val="00D704DB"/>
    <w:rsid w:val="00D707F1"/>
    <w:rsid w:val="00D7103D"/>
    <w:rsid w:val="00D71AF9"/>
    <w:rsid w:val="00D71C1D"/>
    <w:rsid w:val="00D71FD4"/>
    <w:rsid w:val="00D72151"/>
    <w:rsid w:val="00D727BF"/>
    <w:rsid w:val="00D728FE"/>
    <w:rsid w:val="00D750E3"/>
    <w:rsid w:val="00D76878"/>
    <w:rsid w:val="00D76922"/>
    <w:rsid w:val="00D76EBC"/>
    <w:rsid w:val="00D7772D"/>
    <w:rsid w:val="00D77863"/>
    <w:rsid w:val="00D802DC"/>
    <w:rsid w:val="00D80FB1"/>
    <w:rsid w:val="00D8225C"/>
    <w:rsid w:val="00D83235"/>
    <w:rsid w:val="00D83A29"/>
    <w:rsid w:val="00D83E19"/>
    <w:rsid w:val="00D84175"/>
    <w:rsid w:val="00D84F76"/>
    <w:rsid w:val="00D85A27"/>
    <w:rsid w:val="00D85FE6"/>
    <w:rsid w:val="00D86783"/>
    <w:rsid w:val="00D86EDC"/>
    <w:rsid w:val="00D87402"/>
    <w:rsid w:val="00D87A4B"/>
    <w:rsid w:val="00D87E71"/>
    <w:rsid w:val="00D9037A"/>
    <w:rsid w:val="00D91971"/>
    <w:rsid w:val="00D919F6"/>
    <w:rsid w:val="00D92148"/>
    <w:rsid w:val="00D92377"/>
    <w:rsid w:val="00D9238D"/>
    <w:rsid w:val="00D92B55"/>
    <w:rsid w:val="00D93620"/>
    <w:rsid w:val="00D93BBA"/>
    <w:rsid w:val="00D948C5"/>
    <w:rsid w:val="00D94E0A"/>
    <w:rsid w:val="00D951EC"/>
    <w:rsid w:val="00D96DF0"/>
    <w:rsid w:val="00D9700D"/>
    <w:rsid w:val="00D9709D"/>
    <w:rsid w:val="00D970CA"/>
    <w:rsid w:val="00DA341D"/>
    <w:rsid w:val="00DA3769"/>
    <w:rsid w:val="00DA5715"/>
    <w:rsid w:val="00DA57BE"/>
    <w:rsid w:val="00DA695D"/>
    <w:rsid w:val="00DA77D5"/>
    <w:rsid w:val="00DA7B7D"/>
    <w:rsid w:val="00DB059D"/>
    <w:rsid w:val="00DB096C"/>
    <w:rsid w:val="00DB2592"/>
    <w:rsid w:val="00DB4516"/>
    <w:rsid w:val="00DB55E8"/>
    <w:rsid w:val="00DB5650"/>
    <w:rsid w:val="00DB5E44"/>
    <w:rsid w:val="00DB7653"/>
    <w:rsid w:val="00DC0F48"/>
    <w:rsid w:val="00DC139E"/>
    <w:rsid w:val="00DC2BE0"/>
    <w:rsid w:val="00DC36AE"/>
    <w:rsid w:val="00DC444B"/>
    <w:rsid w:val="00DC4E8E"/>
    <w:rsid w:val="00DC5DCC"/>
    <w:rsid w:val="00DC7314"/>
    <w:rsid w:val="00DC7B1B"/>
    <w:rsid w:val="00DC7BD5"/>
    <w:rsid w:val="00DD1DB8"/>
    <w:rsid w:val="00DD2CA4"/>
    <w:rsid w:val="00DD2F65"/>
    <w:rsid w:val="00DD3B62"/>
    <w:rsid w:val="00DD3FC5"/>
    <w:rsid w:val="00DD492D"/>
    <w:rsid w:val="00DD4C08"/>
    <w:rsid w:val="00DD6635"/>
    <w:rsid w:val="00DE023B"/>
    <w:rsid w:val="00DE0422"/>
    <w:rsid w:val="00DE2552"/>
    <w:rsid w:val="00DE3D45"/>
    <w:rsid w:val="00DE4CCE"/>
    <w:rsid w:val="00DE539B"/>
    <w:rsid w:val="00DE65BD"/>
    <w:rsid w:val="00DE66FF"/>
    <w:rsid w:val="00DE7EC3"/>
    <w:rsid w:val="00DF1081"/>
    <w:rsid w:val="00DF18EA"/>
    <w:rsid w:val="00DF2928"/>
    <w:rsid w:val="00DF3EEC"/>
    <w:rsid w:val="00DF4A1F"/>
    <w:rsid w:val="00DF5565"/>
    <w:rsid w:val="00DF5B3A"/>
    <w:rsid w:val="00DF7862"/>
    <w:rsid w:val="00DF7A1D"/>
    <w:rsid w:val="00DF7EA2"/>
    <w:rsid w:val="00E004D7"/>
    <w:rsid w:val="00E009CB"/>
    <w:rsid w:val="00E0141E"/>
    <w:rsid w:val="00E0195A"/>
    <w:rsid w:val="00E01B12"/>
    <w:rsid w:val="00E02253"/>
    <w:rsid w:val="00E0379F"/>
    <w:rsid w:val="00E03ADC"/>
    <w:rsid w:val="00E03F36"/>
    <w:rsid w:val="00E04097"/>
    <w:rsid w:val="00E040C2"/>
    <w:rsid w:val="00E05A6F"/>
    <w:rsid w:val="00E05A7B"/>
    <w:rsid w:val="00E05ACE"/>
    <w:rsid w:val="00E06642"/>
    <w:rsid w:val="00E071AB"/>
    <w:rsid w:val="00E1154E"/>
    <w:rsid w:val="00E15F99"/>
    <w:rsid w:val="00E16A47"/>
    <w:rsid w:val="00E17140"/>
    <w:rsid w:val="00E17C6A"/>
    <w:rsid w:val="00E219B9"/>
    <w:rsid w:val="00E23EF7"/>
    <w:rsid w:val="00E25CD8"/>
    <w:rsid w:val="00E26E98"/>
    <w:rsid w:val="00E27889"/>
    <w:rsid w:val="00E3180D"/>
    <w:rsid w:val="00E329BB"/>
    <w:rsid w:val="00E335F5"/>
    <w:rsid w:val="00E336E7"/>
    <w:rsid w:val="00E33C53"/>
    <w:rsid w:val="00E34FF9"/>
    <w:rsid w:val="00E37EC8"/>
    <w:rsid w:val="00E400AB"/>
    <w:rsid w:val="00E451F4"/>
    <w:rsid w:val="00E46048"/>
    <w:rsid w:val="00E46367"/>
    <w:rsid w:val="00E4715F"/>
    <w:rsid w:val="00E47A43"/>
    <w:rsid w:val="00E509E4"/>
    <w:rsid w:val="00E50E6B"/>
    <w:rsid w:val="00E51E6D"/>
    <w:rsid w:val="00E53341"/>
    <w:rsid w:val="00E53F82"/>
    <w:rsid w:val="00E5474E"/>
    <w:rsid w:val="00E54EFE"/>
    <w:rsid w:val="00E56782"/>
    <w:rsid w:val="00E60989"/>
    <w:rsid w:val="00E60D17"/>
    <w:rsid w:val="00E61C1F"/>
    <w:rsid w:val="00E6258B"/>
    <w:rsid w:val="00E6295E"/>
    <w:rsid w:val="00E62B3E"/>
    <w:rsid w:val="00E637E0"/>
    <w:rsid w:val="00E64681"/>
    <w:rsid w:val="00E64F99"/>
    <w:rsid w:val="00E66732"/>
    <w:rsid w:val="00E66EA5"/>
    <w:rsid w:val="00E67B8C"/>
    <w:rsid w:val="00E67CDD"/>
    <w:rsid w:val="00E70AF9"/>
    <w:rsid w:val="00E712C9"/>
    <w:rsid w:val="00E71902"/>
    <w:rsid w:val="00E719D3"/>
    <w:rsid w:val="00E724DA"/>
    <w:rsid w:val="00E726BD"/>
    <w:rsid w:val="00E732CC"/>
    <w:rsid w:val="00E73CE3"/>
    <w:rsid w:val="00E748D6"/>
    <w:rsid w:val="00E756A6"/>
    <w:rsid w:val="00E767F2"/>
    <w:rsid w:val="00E77A0D"/>
    <w:rsid w:val="00E8042B"/>
    <w:rsid w:val="00E80B0A"/>
    <w:rsid w:val="00E80DEC"/>
    <w:rsid w:val="00E816C4"/>
    <w:rsid w:val="00E81843"/>
    <w:rsid w:val="00E81E9C"/>
    <w:rsid w:val="00E826DB"/>
    <w:rsid w:val="00E82DB4"/>
    <w:rsid w:val="00E83014"/>
    <w:rsid w:val="00E83634"/>
    <w:rsid w:val="00E8371A"/>
    <w:rsid w:val="00E83FB6"/>
    <w:rsid w:val="00E83FF0"/>
    <w:rsid w:val="00E8430B"/>
    <w:rsid w:val="00E8614E"/>
    <w:rsid w:val="00E87011"/>
    <w:rsid w:val="00E87CC1"/>
    <w:rsid w:val="00E9042E"/>
    <w:rsid w:val="00E9128B"/>
    <w:rsid w:val="00E953E3"/>
    <w:rsid w:val="00E9781E"/>
    <w:rsid w:val="00E978C4"/>
    <w:rsid w:val="00EA1AEC"/>
    <w:rsid w:val="00EA316A"/>
    <w:rsid w:val="00EA3B09"/>
    <w:rsid w:val="00EA4270"/>
    <w:rsid w:val="00EA5A79"/>
    <w:rsid w:val="00EA7A7B"/>
    <w:rsid w:val="00EB0AB4"/>
    <w:rsid w:val="00EB0F1B"/>
    <w:rsid w:val="00EB168D"/>
    <w:rsid w:val="00EB199F"/>
    <w:rsid w:val="00EB1D72"/>
    <w:rsid w:val="00EB1FBD"/>
    <w:rsid w:val="00EB2623"/>
    <w:rsid w:val="00EB2844"/>
    <w:rsid w:val="00EB5551"/>
    <w:rsid w:val="00EB787F"/>
    <w:rsid w:val="00EB799C"/>
    <w:rsid w:val="00EB7F2C"/>
    <w:rsid w:val="00EC30F1"/>
    <w:rsid w:val="00EC47E0"/>
    <w:rsid w:val="00EC4C8B"/>
    <w:rsid w:val="00EC521E"/>
    <w:rsid w:val="00EC5F54"/>
    <w:rsid w:val="00ED08D8"/>
    <w:rsid w:val="00ED0B70"/>
    <w:rsid w:val="00ED1076"/>
    <w:rsid w:val="00ED1525"/>
    <w:rsid w:val="00ED1DEA"/>
    <w:rsid w:val="00ED41C6"/>
    <w:rsid w:val="00ED4C88"/>
    <w:rsid w:val="00ED4C96"/>
    <w:rsid w:val="00ED5691"/>
    <w:rsid w:val="00ED56CE"/>
    <w:rsid w:val="00ED5D0D"/>
    <w:rsid w:val="00ED7052"/>
    <w:rsid w:val="00ED71AB"/>
    <w:rsid w:val="00EE06FC"/>
    <w:rsid w:val="00EE1BC0"/>
    <w:rsid w:val="00EE2124"/>
    <w:rsid w:val="00EE28BB"/>
    <w:rsid w:val="00EE2F80"/>
    <w:rsid w:val="00EE2FA7"/>
    <w:rsid w:val="00EE3726"/>
    <w:rsid w:val="00EE47DD"/>
    <w:rsid w:val="00EE5104"/>
    <w:rsid w:val="00EE5856"/>
    <w:rsid w:val="00EE5E75"/>
    <w:rsid w:val="00EE609B"/>
    <w:rsid w:val="00EE617E"/>
    <w:rsid w:val="00EF278C"/>
    <w:rsid w:val="00EF2CDB"/>
    <w:rsid w:val="00EF4570"/>
    <w:rsid w:val="00EF49F4"/>
    <w:rsid w:val="00EF6C0D"/>
    <w:rsid w:val="00EF716A"/>
    <w:rsid w:val="00EF7E08"/>
    <w:rsid w:val="00EF7E9E"/>
    <w:rsid w:val="00F008C8"/>
    <w:rsid w:val="00F01CCD"/>
    <w:rsid w:val="00F01EA2"/>
    <w:rsid w:val="00F02A9B"/>
    <w:rsid w:val="00F02D79"/>
    <w:rsid w:val="00F0412E"/>
    <w:rsid w:val="00F043D6"/>
    <w:rsid w:val="00F0446E"/>
    <w:rsid w:val="00F04862"/>
    <w:rsid w:val="00F04E2F"/>
    <w:rsid w:val="00F05684"/>
    <w:rsid w:val="00F05FFF"/>
    <w:rsid w:val="00F060B0"/>
    <w:rsid w:val="00F06C67"/>
    <w:rsid w:val="00F07469"/>
    <w:rsid w:val="00F07864"/>
    <w:rsid w:val="00F07E51"/>
    <w:rsid w:val="00F07F0B"/>
    <w:rsid w:val="00F12B1C"/>
    <w:rsid w:val="00F12EED"/>
    <w:rsid w:val="00F1393B"/>
    <w:rsid w:val="00F13F5F"/>
    <w:rsid w:val="00F1511E"/>
    <w:rsid w:val="00F154AC"/>
    <w:rsid w:val="00F15F61"/>
    <w:rsid w:val="00F16308"/>
    <w:rsid w:val="00F17956"/>
    <w:rsid w:val="00F207EE"/>
    <w:rsid w:val="00F20B72"/>
    <w:rsid w:val="00F21DC7"/>
    <w:rsid w:val="00F2271C"/>
    <w:rsid w:val="00F228CE"/>
    <w:rsid w:val="00F22AB1"/>
    <w:rsid w:val="00F22B00"/>
    <w:rsid w:val="00F23359"/>
    <w:rsid w:val="00F23639"/>
    <w:rsid w:val="00F239C4"/>
    <w:rsid w:val="00F24231"/>
    <w:rsid w:val="00F247C7"/>
    <w:rsid w:val="00F24857"/>
    <w:rsid w:val="00F24C0F"/>
    <w:rsid w:val="00F25077"/>
    <w:rsid w:val="00F25AFA"/>
    <w:rsid w:val="00F26471"/>
    <w:rsid w:val="00F26C12"/>
    <w:rsid w:val="00F27434"/>
    <w:rsid w:val="00F27CB7"/>
    <w:rsid w:val="00F31572"/>
    <w:rsid w:val="00F31716"/>
    <w:rsid w:val="00F32030"/>
    <w:rsid w:val="00F33014"/>
    <w:rsid w:val="00F33293"/>
    <w:rsid w:val="00F337C5"/>
    <w:rsid w:val="00F33AF6"/>
    <w:rsid w:val="00F33D50"/>
    <w:rsid w:val="00F33F51"/>
    <w:rsid w:val="00F3459A"/>
    <w:rsid w:val="00F34D01"/>
    <w:rsid w:val="00F350C1"/>
    <w:rsid w:val="00F35778"/>
    <w:rsid w:val="00F40703"/>
    <w:rsid w:val="00F40A01"/>
    <w:rsid w:val="00F41778"/>
    <w:rsid w:val="00F428E2"/>
    <w:rsid w:val="00F428F9"/>
    <w:rsid w:val="00F42C3A"/>
    <w:rsid w:val="00F4347B"/>
    <w:rsid w:val="00F43F89"/>
    <w:rsid w:val="00F47590"/>
    <w:rsid w:val="00F51855"/>
    <w:rsid w:val="00F520F5"/>
    <w:rsid w:val="00F5235B"/>
    <w:rsid w:val="00F52B8D"/>
    <w:rsid w:val="00F52F05"/>
    <w:rsid w:val="00F53AD1"/>
    <w:rsid w:val="00F54749"/>
    <w:rsid w:val="00F5511E"/>
    <w:rsid w:val="00F55296"/>
    <w:rsid w:val="00F55551"/>
    <w:rsid w:val="00F56895"/>
    <w:rsid w:val="00F56AD7"/>
    <w:rsid w:val="00F56C59"/>
    <w:rsid w:val="00F604F8"/>
    <w:rsid w:val="00F60749"/>
    <w:rsid w:val="00F60CCE"/>
    <w:rsid w:val="00F611A9"/>
    <w:rsid w:val="00F611BD"/>
    <w:rsid w:val="00F6229D"/>
    <w:rsid w:val="00F65229"/>
    <w:rsid w:val="00F665C1"/>
    <w:rsid w:val="00F7136D"/>
    <w:rsid w:val="00F72CD3"/>
    <w:rsid w:val="00F72E92"/>
    <w:rsid w:val="00F73CE0"/>
    <w:rsid w:val="00F7465D"/>
    <w:rsid w:val="00F747CA"/>
    <w:rsid w:val="00F74863"/>
    <w:rsid w:val="00F74DDC"/>
    <w:rsid w:val="00F750F8"/>
    <w:rsid w:val="00F75A96"/>
    <w:rsid w:val="00F75F4F"/>
    <w:rsid w:val="00F7672E"/>
    <w:rsid w:val="00F77099"/>
    <w:rsid w:val="00F7718A"/>
    <w:rsid w:val="00F777F7"/>
    <w:rsid w:val="00F77856"/>
    <w:rsid w:val="00F77895"/>
    <w:rsid w:val="00F77D81"/>
    <w:rsid w:val="00F84F16"/>
    <w:rsid w:val="00F86016"/>
    <w:rsid w:val="00F86025"/>
    <w:rsid w:val="00F8663B"/>
    <w:rsid w:val="00F87446"/>
    <w:rsid w:val="00F878E5"/>
    <w:rsid w:val="00F9055C"/>
    <w:rsid w:val="00F909B0"/>
    <w:rsid w:val="00F90E19"/>
    <w:rsid w:val="00F91474"/>
    <w:rsid w:val="00F917D3"/>
    <w:rsid w:val="00F92483"/>
    <w:rsid w:val="00F927B8"/>
    <w:rsid w:val="00F94CDE"/>
    <w:rsid w:val="00F94EC8"/>
    <w:rsid w:val="00F950E6"/>
    <w:rsid w:val="00F95EBB"/>
    <w:rsid w:val="00F96EA2"/>
    <w:rsid w:val="00F970C1"/>
    <w:rsid w:val="00F976CF"/>
    <w:rsid w:val="00FA1248"/>
    <w:rsid w:val="00FA370B"/>
    <w:rsid w:val="00FA43CF"/>
    <w:rsid w:val="00FA4AD3"/>
    <w:rsid w:val="00FA617D"/>
    <w:rsid w:val="00FA6F50"/>
    <w:rsid w:val="00FB0CCD"/>
    <w:rsid w:val="00FB3D17"/>
    <w:rsid w:val="00FB5459"/>
    <w:rsid w:val="00FB5C54"/>
    <w:rsid w:val="00FB6451"/>
    <w:rsid w:val="00FC062E"/>
    <w:rsid w:val="00FC096D"/>
    <w:rsid w:val="00FC1373"/>
    <w:rsid w:val="00FC161E"/>
    <w:rsid w:val="00FC1D55"/>
    <w:rsid w:val="00FC3304"/>
    <w:rsid w:val="00FC4AF5"/>
    <w:rsid w:val="00FC4C79"/>
    <w:rsid w:val="00FC562B"/>
    <w:rsid w:val="00FD03AD"/>
    <w:rsid w:val="00FD0BDF"/>
    <w:rsid w:val="00FD12E3"/>
    <w:rsid w:val="00FD1A98"/>
    <w:rsid w:val="00FD1E66"/>
    <w:rsid w:val="00FD23A6"/>
    <w:rsid w:val="00FD2CCD"/>
    <w:rsid w:val="00FD31C6"/>
    <w:rsid w:val="00FD3401"/>
    <w:rsid w:val="00FD5573"/>
    <w:rsid w:val="00FE093E"/>
    <w:rsid w:val="00FE0D9F"/>
    <w:rsid w:val="00FE1ECE"/>
    <w:rsid w:val="00FE2FE3"/>
    <w:rsid w:val="00FE33B3"/>
    <w:rsid w:val="00FE5565"/>
    <w:rsid w:val="00FE742B"/>
    <w:rsid w:val="00FE79E2"/>
    <w:rsid w:val="00FF03DE"/>
    <w:rsid w:val="00FF2ADE"/>
    <w:rsid w:val="00FF3BEE"/>
    <w:rsid w:val="00FF5AA4"/>
    <w:rsid w:val="00FF6727"/>
    <w:rsid w:val="00FF712F"/>
    <w:rsid w:val="00FF74C6"/>
    <w:rsid w:val="00FF7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5f9fb"/>
    </o:shapedefaults>
    <o:shapelayout v:ext="edit">
      <o:idmap v:ext="edit" data="1"/>
    </o:shapelayout>
  </w:shapeDefaults>
  <w:decimalSymbol w:val="."/>
  <w:listSeparator w:val=","/>
  <w14:docId w14:val="0FBEFCAA"/>
  <w15:docId w15:val="{B978ED96-5020-46FE-A90B-961549551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40"/>
        <w:jc w:val="both"/>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81E98"/>
    <w:rPr>
      <w:rFonts w:ascii="Times New Roman" w:hAnsi="Times New Roman"/>
      <w:sz w:val="24"/>
    </w:rPr>
  </w:style>
  <w:style w:type="paragraph" w:styleId="Heading1">
    <w:name w:val="heading 1"/>
    <w:basedOn w:val="Normal"/>
    <w:next w:val="Heading2"/>
    <w:link w:val="Heading1Char"/>
    <w:qFormat/>
    <w:rsid w:val="00321391"/>
    <w:pPr>
      <w:numPr>
        <w:numId w:val="4"/>
      </w:numPr>
      <w:pBdr>
        <w:bottom w:val="single" w:sz="4" w:space="1" w:color="000000" w:themeColor="text2"/>
      </w:pBdr>
      <w:tabs>
        <w:tab w:val="left" w:pos="7518"/>
      </w:tabs>
      <w:spacing w:before="720"/>
      <w:outlineLvl w:val="0"/>
    </w:pPr>
    <w:rPr>
      <w:rFonts w:ascii="AndesExtraLight"/>
      <w:color w:val="00AEEF"/>
      <w:sz w:val="38"/>
      <w:u w:color="0D2240"/>
    </w:rPr>
  </w:style>
  <w:style w:type="paragraph" w:styleId="Heading2">
    <w:name w:val="heading 2"/>
    <w:basedOn w:val="Normal"/>
    <w:next w:val="BodyText"/>
    <w:link w:val="Heading2Char"/>
    <w:unhideWhenUsed/>
    <w:qFormat/>
    <w:rsid w:val="00DD3FC5"/>
    <w:pPr>
      <w:numPr>
        <w:numId w:val="11"/>
      </w:numPr>
      <w:spacing w:before="30"/>
      <w:outlineLvl w:val="1"/>
    </w:pPr>
    <w:rPr>
      <w:rFonts w:ascii="AndesExtraLight"/>
      <w:color w:val="0D2240"/>
      <w:sz w:val="28"/>
    </w:rPr>
  </w:style>
  <w:style w:type="paragraph" w:styleId="Heading3">
    <w:name w:val="heading 3"/>
    <w:basedOn w:val="Normal"/>
    <w:next w:val="Normal"/>
    <w:link w:val="Heading3Char"/>
    <w:unhideWhenUsed/>
    <w:qFormat/>
    <w:rsid w:val="00181E98"/>
    <w:pPr>
      <w:numPr>
        <w:ilvl w:val="2"/>
        <w:numId w:val="4"/>
      </w:numPr>
      <w:spacing w:before="29"/>
      <w:outlineLvl w:val="2"/>
    </w:pPr>
    <w:rPr>
      <w:rFonts w:ascii="AndesExtraLight"/>
      <w:color w:val="00AEEF"/>
      <w:sz w:val="26"/>
    </w:rPr>
  </w:style>
  <w:style w:type="paragraph" w:styleId="Heading4">
    <w:name w:val="heading 4"/>
    <w:basedOn w:val="Normal"/>
    <w:next w:val="Normal"/>
    <w:link w:val="Heading4Char"/>
    <w:unhideWhenUsed/>
    <w:qFormat/>
    <w:rsid w:val="00181E98"/>
    <w:pPr>
      <w:keepNext/>
      <w:keepLines/>
      <w:spacing w:before="200" w:after="0"/>
      <w:outlineLvl w:val="3"/>
    </w:pPr>
    <w:rPr>
      <w:rFonts w:asciiTheme="majorHAnsi" w:eastAsiaTheme="majorEastAsia" w:hAnsiTheme="majorHAnsi" w:cstheme="majorBidi"/>
      <w:b/>
      <w:bCs/>
      <w:i/>
      <w:iCs/>
      <w:color w:val="0A5157" w:themeColor="accent1"/>
    </w:rPr>
  </w:style>
  <w:style w:type="paragraph" w:styleId="Heading5">
    <w:name w:val="heading 5"/>
    <w:basedOn w:val="Normal"/>
    <w:next w:val="Normal"/>
    <w:link w:val="Heading5Char"/>
    <w:qFormat/>
    <w:rsid w:val="00BC6429"/>
    <w:pPr>
      <w:tabs>
        <w:tab w:val="num" w:pos="3240"/>
      </w:tabs>
      <w:spacing w:before="120" w:after="60"/>
      <w:ind w:left="2880"/>
      <w:outlineLvl w:val="4"/>
    </w:pPr>
    <w:rPr>
      <w:rFonts w:eastAsia="Times New Roman" w:cs="Times New Roman"/>
      <w:b/>
      <w:bCs/>
      <w:i/>
      <w:iCs/>
      <w:sz w:val="26"/>
      <w:szCs w:val="26"/>
    </w:rPr>
  </w:style>
  <w:style w:type="paragraph" w:styleId="Heading6">
    <w:name w:val="heading 6"/>
    <w:basedOn w:val="Normal"/>
    <w:next w:val="Normal"/>
    <w:link w:val="Heading6Char"/>
    <w:qFormat/>
    <w:rsid w:val="00BC6429"/>
    <w:pPr>
      <w:tabs>
        <w:tab w:val="num" w:pos="3960"/>
      </w:tabs>
      <w:spacing w:before="120" w:after="60"/>
      <w:ind w:left="3600"/>
      <w:outlineLvl w:val="5"/>
    </w:pPr>
    <w:rPr>
      <w:rFonts w:eastAsia="Times New Roman" w:cs="Times New Roman"/>
      <w:b/>
      <w:bCs/>
      <w:sz w:val="22"/>
    </w:rPr>
  </w:style>
  <w:style w:type="paragraph" w:styleId="Heading7">
    <w:name w:val="heading 7"/>
    <w:basedOn w:val="Normal"/>
    <w:next w:val="Normal"/>
    <w:link w:val="Heading7Char"/>
    <w:qFormat/>
    <w:rsid w:val="00BC6429"/>
    <w:pPr>
      <w:tabs>
        <w:tab w:val="num" w:pos="4680"/>
      </w:tabs>
      <w:spacing w:before="120" w:after="60"/>
      <w:ind w:left="4320"/>
      <w:outlineLvl w:val="6"/>
    </w:pPr>
    <w:rPr>
      <w:rFonts w:eastAsia="Times New Roman" w:cs="Times New Roman"/>
      <w:szCs w:val="24"/>
    </w:rPr>
  </w:style>
  <w:style w:type="paragraph" w:styleId="Heading8">
    <w:name w:val="heading 8"/>
    <w:basedOn w:val="Normal"/>
    <w:next w:val="Normal"/>
    <w:link w:val="Heading8Char"/>
    <w:qFormat/>
    <w:rsid w:val="00BC6429"/>
    <w:pPr>
      <w:tabs>
        <w:tab w:val="num" w:pos="5400"/>
      </w:tabs>
      <w:spacing w:before="120" w:after="60"/>
      <w:ind w:left="5040"/>
      <w:outlineLvl w:val="7"/>
    </w:pPr>
    <w:rPr>
      <w:rFonts w:eastAsia="Times New Roman" w:cs="Times New Roman"/>
      <w:i/>
      <w:iCs/>
      <w:szCs w:val="24"/>
    </w:rPr>
  </w:style>
  <w:style w:type="paragraph" w:styleId="Heading9">
    <w:name w:val="heading 9"/>
    <w:basedOn w:val="Normal"/>
    <w:next w:val="Normal"/>
    <w:link w:val="Heading9Char"/>
    <w:qFormat/>
    <w:rsid w:val="00BC6429"/>
    <w:pPr>
      <w:tabs>
        <w:tab w:val="num" w:pos="6120"/>
      </w:tabs>
      <w:spacing w:before="120" w:after="60"/>
      <w:ind w:left="576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3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1391"/>
    <w:rPr>
      <w:rFonts w:ascii="Lucida Grande" w:hAnsi="Lucida Grande" w:cs="Lucida Grande"/>
      <w:sz w:val="18"/>
      <w:szCs w:val="18"/>
    </w:rPr>
  </w:style>
  <w:style w:type="paragraph" w:styleId="BodyText">
    <w:name w:val="Body Text"/>
    <w:basedOn w:val="Normal"/>
    <w:link w:val="BodyTextChar"/>
    <w:uiPriority w:val="1"/>
    <w:qFormat/>
    <w:rsid w:val="00161A69"/>
    <w:pPr>
      <w:numPr>
        <w:ilvl w:val="3"/>
        <w:numId w:val="4"/>
      </w:numPr>
    </w:pPr>
    <w:rPr>
      <w:rFonts w:eastAsia="Baskerville"/>
      <w:spacing w:val="-1"/>
    </w:rPr>
  </w:style>
  <w:style w:type="character" w:customStyle="1" w:styleId="BodyTextChar">
    <w:name w:val="Body Text Char"/>
    <w:basedOn w:val="DefaultParagraphFont"/>
    <w:link w:val="BodyText"/>
    <w:uiPriority w:val="1"/>
    <w:rsid w:val="00161A69"/>
    <w:rPr>
      <w:rFonts w:ascii="Times New Roman" w:eastAsia="Baskerville" w:hAnsi="Times New Roman"/>
      <w:spacing w:val="-1"/>
      <w:sz w:val="24"/>
    </w:rPr>
  </w:style>
  <w:style w:type="character" w:customStyle="1" w:styleId="Boldintro">
    <w:name w:val="Bold intro"/>
    <w:basedOn w:val="DefaultParagraphFont"/>
    <w:uiPriority w:val="1"/>
    <w:qFormat/>
    <w:rsid w:val="00321391"/>
    <w:rPr>
      <w:b/>
      <w:color w:val="021F43" w:themeColor="text1"/>
    </w:rPr>
  </w:style>
  <w:style w:type="paragraph" w:customStyle="1" w:styleId="Bullets">
    <w:name w:val="Bullets"/>
    <w:basedOn w:val="BodyText"/>
    <w:uiPriority w:val="1"/>
    <w:qFormat/>
    <w:rsid w:val="00321391"/>
    <w:pPr>
      <w:numPr>
        <w:ilvl w:val="0"/>
        <w:numId w:val="1"/>
      </w:numPr>
    </w:pPr>
  </w:style>
  <w:style w:type="paragraph" w:customStyle="1" w:styleId="ChapterNumber">
    <w:name w:val="Chapter Number"/>
    <w:basedOn w:val="Normal"/>
    <w:uiPriority w:val="1"/>
    <w:qFormat/>
    <w:rsid w:val="00321391"/>
    <w:pPr>
      <w:spacing w:before="16"/>
      <w:ind w:left="20"/>
    </w:pPr>
    <w:rPr>
      <w:rFonts w:ascii="Andes"/>
      <w:b/>
      <w:color w:val="0D2240"/>
      <w:sz w:val="36"/>
    </w:rPr>
  </w:style>
  <w:style w:type="paragraph" w:customStyle="1" w:styleId="ChapterTitle">
    <w:name w:val="Chapter Title"/>
    <w:next w:val="BodyText"/>
    <w:uiPriority w:val="1"/>
    <w:qFormat/>
    <w:rsid w:val="00321391"/>
    <w:pPr>
      <w:widowControl w:val="0"/>
      <w:pBdr>
        <w:bottom w:val="single" w:sz="36" w:space="1" w:color="021F43" w:themeColor="text1"/>
      </w:pBdr>
      <w:spacing w:before="65"/>
      <w:ind w:left="20"/>
    </w:pPr>
    <w:rPr>
      <w:rFonts w:ascii="AndesExtraLight"/>
      <w:color w:val="00AEEF"/>
      <w:sz w:val="54"/>
    </w:rPr>
  </w:style>
  <w:style w:type="paragraph" w:customStyle="1" w:styleId="CoverOptionAReportandDate">
    <w:name w:val="Cover Option A Report# and Date"/>
    <w:basedOn w:val="Normal"/>
    <w:uiPriority w:val="1"/>
    <w:qFormat/>
    <w:rsid w:val="00B913E5"/>
    <w:pPr>
      <w:spacing w:before="26"/>
      <w:ind w:left="20"/>
    </w:pPr>
    <w:rPr>
      <w:rFonts w:ascii="Andes"/>
      <w:color w:val="0D2240"/>
      <w:spacing w:val="-1"/>
    </w:rPr>
  </w:style>
  <w:style w:type="paragraph" w:styleId="Title">
    <w:name w:val="Title"/>
    <w:basedOn w:val="Normal"/>
    <w:link w:val="TitleChar"/>
    <w:uiPriority w:val="10"/>
    <w:qFormat/>
    <w:rsid w:val="00980BAD"/>
    <w:pPr>
      <w:jc w:val="center"/>
    </w:pPr>
    <w:rPr>
      <w:rFonts w:ascii="Times New Roman Bold" w:eastAsia="Times New Roman" w:hAnsi="Times New Roman Bold" w:cs="Times New Roman"/>
      <w:b/>
      <w:smallCaps/>
      <w:szCs w:val="24"/>
    </w:rPr>
  </w:style>
  <w:style w:type="character" w:customStyle="1" w:styleId="TitleChar">
    <w:name w:val="Title Char"/>
    <w:basedOn w:val="DefaultParagraphFont"/>
    <w:link w:val="Title"/>
    <w:uiPriority w:val="10"/>
    <w:rsid w:val="00980BAD"/>
    <w:rPr>
      <w:rFonts w:ascii="Times New Roman Bold" w:eastAsia="Times New Roman" w:hAnsi="Times New Roman Bold" w:cs="Times New Roman"/>
      <w:b/>
      <w:smallCaps/>
      <w:sz w:val="24"/>
      <w:szCs w:val="24"/>
    </w:rPr>
  </w:style>
  <w:style w:type="paragraph" w:styleId="NoSpacing">
    <w:name w:val="No Spacing"/>
    <w:uiPriority w:val="1"/>
    <w:qFormat/>
    <w:rsid w:val="00980BAD"/>
    <w:rPr>
      <w:rFonts w:ascii="Calibri" w:eastAsia="Calibri" w:hAnsi="Calibri" w:cs="Times New Roman"/>
    </w:rPr>
  </w:style>
  <w:style w:type="paragraph" w:styleId="FootnoteText">
    <w:name w:val="footnote text"/>
    <w:aliases w:val="fn,Char,single space,footnote text,Footnote Text Char2 Char,Footnote Text Char1 Char Char,Footnote Text Char2 Char Char Char,Footnote Text Char1 Char Char Char Char,Footnote Text Char2 Char Char Char Char Char,ALTS FOOTNOTE,FOOTNOTES,Cha"/>
    <w:basedOn w:val="Normal"/>
    <w:link w:val="FootnoteTextChar"/>
    <w:uiPriority w:val="99"/>
    <w:qFormat/>
    <w:rsid w:val="00AC3B1E"/>
    <w:pPr>
      <w:spacing w:after="120"/>
    </w:pPr>
    <w:rPr>
      <w:rFonts w:ascii="Trebuchet MS" w:eastAsia="Times New Roman" w:hAnsi="Trebuchet MS" w:cs="Times New Roman"/>
      <w:sz w:val="18"/>
      <w:szCs w:val="20"/>
    </w:rPr>
  </w:style>
  <w:style w:type="character" w:customStyle="1" w:styleId="FootnoteTextChar">
    <w:name w:val="Footnote Text Char"/>
    <w:aliases w:val="fn Char,Char Char,single space Char,footnote text Char,Footnote Text Char2 Char Char,Footnote Text Char1 Char Char Char,Footnote Text Char2 Char Char Char Char,Footnote Text Char1 Char Char Char Char Char,ALTS FOOTNOTE Char,Cha Char"/>
    <w:basedOn w:val="DefaultParagraphFont"/>
    <w:link w:val="FootnoteText"/>
    <w:uiPriority w:val="99"/>
    <w:rsid w:val="00AC3B1E"/>
    <w:rPr>
      <w:rFonts w:ascii="Trebuchet MS" w:eastAsia="Times New Roman" w:hAnsi="Trebuchet MS" w:cs="Times New Roman"/>
      <w:sz w:val="18"/>
      <w:szCs w:val="20"/>
    </w:rPr>
  </w:style>
  <w:style w:type="paragraph" w:styleId="Footer">
    <w:name w:val="footer"/>
    <w:basedOn w:val="Normal"/>
    <w:link w:val="FooterChar"/>
    <w:uiPriority w:val="99"/>
    <w:unhideWhenUsed/>
    <w:rsid w:val="00321391"/>
    <w:pPr>
      <w:spacing w:before="26"/>
      <w:ind w:left="20"/>
    </w:pPr>
    <w:rPr>
      <w:rFonts w:ascii="AndesExtraLight"/>
      <w:color w:val="797A7D"/>
      <w:sz w:val="18"/>
    </w:rPr>
  </w:style>
  <w:style w:type="character" w:customStyle="1" w:styleId="FooterChar">
    <w:name w:val="Footer Char"/>
    <w:basedOn w:val="DefaultParagraphFont"/>
    <w:link w:val="Footer"/>
    <w:uiPriority w:val="99"/>
    <w:rsid w:val="00321391"/>
    <w:rPr>
      <w:rFonts w:ascii="AndesExtraLight"/>
      <w:color w:val="797A7D"/>
      <w:sz w:val="18"/>
    </w:rPr>
  </w:style>
  <w:style w:type="paragraph" w:styleId="Header">
    <w:name w:val="header"/>
    <w:basedOn w:val="Normal"/>
    <w:link w:val="HeaderChar"/>
    <w:uiPriority w:val="99"/>
    <w:unhideWhenUsed/>
    <w:rsid w:val="00321391"/>
    <w:pPr>
      <w:tabs>
        <w:tab w:val="center" w:pos="4320"/>
        <w:tab w:val="right" w:pos="8640"/>
      </w:tabs>
    </w:pPr>
  </w:style>
  <w:style w:type="character" w:customStyle="1" w:styleId="HeaderChar">
    <w:name w:val="Header Char"/>
    <w:basedOn w:val="DefaultParagraphFont"/>
    <w:link w:val="Header"/>
    <w:uiPriority w:val="99"/>
    <w:rsid w:val="00321391"/>
  </w:style>
  <w:style w:type="character" w:customStyle="1" w:styleId="Heading1Char">
    <w:name w:val="Heading 1 Char"/>
    <w:basedOn w:val="DefaultParagraphFont"/>
    <w:link w:val="Heading1"/>
    <w:uiPriority w:val="9"/>
    <w:rsid w:val="00321391"/>
    <w:rPr>
      <w:rFonts w:ascii="AndesExtraLight" w:hAnsi="Times New Roman"/>
      <w:color w:val="00AEEF"/>
      <w:sz w:val="38"/>
      <w:u w:color="0D2240"/>
    </w:rPr>
  </w:style>
  <w:style w:type="character" w:customStyle="1" w:styleId="Heading2Char">
    <w:name w:val="Heading 2 Char"/>
    <w:basedOn w:val="DefaultParagraphFont"/>
    <w:link w:val="Heading2"/>
    <w:uiPriority w:val="9"/>
    <w:rsid w:val="005A07C1"/>
    <w:rPr>
      <w:rFonts w:ascii="AndesExtraLight" w:hAnsi="Times New Roman"/>
      <w:color w:val="0D2240"/>
      <w:sz w:val="28"/>
    </w:rPr>
  </w:style>
  <w:style w:type="character" w:customStyle="1" w:styleId="Heading3Char">
    <w:name w:val="Heading 3 Char"/>
    <w:basedOn w:val="DefaultParagraphFont"/>
    <w:link w:val="Heading3"/>
    <w:uiPriority w:val="9"/>
    <w:rsid w:val="00181E98"/>
    <w:rPr>
      <w:rFonts w:ascii="AndesExtraLight" w:hAnsi="Times New Roman"/>
      <w:color w:val="00AEEF"/>
      <w:sz w:val="26"/>
    </w:rPr>
  </w:style>
  <w:style w:type="paragraph" w:styleId="ListParagraph">
    <w:name w:val="List Paragraph"/>
    <w:aliases w:val="References,Numbered List Paragraph,List Paragraph (numbered (a)),List Paragraph nowy,Liste 1,List Bullet Mary"/>
    <w:basedOn w:val="Normal"/>
    <w:link w:val="ListParagraphChar"/>
    <w:uiPriority w:val="34"/>
    <w:qFormat/>
    <w:rsid w:val="00161A69"/>
  </w:style>
  <w:style w:type="character" w:styleId="PageNumber">
    <w:name w:val="page number"/>
    <w:basedOn w:val="DefaultParagraphFont"/>
    <w:uiPriority w:val="99"/>
    <w:semiHidden/>
    <w:unhideWhenUsed/>
    <w:rsid w:val="00321391"/>
  </w:style>
  <w:style w:type="paragraph" w:customStyle="1" w:styleId="TableParagraph">
    <w:name w:val="Table Paragraph"/>
    <w:basedOn w:val="Normal"/>
    <w:uiPriority w:val="1"/>
    <w:qFormat/>
    <w:rsid w:val="00181E98"/>
  </w:style>
  <w:style w:type="character" w:styleId="FootnoteReference">
    <w:name w:val="footnote reference"/>
    <w:aliases w:val="Estilo de nota al pie de Africa,ftref, BVI fnr,Ref,de nota al pie,16 Point,Superscript 6 Point,BVI fnr, Car Car Char Car Char Car Car Char Car Char Char,referencia nota al pie,SUPERS,Car Car Char Car Char Car Car Char Car Char Char,F"/>
    <w:link w:val="FNRefeCharChar"/>
    <w:uiPriority w:val="99"/>
    <w:qFormat/>
    <w:rsid w:val="00161A69"/>
    <w:rPr>
      <w:vertAlign w:val="superscript"/>
    </w:rPr>
  </w:style>
  <w:style w:type="paragraph" w:customStyle="1" w:styleId="FNRefeCharChar">
    <w:name w:val="FNRefe Char Char"/>
    <w:aliases w:val="BVI fnr Char Char,BVI fnr Car Car Char Char Char,BVI fnr Car Char Char Char,BVI fnr Car Car Car Car Char Char Char Char Char, BVI fnr Char Char Char, BVI fnr Car Car Char Char Char, BVI fnr Car Car Car Car Char Char Char Char Char"/>
    <w:basedOn w:val="Normal"/>
    <w:link w:val="FootnoteReference"/>
    <w:uiPriority w:val="99"/>
    <w:rsid w:val="00161A69"/>
    <w:pPr>
      <w:spacing w:after="160" w:line="240" w:lineRule="exact"/>
    </w:pPr>
    <w:rPr>
      <w:vertAlign w:val="superscript"/>
    </w:rPr>
  </w:style>
  <w:style w:type="paragraph" w:customStyle="1" w:styleId="ParagraphNumbering">
    <w:name w:val="Paragraph Numbering"/>
    <w:basedOn w:val="Normal"/>
    <w:link w:val="ParagraphNumberingChar"/>
    <w:uiPriority w:val="1"/>
    <w:qFormat/>
    <w:rsid w:val="008D34FE"/>
    <w:pPr>
      <w:numPr>
        <w:numId w:val="10"/>
      </w:numPr>
      <w:spacing w:after="120"/>
      <w:ind w:left="0" w:firstLine="0"/>
    </w:pPr>
    <w:rPr>
      <w:rFonts w:eastAsia="Times New Roman" w:cs="Times New Roman"/>
      <w:bCs/>
      <w:szCs w:val="24"/>
    </w:rPr>
  </w:style>
  <w:style w:type="character" w:customStyle="1" w:styleId="ParagraphNumberingChar">
    <w:name w:val="Paragraph Numbering Char"/>
    <w:link w:val="ParagraphNumbering"/>
    <w:uiPriority w:val="1"/>
    <w:rsid w:val="008D34FE"/>
    <w:rPr>
      <w:rFonts w:ascii="Times New Roman" w:eastAsia="Times New Roman" w:hAnsi="Times New Roman" w:cs="Times New Roman"/>
      <w:bCs/>
      <w:sz w:val="24"/>
      <w:szCs w:val="24"/>
    </w:rPr>
  </w:style>
  <w:style w:type="paragraph" w:customStyle="1" w:styleId="Bull3">
    <w:name w:val="Bull 3"/>
    <w:basedOn w:val="NormalWeb"/>
    <w:link w:val="Bull3Char"/>
    <w:qFormat/>
    <w:rsid w:val="00161A69"/>
    <w:pPr>
      <w:numPr>
        <w:numId w:val="3"/>
      </w:numPr>
      <w:spacing w:after="40"/>
    </w:pPr>
    <w:rPr>
      <w:rFonts w:eastAsia="Arial Unicode MS" w:cs="Arial"/>
      <w:sz w:val="22"/>
      <w:szCs w:val="23"/>
    </w:rPr>
  </w:style>
  <w:style w:type="character" w:customStyle="1" w:styleId="Bull3Char">
    <w:name w:val="Bull 3 Char"/>
    <w:link w:val="Bull3"/>
    <w:rsid w:val="00161A69"/>
    <w:rPr>
      <w:rFonts w:ascii="Times New Roman" w:eastAsia="Arial Unicode MS" w:hAnsi="Times New Roman" w:cs="Arial"/>
      <w:szCs w:val="23"/>
    </w:rPr>
  </w:style>
  <w:style w:type="paragraph" w:styleId="NormalWeb">
    <w:name w:val="Normal (Web)"/>
    <w:basedOn w:val="Normal"/>
    <w:uiPriority w:val="99"/>
    <w:semiHidden/>
    <w:unhideWhenUsed/>
    <w:rsid w:val="00161A69"/>
    <w:rPr>
      <w:rFonts w:cs="Times New Roman"/>
      <w:szCs w:val="24"/>
    </w:rPr>
  </w:style>
  <w:style w:type="paragraph" w:styleId="TOCHeading">
    <w:name w:val="TOC Heading"/>
    <w:basedOn w:val="Heading1"/>
    <w:next w:val="Normal"/>
    <w:uiPriority w:val="39"/>
    <w:semiHidden/>
    <w:unhideWhenUsed/>
    <w:qFormat/>
    <w:rsid w:val="00C640EF"/>
    <w:pPr>
      <w:keepNext/>
      <w:keepLines/>
      <w:pBdr>
        <w:bottom w:val="none" w:sz="0" w:space="0" w:color="auto"/>
      </w:pBdr>
      <w:tabs>
        <w:tab w:val="clear" w:pos="7518"/>
      </w:tabs>
      <w:spacing w:before="480" w:after="0" w:line="276" w:lineRule="auto"/>
      <w:ind w:left="0" w:firstLine="0"/>
      <w:outlineLvl w:val="9"/>
    </w:pPr>
    <w:rPr>
      <w:rFonts w:asciiTheme="majorHAnsi" w:eastAsiaTheme="majorEastAsia" w:hAnsiTheme="majorHAnsi" w:cstheme="majorBidi"/>
      <w:b/>
      <w:bCs/>
      <w:color w:val="073C40" w:themeColor="accent1" w:themeShade="BF"/>
      <w:sz w:val="28"/>
      <w:szCs w:val="28"/>
      <w:lang w:eastAsia="ja-JP"/>
    </w:rPr>
  </w:style>
  <w:style w:type="paragraph" w:styleId="TOC1">
    <w:name w:val="toc 1"/>
    <w:basedOn w:val="Normal"/>
    <w:next w:val="Normal"/>
    <w:autoRedefine/>
    <w:uiPriority w:val="39"/>
    <w:unhideWhenUsed/>
    <w:rsid w:val="00C8596B"/>
    <w:pPr>
      <w:tabs>
        <w:tab w:val="right" w:leader="dot" w:pos="9350"/>
      </w:tabs>
      <w:spacing w:after="120"/>
      <w:ind w:left="144"/>
    </w:pPr>
    <w:rPr>
      <w:rFonts w:cs="Times New Roman"/>
      <w:noProof/>
      <w:u w:color="0D2240"/>
    </w:rPr>
  </w:style>
  <w:style w:type="paragraph" w:styleId="TOC2">
    <w:name w:val="toc 2"/>
    <w:basedOn w:val="Normal"/>
    <w:next w:val="Normal"/>
    <w:autoRedefine/>
    <w:uiPriority w:val="39"/>
    <w:unhideWhenUsed/>
    <w:rsid w:val="00F950E6"/>
    <w:pPr>
      <w:tabs>
        <w:tab w:val="left" w:pos="660"/>
        <w:tab w:val="left" w:pos="720"/>
        <w:tab w:val="right" w:leader="dot" w:pos="9350"/>
      </w:tabs>
      <w:spacing w:after="120"/>
      <w:ind w:left="240" w:hanging="60"/>
    </w:pPr>
  </w:style>
  <w:style w:type="character" w:styleId="Hyperlink">
    <w:name w:val="Hyperlink"/>
    <w:basedOn w:val="DefaultParagraphFont"/>
    <w:uiPriority w:val="99"/>
    <w:unhideWhenUsed/>
    <w:rsid w:val="00C640EF"/>
    <w:rPr>
      <w:color w:val="AF7B05" w:themeColor="hyperlink"/>
      <w:u w:val="single"/>
    </w:rPr>
  </w:style>
  <w:style w:type="paragraph" w:styleId="Caption">
    <w:name w:val="caption"/>
    <w:basedOn w:val="Normal"/>
    <w:next w:val="Normal"/>
    <w:link w:val="CaptionChar"/>
    <w:unhideWhenUsed/>
    <w:qFormat/>
    <w:rsid w:val="00AC3B1E"/>
    <w:pPr>
      <w:spacing w:after="0"/>
    </w:pPr>
    <w:rPr>
      <w:rFonts w:ascii="Trebuchet MS" w:eastAsia="Calibri" w:hAnsi="Trebuchet MS" w:cs="Times New Roman"/>
      <w:b/>
      <w:bCs/>
      <w:color w:val="0B73B6" w:themeColor="background2" w:themeShade="BF"/>
      <w:sz w:val="20"/>
      <w:szCs w:val="18"/>
    </w:rPr>
  </w:style>
  <w:style w:type="character" w:customStyle="1" w:styleId="CaptionChar">
    <w:name w:val="Caption Char"/>
    <w:link w:val="Caption"/>
    <w:rsid w:val="00AC3B1E"/>
    <w:rPr>
      <w:rFonts w:ascii="Trebuchet MS" w:eastAsia="Calibri" w:hAnsi="Trebuchet MS" w:cs="Times New Roman"/>
      <w:b/>
      <w:bCs/>
      <w:color w:val="0B73B6" w:themeColor="background2" w:themeShade="BF"/>
      <w:sz w:val="20"/>
      <w:szCs w:val="18"/>
    </w:rPr>
  </w:style>
  <w:style w:type="character" w:customStyle="1" w:styleId="Heading4Char">
    <w:name w:val="Heading 4 Char"/>
    <w:basedOn w:val="DefaultParagraphFont"/>
    <w:link w:val="Heading4"/>
    <w:uiPriority w:val="9"/>
    <w:rsid w:val="00181E98"/>
    <w:rPr>
      <w:rFonts w:asciiTheme="majorHAnsi" w:eastAsiaTheme="majorEastAsia" w:hAnsiTheme="majorHAnsi" w:cstheme="majorBidi"/>
      <w:b/>
      <w:bCs/>
      <w:i/>
      <w:iCs/>
      <w:color w:val="0A5157" w:themeColor="accent1"/>
      <w:sz w:val="24"/>
    </w:rPr>
  </w:style>
  <w:style w:type="table" w:styleId="TableGrid">
    <w:name w:val="Table Grid"/>
    <w:basedOn w:val="TableNormal"/>
    <w:uiPriority w:val="59"/>
    <w:rsid w:val="00014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14BFF"/>
    <w:pPr>
      <w:spacing w:after="100"/>
      <w:ind w:left="480"/>
    </w:pPr>
  </w:style>
  <w:style w:type="paragraph" w:customStyle="1" w:styleId="NumberedPara">
    <w:name w:val="Numbered Para"/>
    <w:basedOn w:val="BodyText"/>
    <w:uiPriority w:val="99"/>
    <w:qFormat/>
    <w:rsid w:val="00AB05A1"/>
    <w:pPr>
      <w:numPr>
        <w:ilvl w:val="0"/>
        <w:numId w:val="5"/>
      </w:numPr>
      <w:ind w:left="0" w:firstLine="0"/>
    </w:pPr>
    <w:rPr>
      <w:rFonts w:eastAsia="Times New Roman" w:cs="Times New Roman"/>
      <w:spacing w:val="0"/>
      <w:szCs w:val="24"/>
    </w:rPr>
  </w:style>
  <w:style w:type="character" w:customStyle="1" w:styleId="ListParagraphChar">
    <w:name w:val="List Paragraph Char"/>
    <w:aliases w:val="References Char,Numbered List Paragraph Char,List Paragraph (numbered (a)) Char,List Paragraph nowy Char,Liste 1 Char,List Bullet Mary Char"/>
    <w:link w:val="ListParagraph"/>
    <w:uiPriority w:val="34"/>
    <w:locked/>
    <w:rsid w:val="00AB05A1"/>
    <w:rPr>
      <w:rFonts w:ascii="Times New Roman" w:hAnsi="Times New Roman"/>
      <w:sz w:val="24"/>
    </w:rPr>
  </w:style>
  <w:style w:type="paragraph" w:customStyle="1" w:styleId="ListParagraph1">
    <w:name w:val="List Paragraph1"/>
    <w:basedOn w:val="ListParagraph"/>
    <w:link w:val="ListParagraph1Char1"/>
    <w:rsid w:val="00916FD4"/>
    <w:pPr>
      <w:numPr>
        <w:numId w:val="6"/>
      </w:numPr>
      <w:spacing w:before="120" w:after="0"/>
    </w:pPr>
    <w:rPr>
      <w:rFonts w:ascii="Calibri" w:eastAsia="Times New Roman" w:hAnsi="Calibri" w:cs="Times New Roman"/>
    </w:rPr>
  </w:style>
  <w:style w:type="character" w:customStyle="1" w:styleId="ListParagraph1Char1">
    <w:name w:val="List Paragraph1 Char1"/>
    <w:basedOn w:val="ListParagraphChar"/>
    <w:link w:val="ListParagraph1"/>
    <w:locked/>
    <w:rsid w:val="00916FD4"/>
    <w:rPr>
      <w:rFonts w:ascii="Calibri" w:eastAsia="Times New Roman" w:hAnsi="Calibri" w:cs="Times New Roman"/>
      <w:sz w:val="24"/>
    </w:rPr>
  </w:style>
  <w:style w:type="paragraph" w:customStyle="1" w:styleId="source">
    <w:name w:val="source"/>
    <w:basedOn w:val="Normal"/>
    <w:link w:val="sourceChar"/>
    <w:rsid w:val="00916FD4"/>
    <w:pPr>
      <w:spacing w:after="360" w:line="276" w:lineRule="auto"/>
      <w:jc w:val="center"/>
    </w:pPr>
    <w:rPr>
      <w:rFonts w:ascii="Calibri" w:eastAsia="Times New Roman" w:hAnsi="Calibri" w:cs="Times New Roman"/>
      <w:sz w:val="18"/>
    </w:rPr>
  </w:style>
  <w:style w:type="character" w:customStyle="1" w:styleId="sourceChar">
    <w:name w:val="source Char"/>
    <w:basedOn w:val="DefaultParagraphFont"/>
    <w:link w:val="source"/>
    <w:locked/>
    <w:rsid w:val="00916FD4"/>
    <w:rPr>
      <w:rFonts w:ascii="Calibri" w:eastAsia="Times New Roman" w:hAnsi="Calibri" w:cs="Times New Roman"/>
      <w:sz w:val="18"/>
    </w:rPr>
  </w:style>
  <w:style w:type="paragraph" w:customStyle="1" w:styleId="tablestext">
    <w:name w:val="tables text"/>
    <w:basedOn w:val="Normal"/>
    <w:link w:val="tablestextChar"/>
    <w:uiPriority w:val="99"/>
    <w:rsid w:val="00916FD4"/>
    <w:pPr>
      <w:keepNext/>
      <w:spacing w:after="0"/>
      <w:jc w:val="center"/>
    </w:pPr>
    <w:rPr>
      <w:rFonts w:ascii="Calibri" w:eastAsia="Times New Roman" w:hAnsi="Calibri" w:cs="Times New Roman"/>
      <w:sz w:val="18"/>
    </w:rPr>
  </w:style>
  <w:style w:type="character" w:customStyle="1" w:styleId="tablestextChar">
    <w:name w:val="tables text Char"/>
    <w:basedOn w:val="DefaultParagraphFont"/>
    <w:link w:val="tablestext"/>
    <w:uiPriority w:val="99"/>
    <w:locked/>
    <w:rsid w:val="00916FD4"/>
    <w:rPr>
      <w:rFonts w:ascii="Calibri" w:eastAsia="Times New Roman" w:hAnsi="Calibri" w:cs="Times New Roman"/>
      <w:sz w:val="18"/>
    </w:rPr>
  </w:style>
  <w:style w:type="table" w:styleId="MediumShading1">
    <w:name w:val="Medium Shading 1"/>
    <w:basedOn w:val="TableNormal"/>
    <w:uiPriority w:val="63"/>
    <w:rsid w:val="0074637F"/>
    <w:tblPr>
      <w:tblStyleRowBandSize w:val="1"/>
      <w:tblStyleColBandSize w:val="1"/>
      <w:tblBorders>
        <w:top w:val="single" w:sz="8" w:space="0" w:color="0550AE" w:themeColor="text1" w:themeTint="BF"/>
        <w:left w:val="single" w:sz="8" w:space="0" w:color="0550AE" w:themeColor="text1" w:themeTint="BF"/>
        <w:bottom w:val="single" w:sz="8" w:space="0" w:color="0550AE" w:themeColor="text1" w:themeTint="BF"/>
        <w:right w:val="single" w:sz="8" w:space="0" w:color="0550AE" w:themeColor="text1" w:themeTint="BF"/>
        <w:insideH w:val="single" w:sz="8" w:space="0" w:color="0550AE" w:themeColor="text1" w:themeTint="BF"/>
      </w:tblBorders>
    </w:tblPr>
    <w:tblStylePr w:type="firstRow">
      <w:pPr>
        <w:spacing w:before="0" w:after="0" w:line="240" w:lineRule="auto"/>
      </w:pPr>
      <w:rPr>
        <w:b/>
        <w:bCs/>
        <w:color w:val="FFFFFF" w:themeColor="background1"/>
      </w:rPr>
      <w:tblPr/>
      <w:tcPr>
        <w:tcBorders>
          <w:top w:val="single" w:sz="8" w:space="0" w:color="0550AE" w:themeColor="text1" w:themeTint="BF"/>
          <w:left w:val="single" w:sz="8" w:space="0" w:color="0550AE" w:themeColor="text1" w:themeTint="BF"/>
          <w:bottom w:val="single" w:sz="8" w:space="0" w:color="0550AE" w:themeColor="text1" w:themeTint="BF"/>
          <w:right w:val="single" w:sz="8" w:space="0" w:color="0550AE" w:themeColor="text1" w:themeTint="BF"/>
          <w:insideH w:val="nil"/>
          <w:insideV w:val="nil"/>
        </w:tcBorders>
        <w:shd w:val="clear" w:color="auto" w:fill="021F43" w:themeFill="text1"/>
      </w:tcPr>
    </w:tblStylePr>
    <w:tblStylePr w:type="lastRow">
      <w:pPr>
        <w:spacing w:before="0" w:after="0" w:line="240" w:lineRule="auto"/>
      </w:pPr>
      <w:rPr>
        <w:b/>
        <w:bCs/>
      </w:rPr>
      <w:tblPr/>
      <w:tcPr>
        <w:tcBorders>
          <w:top w:val="double" w:sz="6" w:space="0" w:color="0550AE" w:themeColor="text1" w:themeTint="BF"/>
          <w:left w:val="single" w:sz="8" w:space="0" w:color="0550AE" w:themeColor="text1" w:themeTint="BF"/>
          <w:bottom w:val="single" w:sz="8" w:space="0" w:color="0550AE" w:themeColor="text1" w:themeTint="BF"/>
          <w:right w:val="single" w:sz="8" w:space="0" w:color="0550AE" w:themeColor="text1" w:themeTint="BF"/>
          <w:insideH w:val="nil"/>
          <w:insideV w:val="nil"/>
        </w:tcBorders>
      </w:tcPr>
    </w:tblStylePr>
    <w:tblStylePr w:type="firstCol">
      <w:rPr>
        <w:b/>
        <w:bCs/>
      </w:rPr>
    </w:tblStylePr>
    <w:tblStylePr w:type="lastCol">
      <w:rPr>
        <w:b/>
        <w:bCs/>
      </w:rPr>
    </w:tblStylePr>
    <w:tblStylePr w:type="band1Vert">
      <w:tblPr/>
      <w:tcPr>
        <w:shd w:val="clear" w:color="auto" w:fill="95C2FB" w:themeFill="text1" w:themeFillTint="3F"/>
      </w:tcPr>
    </w:tblStylePr>
    <w:tblStylePr w:type="band1Horz">
      <w:tblPr/>
      <w:tcPr>
        <w:tcBorders>
          <w:insideH w:val="nil"/>
          <w:insideV w:val="nil"/>
        </w:tcBorders>
        <w:shd w:val="clear" w:color="auto" w:fill="95C2FB"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7C7D17"/>
    <w:tblPr>
      <w:tblStyleRowBandSize w:val="1"/>
      <w:tblStyleColBandSize w:val="1"/>
      <w:tblBorders>
        <w:top w:val="single" w:sz="8" w:space="0" w:color="021F43" w:themeColor="text1"/>
        <w:left w:val="single" w:sz="8" w:space="0" w:color="021F43" w:themeColor="text1"/>
        <w:bottom w:val="single" w:sz="8" w:space="0" w:color="021F43" w:themeColor="text1"/>
        <w:right w:val="single" w:sz="8" w:space="0" w:color="021F43" w:themeColor="text1"/>
      </w:tblBorders>
    </w:tblPr>
    <w:tblStylePr w:type="firstRow">
      <w:pPr>
        <w:spacing w:before="0" w:after="0" w:line="240" w:lineRule="auto"/>
      </w:pPr>
      <w:rPr>
        <w:b/>
        <w:bCs/>
        <w:color w:val="FFFFFF" w:themeColor="background1"/>
      </w:rPr>
      <w:tblPr/>
      <w:tcPr>
        <w:shd w:val="clear" w:color="auto" w:fill="021F43" w:themeFill="text1"/>
      </w:tcPr>
    </w:tblStylePr>
    <w:tblStylePr w:type="lastRow">
      <w:pPr>
        <w:spacing w:before="0" w:after="0" w:line="240" w:lineRule="auto"/>
      </w:pPr>
      <w:rPr>
        <w:b/>
        <w:bCs/>
      </w:rPr>
      <w:tblPr/>
      <w:tcPr>
        <w:tcBorders>
          <w:top w:val="double" w:sz="6" w:space="0" w:color="021F43" w:themeColor="text1"/>
          <w:left w:val="single" w:sz="8" w:space="0" w:color="021F43" w:themeColor="text1"/>
          <w:bottom w:val="single" w:sz="8" w:space="0" w:color="021F43" w:themeColor="text1"/>
          <w:right w:val="single" w:sz="8" w:space="0" w:color="021F43" w:themeColor="text1"/>
        </w:tcBorders>
      </w:tcPr>
    </w:tblStylePr>
    <w:tblStylePr w:type="firstCol">
      <w:rPr>
        <w:b/>
        <w:bCs/>
      </w:rPr>
    </w:tblStylePr>
    <w:tblStylePr w:type="lastCol">
      <w:rPr>
        <w:b/>
        <w:bCs/>
      </w:rPr>
    </w:tblStylePr>
    <w:tblStylePr w:type="band1Vert">
      <w:tblPr/>
      <w:tcPr>
        <w:tcBorders>
          <w:top w:val="single" w:sz="8" w:space="0" w:color="021F43" w:themeColor="text1"/>
          <w:left w:val="single" w:sz="8" w:space="0" w:color="021F43" w:themeColor="text1"/>
          <w:bottom w:val="single" w:sz="8" w:space="0" w:color="021F43" w:themeColor="text1"/>
          <w:right w:val="single" w:sz="8" w:space="0" w:color="021F43" w:themeColor="text1"/>
        </w:tcBorders>
      </w:tcPr>
    </w:tblStylePr>
    <w:tblStylePr w:type="band1Horz">
      <w:tblPr/>
      <w:tcPr>
        <w:tcBorders>
          <w:top w:val="single" w:sz="8" w:space="0" w:color="021F43" w:themeColor="text1"/>
          <w:left w:val="single" w:sz="8" w:space="0" w:color="021F43" w:themeColor="text1"/>
          <w:bottom w:val="single" w:sz="8" w:space="0" w:color="021F43" w:themeColor="text1"/>
          <w:right w:val="single" w:sz="8" w:space="0" w:color="021F43" w:themeColor="text1"/>
        </w:tcBorders>
      </w:tcPr>
    </w:tblStylePr>
  </w:style>
  <w:style w:type="character" w:styleId="CommentReference">
    <w:name w:val="annotation reference"/>
    <w:unhideWhenUsed/>
    <w:rsid w:val="00ED1525"/>
    <w:rPr>
      <w:sz w:val="16"/>
      <w:szCs w:val="16"/>
    </w:rPr>
  </w:style>
  <w:style w:type="table" w:styleId="LightList-Accent1">
    <w:name w:val="Light List Accent 1"/>
    <w:basedOn w:val="TableNormal"/>
    <w:uiPriority w:val="61"/>
    <w:rsid w:val="00BA5627"/>
    <w:tblPr>
      <w:tblStyleRowBandSize w:val="1"/>
      <w:tblStyleColBandSize w:val="1"/>
      <w:tblBorders>
        <w:top w:val="single" w:sz="8" w:space="0" w:color="0A5157" w:themeColor="accent1"/>
        <w:left w:val="single" w:sz="8" w:space="0" w:color="0A5157" w:themeColor="accent1"/>
        <w:bottom w:val="single" w:sz="8" w:space="0" w:color="0A5157" w:themeColor="accent1"/>
        <w:right w:val="single" w:sz="8" w:space="0" w:color="0A5157" w:themeColor="accent1"/>
      </w:tblBorders>
    </w:tblPr>
    <w:tblStylePr w:type="firstRow">
      <w:pPr>
        <w:spacing w:before="0" w:after="0" w:line="240" w:lineRule="auto"/>
      </w:pPr>
      <w:rPr>
        <w:b/>
        <w:bCs/>
        <w:color w:val="FFFFFF" w:themeColor="background1"/>
      </w:rPr>
      <w:tblPr/>
      <w:tcPr>
        <w:shd w:val="clear" w:color="auto" w:fill="0A5157" w:themeFill="accent1"/>
      </w:tcPr>
    </w:tblStylePr>
    <w:tblStylePr w:type="lastRow">
      <w:pPr>
        <w:spacing w:before="0" w:after="0" w:line="240" w:lineRule="auto"/>
      </w:pPr>
      <w:rPr>
        <w:b/>
        <w:bCs/>
      </w:rPr>
      <w:tblPr/>
      <w:tcPr>
        <w:tcBorders>
          <w:top w:val="double" w:sz="6" w:space="0" w:color="0A5157" w:themeColor="accent1"/>
          <w:left w:val="single" w:sz="8" w:space="0" w:color="0A5157" w:themeColor="accent1"/>
          <w:bottom w:val="single" w:sz="8" w:space="0" w:color="0A5157" w:themeColor="accent1"/>
          <w:right w:val="single" w:sz="8" w:space="0" w:color="0A5157" w:themeColor="accent1"/>
        </w:tcBorders>
      </w:tcPr>
    </w:tblStylePr>
    <w:tblStylePr w:type="firstCol">
      <w:rPr>
        <w:b/>
        <w:bCs/>
      </w:rPr>
    </w:tblStylePr>
    <w:tblStylePr w:type="lastCol">
      <w:rPr>
        <w:b/>
        <w:bCs/>
      </w:rPr>
    </w:tblStylePr>
    <w:tblStylePr w:type="band1Vert">
      <w:tblPr/>
      <w:tcPr>
        <w:tcBorders>
          <w:top w:val="single" w:sz="8" w:space="0" w:color="0A5157" w:themeColor="accent1"/>
          <w:left w:val="single" w:sz="8" w:space="0" w:color="0A5157" w:themeColor="accent1"/>
          <w:bottom w:val="single" w:sz="8" w:space="0" w:color="0A5157" w:themeColor="accent1"/>
          <w:right w:val="single" w:sz="8" w:space="0" w:color="0A5157" w:themeColor="accent1"/>
        </w:tcBorders>
      </w:tcPr>
    </w:tblStylePr>
    <w:tblStylePr w:type="band1Horz">
      <w:tblPr/>
      <w:tcPr>
        <w:tcBorders>
          <w:top w:val="single" w:sz="8" w:space="0" w:color="0A5157" w:themeColor="accent1"/>
          <w:left w:val="single" w:sz="8" w:space="0" w:color="0A5157" w:themeColor="accent1"/>
          <w:bottom w:val="single" w:sz="8" w:space="0" w:color="0A5157" w:themeColor="accent1"/>
          <w:right w:val="single" w:sz="8" w:space="0" w:color="0A5157" w:themeColor="accent1"/>
        </w:tcBorders>
      </w:tcPr>
    </w:tblStylePr>
  </w:style>
  <w:style w:type="character" w:styleId="EndnoteReference">
    <w:name w:val="endnote reference"/>
    <w:basedOn w:val="DefaultParagraphFont"/>
    <w:semiHidden/>
    <w:rsid w:val="00484090"/>
    <w:rPr>
      <w:vertAlign w:val="superscript"/>
    </w:rPr>
  </w:style>
  <w:style w:type="paragraph" w:styleId="EndnoteText">
    <w:name w:val="endnote text"/>
    <w:basedOn w:val="Normal"/>
    <w:link w:val="EndnoteTextChar"/>
    <w:semiHidden/>
    <w:rsid w:val="00484090"/>
    <w:pPr>
      <w:spacing w:before="120" w:after="0"/>
    </w:pPr>
    <w:rPr>
      <w:rFonts w:eastAsia="Times New Roman" w:cs="Times New Roman"/>
      <w:sz w:val="20"/>
      <w:szCs w:val="20"/>
    </w:rPr>
  </w:style>
  <w:style w:type="character" w:customStyle="1" w:styleId="EndnoteTextChar">
    <w:name w:val="Endnote Text Char"/>
    <w:basedOn w:val="DefaultParagraphFont"/>
    <w:link w:val="EndnoteText"/>
    <w:semiHidden/>
    <w:rsid w:val="00484090"/>
    <w:rPr>
      <w:rFonts w:ascii="Times New Roman" w:eastAsia="Times New Roman" w:hAnsi="Times New Roman" w:cs="Times New Roman"/>
      <w:sz w:val="20"/>
      <w:szCs w:val="20"/>
    </w:rPr>
  </w:style>
  <w:style w:type="character" w:customStyle="1" w:styleId="Heading5Char">
    <w:name w:val="Heading 5 Char"/>
    <w:basedOn w:val="DefaultParagraphFont"/>
    <w:link w:val="Heading5"/>
    <w:rsid w:val="00BC64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C6429"/>
    <w:rPr>
      <w:rFonts w:ascii="Times New Roman" w:eastAsia="Times New Roman" w:hAnsi="Times New Roman" w:cs="Times New Roman"/>
      <w:b/>
      <w:bCs/>
    </w:rPr>
  </w:style>
  <w:style w:type="character" w:customStyle="1" w:styleId="Heading7Char">
    <w:name w:val="Heading 7 Char"/>
    <w:basedOn w:val="DefaultParagraphFont"/>
    <w:link w:val="Heading7"/>
    <w:rsid w:val="00BC64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C64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C6429"/>
    <w:rPr>
      <w:rFonts w:ascii="Arial" w:eastAsia="Times New Roman" w:hAnsi="Arial" w:cs="Arial"/>
    </w:rPr>
  </w:style>
  <w:style w:type="paragraph" w:customStyle="1" w:styleId="Graph">
    <w:name w:val="Graph"/>
    <w:basedOn w:val="Normal"/>
    <w:link w:val="GraphChar"/>
    <w:qFormat/>
    <w:rsid w:val="00BC6429"/>
    <w:pPr>
      <w:spacing w:before="120" w:after="0"/>
      <w:jc w:val="center"/>
    </w:pPr>
    <w:rPr>
      <w:rFonts w:eastAsia="Times New Roman" w:cs="Times New Roman"/>
      <w:szCs w:val="24"/>
    </w:rPr>
  </w:style>
  <w:style w:type="character" w:customStyle="1" w:styleId="GraphChar">
    <w:name w:val="Graph Char"/>
    <w:basedOn w:val="DefaultParagraphFont"/>
    <w:link w:val="Graph"/>
    <w:rsid w:val="00BC6429"/>
    <w:rPr>
      <w:rFonts w:ascii="Times New Roman" w:eastAsia="Times New Roman" w:hAnsi="Times New Roman" w:cs="Times New Roman"/>
      <w:sz w:val="24"/>
      <w:szCs w:val="24"/>
    </w:rPr>
  </w:style>
  <w:style w:type="paragraph" w:customStyle="1" w:styleId="Minh">
    <w:name w:val="Minh"/>
    <w:basedOn w:val="BodyText2"/>
    <w:link w:val="MinhChar"/>
    <w:qFormat/>
    <w:rsid w:val="00C92E46"/>
    <w:pPr>
      <w:numPr>
        <w:numId w:val="7"/>
      </w:numPr>
      <w:spacing w:before="120" w:line="240" w:lineRule="auto"/>
    </w:pPr>
    <w:rPr>
      <w:rFonts w:eastAsia="Times New Roman" w:cs="Times New Roman"/>
      <w:color w:val="000000"/>
      <w:szCs w:val="24"/>
      <w:lang w:eastAsia="en-GB"/>
    </w:rPr>
  </w:style>
  <w:style w:type="character" w:customStyle="1" w:styleId="MinhChar">
    <w:name w:val="Minh Char"/>
    <w:basedOn w:val="BodyText2Char"/>
    <w:link w:val="Minh"/>
    <w:rsid w:val="00C92E46"/>
    <w:rPr>
      <w:rFonts w:ascii="Times New Roman" w:eastAsia="Times New Roman" w:hAnsi="Times New Roman" w:cs="Times New Roman"/>
      <w:color w:val="000000"/>
      <w:sz w:val="24"/>
      <w:szCs w:val="24"/>
      <w:lang w:eastAsia="en-GB"/>
    </w:rPr>
  </w:style>
  <w:style w:type="paragraph" w:styleId="BodyText2">
    <w:name w:val="Body Text 2"/>
    <w:basedOn w:val="Normal"/>
    <w:link w:val="BodyText2Char"/>
    <w:uiPriority w:val="99"/>
    <w:semiHidden/>
    <w:unhideWhenUsed/>
    <w:rsid w:val="00C92E46"/>
    <w:pPr>
      <w:spacing w:after="120" w:line="480" w:lineRule="auto"/>
    </w:pPr>
  </w:style>
  <w:style w:type="character" w:customStyle="1" w:styleId="BodyText2Char">
    <w:name w:val="Body Text 2 Char"/>
    <w:basedOn w:val="DefaultParagraphFont"/>
    <w:link w:val="BodyText2"/>
    <w:uiPriority w:val="99"/>
    <w:semiHidden/>
    <w:rsid w:val="00C92E46"/>
    <w:rPr>
      <w:rFonts w:ascii="Times New Roman" w:hAnsi="Times New Roman"/>
      <w:sz w:val="24"/>
    </w:rPr>
  </w:style>
  <w:style w:type="paragraph" w:styleId="Quote">
    <w:name w:val="Quote"/>
    <w:basedOn w:val="Normal"/>
    <w:next w:val="Normal"/>
    <w:link w:val="QuoteChar"/>
    <w:uiPriority w:val="29"/>
    <w:qFormat/>
    <w:rsid w:val="006E7588"/>
    <w:pPr>
      <w:spacing w:before="120" w:after="0"/>
      <w:ind w:left="720" w:right="864"/>
    </w:pPr>
    <w:rPr>
      <w:rFonts w:eastAsia="Times New Roman" w:cs="Times New Roman"/>
      <w:i/>
      <w:iCs/>
      <w:color w:val="021F43" w:themeColor="text1"/>
      <w:szCs w:val="24"/>
    </w:rPr>
  </w:style>
  <w:style w:type="character" w:customStyle="1" w:styleId="QuoteChar">
    <w:name w:val="Quote Char"/>
    <w:basedOn w:val="DefaultParagraphFont"/>
    <w:link w:val="Quote"/>
    <w:uiPriority w:val="29"/>
    <w:rsid w:val="006E7588"/>
    <w:rPr>
      <w:rFonts w:ascii="Times New Roman" w:eastAsia="Times New Roman" w:hAnsi="Times New Roman" w:cs="Times New Roman"/>
      <w:i/>
      <w:iCs/>
      <w:color w:val="021F43" w:themeColor="text1"/>
      <w:sz w:val="24"/>
      <w:szCs w:val="24"/>
    </w:rPr>
  </w:style>
  <w:style w:type="paragraph" w:customStyle="1" w:styleId="Default">
    <w:name w:val="Default"/>
    <w:rsid w:val="00AE0C91"/>
    <w:pPr>
      <w:autoSpaceDE w:val="0"/>
      <w:autoSpaceDN w:val="0"/>
      <w:adjustRightInd w:val="0"/>
    </w:pPr>
    <w:rPr>
      <w:rFonts w:ascii="Calibri" w:hAnsi="Calibri" w:cs="Calibri"/>
      <w:color w:val="000000"/>
      <w:sz w:val="24"/>
      <w:szCs w:val="24"/>
    </w:rPr>
  </w:style>
  <w:style w:type="paragraph" w:customStyle="1" w:styleId="footnotedescription">
    <w:name w:val="footnote description"/>
    <w:next w:val="Normal"/>
    <w:link w:val="footnotedescriptionChar"/>
    <w:hidden/>
    <w:rsid w:val="00AE0C91"/>
    <w:pPr>
      <w:spacing w:line="259" w:lineRule="auto"/>
      <w:jc w:val="right"/>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AE0C91"/>
    <w:rPr>
      <w:rFonts w:ascii="Times New Roman" w:eastAsia="Times New Roman" w:hAnsi="Times New Roman" w:cs="Times New Roman"/>
      <w:color w:val="000000"/>
      <w:sz w:val="20"/>
    </w:rPr>
  </w:style>
  <w:style w:type="character" w:customStyle="1" w:styleId="footnotemark">
    <w:name w:val="footnote mark"/>
    <w:hidden/>
    <w:rsid w:val="00AE0C91"/>
    <w:rPr>
      <w:rFonts w:ascii="Times New Roman" w:eastAsia="Times New Roman" w:hAnsi="Times New Roman" w:cs="Times New Roman"/>
      <w:color w:val="000000"/>
      <w:sz w:val="20"/>
      <w:vertAlign w:val="superscript"/>
    </w:rPr>
  </w:style>
  <w:style w:type="character" w:styleId="HTMLTypewriter">
    <w:name w:val="HTML Typewriter"/>
    <w:rsid w:val="00AE0C91"/>
    <w:rPr>
      <w:rFonts w:ascii="Courier New" w:eastAsia="Courier New" w:hAnsi="Courier New" w:cs="Courier New"/>
      <w:sz w:val="20"/>
      <w:szCs w:val="20"/>
    </w:rPr>
  </w:style>
  <w:style w:type="character" w:styleId="Emphasis">
    <w:name w:val="Emphasis"/>
    <w:basedOn w:val="DefaultParagraphFont"/>
    <w:uiPriority w:val="20"/>
    <w:qFormat/>
    <w:rsid w:val="005A71CA"/>
    <w:rPr>
      <w:i/>
      <w:iCs/>
    </w:rPr>
  </w:style>
  <w:style w:type="numbering" w:customStyle="1" w:styleId="NoList1">
    <w:name w:val="No List1"/>
    <w:next w:val="NoList"/>
    <w:uiPriority w:val="99"/>
    <w:semiHidden/>
    <w:unhideWhenUsed/>
    <w:rsid w:val="00DB2592"/>
  </w:style>
  <w:style w:type="table" w:customStyle="1" w:styleId="TableGrid1">
    <w:name w:val="Table Grid1"/>
    <w:basedOn w:val="TableNormal"/>
    <w:next w:val="TableGrid"/>
    <w:uiPriority w:val="59"/>
    <w:rsid w:val="00DB2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2A6FFC"/>
    <w:rPr>
      <w:sz w:val="20"/>
      <w:szCs w:val="20"/>
    </w:rPr>
  </w:style>
  <w:style w:type="character" w:customStyle="1" w:styleId="CommentTextChar">
    <w:name w:val="Comment Text Char"/>
    <w:basedOn w:val="DefaultParagraphFont"/>
    <w:link w:val="CommentText"/>
    <w:semiHidden/>
    <w:rsid w:val="002A6FF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A6FFC"/>
    <w:rPr>
      <w:b/>
      <w:bCs/>
    </w:rPr>
  </w:style>
  <w:style w:type="character" w:customStyle="1" w:styleId="CommentSubjectChar">
    <w:name w:val="Comment Subject Char"/>
    <w:basedOn w:val="CommentTextChar"/>
    <w:link w:val="CommentSubject"/>
    <w:uiPriority w:val="99"/>
    <w:semiHidden/>
    <w:rsid w:val="002A6FFC"/>
    <w:rPr>
      <w:rFonts w:ascii="Times New Roman" w:hAnsi="Times New Roman"/>
      <w:b/>
      <w:bCs/>
      <w:sz w:val="20"/>
      <w:szCs w:val="20"/>
    </w:rPr>
  </w:style>
  <w:style w:type="character" w:customStyle="1" w:styleId="EndNoteBibliographyChar">
    <w:name w:val="EndNote Bibliography Char"/>
    <w:basedOn w:val="DefaultParagraphFont"/>
    <w:link w:val="EndNoteBibliography"/>
    <w:locked/>
    <w:rsid w:val="009C6948"/>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9C6948"/>
    <w:pPr>
      <w:spacing w:before="120" w:after="0"/>
    </w:pPr>
    <w:rPr>
      <w:rFonts w:cs="Times New Roman"/>
      <w:noProof/>
      <w:szCs w:val="24"/>
    </w:rPr>
  </w:style>
  <w:style w:type="character" w:styleId="FollowedHyperlink">
    <w:name w:val="FollowedHyperlink"/>
    <w:basedOn w:val="DefaultParagraphFont"/>
    <w:uiPriority w:val="99"/>
    <w:semiHidden/>
    <w:unhideWhenUsed/>
    <w:rsid w:val="009C7587"/>
    <w:rPr>
      <w:color w:val="0B5740" w:themeColor="followedHyperlink"/>
      <w:u w:val="single"/>
    </w:rPr>
  </w:style>
  <w:style w:type="character" w:styleId="Strong">
    <w:name w:val="Strong"/>
    <w:basedOn w:val="DefaultParagraphFont"/>
    <w:uiPriority w:val="22"/>
    <w:qFormat/>
    <w:rsid w:val="00AC3B1E"/>
    <w:rPr>
      <w:b/>
      <w:bCs/>
    </w:rPr>
  </w:style>
  <w:style w:type="paragraph" w:styleId="IntenseQuote">
    <w:name w:val="Intense Quote"/>
    <w:basedOn w:val="Normal"/>
    <w:next w:val="Normal"/>
    <w:link w:val="IntenseQuoteChar"/>
    <w:uiPriority w:val="30"/>
    <w:qFormat/>
    <w:rsid w:val="00AC3B1E"/>
    <w:pPr>
      <w:pBdr>
        <w:bottom w:val="single" w:sz="4" w:space="4" w:color="0A5157" w:themeColor="accent1"/>
      </w:pBdr>
      <w:spacing w:before="200" w:after="280"/>
      <w:ind w:left="936" w:right="936"/>
    </w:pPr>
    <w:rPr>
      <w:b/>
      <w:bCs/>
      <w:i/>
      <w:iCs/>
      <w:color w:val="0A5157" w:themeColor="accent1"/>
    </w:rPr>
  </w:style>
  <w:style w:type="character" w:customStyle="1" w:styleId="IntenseQuoteChar">
    <w:name w:val="Intense Quote Char"/>
    <w:basedOn w:val="DefaultParagraphFont"/>
    <w:link w:val="IntenseQuote"/>
    <w:uiPriority w:val="30"/>
    <w:rsid w:val="00AC3B1E"/>
    <w:rPr>
      <w:rFonts w:ascii="Times New Roman" w:hAnsi="Times New Roman"/>
      <w:b/>
      <w:bCs/>
      <w:i/>
      <w:iCs/>
      <w:color w:val="0A5157" w:themeColor="accent1"/>
      <w:sz w:val="24"/>
    </w:rPr>
  </w:style>
  <w:style w:type="character" w:styleId="SubtleReference">
    <w:name w:val="Subtle Reference"/>
    <w:basedOn w:val="DefaultParagraphFont"/>
    <w:uiPriority w:val="31"/>
    <w:qFormat/>
    <w:rsid w:val="00AC3B1E"/>
    <w:rPr>
      <w:smallCaps/>
      <w:color w:val="18B844" w:themeColor="accent2"/>
      <w:u w:val="single"/>
    </w:rPr>
  </w:style>
  <w:style w:type="character" w:styleId="IntenseReference">
    <w:name w:val="Intense Reference"/>
    <w:basedOn w:val="DefaultParagraphFont"/>
    <w:uiPriority w:val="32"/>
    <w:qFormat/>
    <w:rsid w:val="00AC3B1E"/>
    <w:rPr>
      <w:b/>
      <w:bCs/>
      <w:smallCaps/>
      <w:color w:val="18B844" w:themeColor="accent2"/>
      <w:spacing w:val="5"/>
      <w:u w:val="single"/>
    </w:rPr>
  </w:style>
  <w:style w:type="character" w:styleId="BookTitle">
    <w:name w:val="Book Title"/>
    <w:basedOn w:val="DefaultParagraphFont"/>
    <w:uiPriority w:val="33"/>
    <w:qFormat/>
    <w:rsid w:val="00AC3B1E"/>
    <w:rPr>
      <w:b/>
      <w:bCs/>
      <w:smallCaps/>
      <w:spacing w:val="5"/>
    </w:rPr>
  </w:style>
  <w:style w:type="table" w:customStyle="1" w:styleId="TableGrid2">
    <w:name w:val="Table Grid2"/>
    <w:basedOn w:val="TableNormal"/>
    <w:next w:val="TableGrid"/>
    <w:uiPriority w:val="59"/>
    <w:rsid w:val="00006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416B0"/>
  </w:style>
  <w:style w:type="character" w:customStyle="1" w:styleId="italic1">
    <w:name w:val="italic1"/>
    <w:basedOn w:val="DefaultParagraphFont"/>
    <w:rsid w:val="0029508E"/>
    <w:rPr>
      <w:i/>
      <w:iCs/>
    </w:rPr>
  </w:style>
  <w:style w:type="table" w:customStyle="1" w:styleId="GridTable3-Accent31">
    <w:name w:val="Grid Table 3 - Accent 31"/>
    <w:basedOn w:val="TableNormal"/>
    <w:uiPriority w:val="48"/>
    <w:rsid w:val="002B0617"/>
    <w:tblPr>
      <w:tblStyleRowBandSize w:val="1"/>
      <w:tblStyleColBandSize w:val="1"/>
      <w:tblBorders>
        <w:top w:val="single" w:sz="4" w:space="0" w:color="F9C561" w:themeColor="accent3" w:themeTint="99"/>
        <w:left w:val="single" w:sz="4" w:space="0" w:color="F9C561" w:themeColor="accent3" w:themeTint="99"/>
        <w:bottom w:val="single" w:sz="4" w:space="0" w:color="F9C561" w:themeColor="accent3" w:themeTint="99"/>
        <w:right w:val="single" w:sz="4" w:space="0" w:color="F9C561" w:themeColor="accent3" w:themeTint="99"/>
        <w:insideH w:val="single" w:sz="4" w:space="0" w:color="F9C561" w:themeColor="accent3" w:themeTint="99"/>
        <w:insideV w:val="single" w:sz="4" w:space="0" w:color="F9C56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CA" w:themeFill="accent3" w:themeFillTint="33"/>
      </w:tcPr>
    </w:tblStylePr>
    <w:tblStylePr w:type="band1Horz">
      <w:tblPr/>
      <w:tcPr>
        <w:shd w:val="clear" w:color="auto" w:fill="FDEBCA" w:themeFill="accent3" w:themeFillTint="33"/>
      </w:tcPr>
    </w:tblStylePr>
    <w:tblStylePr w:type="neCell">
      <w:tblPr/>
      <w:tcPr>
        <w:tcBorders>
          <w:bottom w:val="single" w:sz="4" w:space="0" w:color="F9C561" w:themeColor="accent3" w:themeTint="99"/>
        </w:tcBorders>
      </w:tcPr>
    </w:tblStylePr>
    <w:tblStylePr w:type="nwCell">
      <w:tblPr/>
      <w:tcPr>
        <w:tcBorders>
          <w:bottom w:val="single" w:sz="4" w:space="0" w:color="F9C561" w:themeColor="accent3" w:themeTint="99"/>
        </w:tcBorders>
      </w:tcPr>
    </w:tblStylePr>
    <w:tblStylePr w:type="seCell">
      <w:tblPr/>
      <w:tcPr>
        <w:tcBorders>
          <w:top w:val="single" w:sz="4" w:space="0" w:color="F9C561" w:themeColor="accent3" w:themeTint="99"/>
        </w:tcBorders>
      </w:tcPr>
    </w:tblStylePr>
    <w:tblStylePr w:type="swCell">
      <w:tblPr/>
      <w:tcPr>
        <w:tcBorders>
          <w:top w:val="single" w:sz="4" w:space="0" w:color="F9C561" w:themeColor="accent3" w:themeTint="99"/>
        </w:tcBorders>
      </w:tcPr>
    </w:tblStylePr>
  </w:style>
  <w:style w:type="paragraph" w:styleId="TableofFigures">
    <w:name w:val="table of figures"/>
    <w:basedOn w:val="Normal"/>
    <w:next w:val="Normal"/>
    <w:uiPriority w:val="99"/>
    <w:unhideWhenUsed/>
    <w:rsid w:val="00892767"/>
    <w:pPr>
      <w:spacing w:after="0"/>
    </w:pPr>
  </w:style>
  <w:style w:type="paragraph" w:styleId="Revision">
    <w:name w:val="Revision"/>
    <w:hidden/>
    <w:uiPriority w:val="99"/>
    <w:semiHidden/>
    <w:rsid w:val="0098173B"/>
    <w:pPr>
      <w:spacing w:after="0"/>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1241">
      <w:bodyDiv w:val="1"/>
      <w:marLeft w:val="0"/>
      <w:marRight w:val="0"/>
      <w:marTop w:val="0"/>
      <w:marBottom w:val="0"/>
      <w:divBdr>
        <w:top w:val="none" w:sz="0" w:space="0" w:color="auto"/>
        <w:left w:val="none" w:sz="0" w:space="0" w:color="auto"/>
        <w:bottom w:val="none" w:sz="0" w:space="0" w:color="auto"/>
        <w:right w:val="none" w:sz="0" w:space="0" w:color="auto"/>
      </w:divBdr>
    </w:div>
    <w:div w:id="70126652">
      <w:bodyDiv w:val="1"/>
      <w:marLeft w:val="0"/>
      <w:marRight w:val="0"/>
      <w:marTop w:val="0"/>
      <w:marBottom w:val="0"/>
      <w:divBdr>
        <w:top w:val="none" w:sz="0" w:space="0" w:color="auto"/>
        <w:left w:val="none" w:sz="0" w:space="0" w:color="auto"/>
        <w:bottom w:val="none" w:sz="0" w:space="0" w:color="auto"/>
        <w:right w:val="none" w:sz="0" w:space="0" w:color="auto"/>
      </w:divBdr>
    </w:div>
    <w:div w:id="109472341">
      <w:bodyDiv w:val="1"/>
      <w:marLeft w:val="0"/>
      <w:marRight w:val="0"/>
      <w:marTop w:val="0"/>
      <w:marBottom w:val="0"/>
      <w:divBdr>
        <w:top w:val="none" w:sz="0" w:space="0" w:color="auto"/>
        <w:left w:val="none" w:sz="0" w:space="0" w:color="auto"/>
        <w:bottom w:val="none" w:sz="0" w:space="0" w:color="auto"/>
        <w:right w:val="none" w:sz="0" w:space="0" w:color="auto"/>
      </w:divBdr>
    </w:div>
    <w:div w:id="177276375">
      <w:bodyDiv w:val="1"/>
      <w:marLeft w:val="0"/>
      <w:marRight w:val="0"/>
      <w:marTop w:val="0"/>
      <w:marBottom w:val="0"/>
      <w:divBdr>
        <w:top w:val="none" w:sz="0" w:space="0" w:color="auto"/>
        <w:left w:val="none" w:sz="0" w:space="0" w:color="auto"/>
        <w:bottom w:val="none" w:sz="0" w:space="0" w:color="auto"/>
        <w:right w:val="none" w:sz="0" w:space="0" w:color="auto"/>
      </w:divBdr>
    </w:div>
    <w:div w:id="233509077">
      <w:bodyDiv w:val="1"/>
      <w:marLeft w:val="0"/>
      <w:marRight w:val="0"/>
      <w:marTop w:val="0"/>
      <w:marBottom w:val="0"/>
      <w:divBdr>
        <w:top w:val="none" w:sz="0" w:space="0" w:color="auto"/>
        <w:left w:val="none" w:sz="0" w:space="0" w:color="auto"/>
        <w:bottom w:val="none" w:sz="0" w:space="0" w:color="auto"/>
        <w:right w:val="none" w:sz="0" w:space="0" w:color="auto"/>
      </w:divBdr>
    </w:div>
    <w:div w:id="416169080">
      <w:bodyDiv w:val="1"/>
      <w:marLeft w:val="0"/>
      <w:marRight w:val="0"/>
      <w:marTop w:val="0"/>
      <w:marBottom w:val="0"/>
      <w:divBdr>
        <w:top w:val="none" w:sz="0" w:space="0" w:color="auto"/>
        <w:left w:val="none" w:sz="0" w:space="0" w:color="auto"/>
        <w:bottom w:val="none" w:sz="0" w:space="0" w:color="auto"/>
        <w:right w:val="none" w:sz="0" w:space="0" w:color="auto"/>
      </w:divBdr>
    </w:div>
    <w:div w:id="431128483">
      <w:bodyDiv w:val="1"/>
      <w:marLeft w:val="0"/>
      <w:marRight w:val="0"/>
      <w:marTop w:val="0"/>
      <w:marBottom w:val="0"/>
      <w:divBdr>
        <w:top w:val="none" w:sz="0" w:space="0" w:color="auto"/>
        <w:left w:val="none" w:sz="0" w:space="0" w:color="auto"/>
        <w:bottom w:val="none" w:sz="0" w:space="0" w:color="auto"/>
        <w:right w:val="none" w:sz="0" w:space="0" w:color="auto"/>
      </w:divBdr>
    </w:div>
    <w:div w:id="522206648">
      <w:bodyDiv w:val="1"/>
      <w:marLeft w:val="0"/>
      <w:marRight w:val="0"/>
      <w:marTop w:val="0"/>
      <w:marBottom w:val="0"/>
      <w:divBdr>
        <w:top w:val="none" w:sz="0" w:space="0" w:color="auto"/>
        <w:left w:val="none" w:sz="0" w:space="0" w:color="auto"/>
        <w:bottom w:val="none" w:sz="0" w:space="0" w:color="auto"/>
        <w:right w:val="none" w:sz="0" w:space="0" w:color="auto"/>
      </w:divBdr>
    </w:div>
    <w:div w:id="544827262">
      <w:bodyDiv w:val="1"/>
      <w:marLeft w:val="0"/>
      <w:marRight w:val="0"/>
      <w:marTop w:val="0"/>
      <w:marBottom w:val="0"/>
      <w:divBdr>
        <w:top w:val="none" w:sz="0" w:space="0" w:color="auto"/>
        <w:left w:val="none" w:sz="0" w:space="0" w:color="auto"/>
        <w:bottom w:val="none" w:sz="0" w:space="0" w:color="auto"/>
        <w:right w:val="none" w:sz="0" w:space="0" w:color="auto"/>
      </w:divBdr>
    </w:div>
    <w:div w:id="604004388">
      <w:bodyDiv w:val="1"/>
      <w:marLeft w:val="0"/>
      <w:marRight w:val="0"/>
      <w:marTop w:val="0"/>
      <w:marBottom w:val="0"/>
      <w:divBdr>
        <w:top w:val="none" w:sz="0" w:space="0" w:color="auto"/>
        <w:left w:val="none" w:sz="0" w:space="0" w:color="auto"/>
        <w:bottom w:val="none" w:sz="0" w:space="0" w:color="auto"/>
        <w:right w:val="none" w:sz="0" w:space="0" w:color="auto"/>
      </w:divBdr>
    </w:div>
    <w:div w:id="686057906">
      <w:bodyDiv w:val="1"/>
      <w:marLeft w:val="0"/>
      <w:marRight w:val="0"/>
      <w:marTop w:val="0"/>
      <w:marBottom w:val="0"/>
      <w:divBdr>
        <w:top w:val="none" w:sz="0" w:space="0" w:color="auto"/>
        <w:left w:val="none" w:sz="0" w:space="0" w:color="auto"/>
        <w:bottom w:val="none" w:sz="0" w:space="0" w:color="auto"/>
        <w:right w:val="none" w:sz="0" w:space="0" w:color="auto"/>
      </w:divBdr>
    </w:div>
    <w:div w:id="708188338">
      <w:bodyDiv w:val="1"/>
      <w:marLeft w:val="0"/>
      <w:marRight w:val="0"/>
      <w:marTop w:val="0"/>
      <w:marBottom w:val="0"/>
      <w:divBdr>
        <w:top w:val="none" w:sz="0" w:space="0" w:color="auto"/>
        <w:left w:val="none" w:sz="0" w:space="0" w:color="auto"/>
        <w:bottom w:val="none" w:sz="0" w:space="0" w:color="auto"/>
        <w:right w:val="none" w:sz="0" w:space="0" w:color="auto"/>
      </w:divBdr>
    </w:div>
    <w:div w:id="754087332">
      <w:bodyDiv w:val="1"/>
      <w:marLeft w:val="0"/>
      <w:marRight w:val="0"/>
      <w:marTop w:val="0"/>
      <w:marBottom w:val="0"/>
      <w:divBdr>
        <w:top w:val="none" w:sz="0" w:space="0" w:color="auto"/>
        <w:left w:val="none" w:sz="0" w:space="0" w:color="auto"/>
        <w:bottom w:val="none" w:sz="0" w:space="0" w:color="auto"/>
        <w:right w:val="none" w:sz="0" w:space="0" w:color="auto"/>
      </w:divBdr>
      <w:divsChild>
        <w:div w:id="1858039477">
          <w:marLeft w:val="0"/>
          <w:marRight w:val="0"/>
          <w:marTop w:val="0"/>
          <w:marBottom w:val="0"/>
          <w:divBdr>
            <w:top w:val="none" w:sz="0" w:space="0" w:color="auto"/>
            <w:left w:val="none" w:sz="0" w:space="0" w:color="auto"/>
            <w:bottom w:val="none" w:sz="0" w:space="0" w:color="auto"/>
            <w:right w:val="none" w:sz="0" w:space="0" w:color="auto"/>
          </w:divBdr>
          <w:divsChild>
            <w:div w:id="766342325">
              <w:marLeft w:val="0"/>
              <w:marRight w:val="0"/>
              <w:marTop w:val="0"/>
              <w:marBottom w:val="0"/>
              <w:divBdr>
                <w:top w:val="none" w:sz="0" w:space="0" w:color="auto"/>
                <w:left w:val="none" w:sz="0" w:space="0" w:color="auto"/>
                <w:bottom w:val="none" w:sz="0" w:space="0" w:color="auto"/>
                <w:right w:val="none" w:sz="0" w:space="0" w:color="auto"/>
              </w:divBdr>
              <w:divsChild>
                <w:div w:id="1750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02364">
      <w:bodyDiv w:val="1"/>
      <w:marLeft w:val="0"/>
      <w:marRight w:val="0"/>
      <w:marTop w:val="0"/>
      <w:marBottom w:val="0"/>
      <w:divBdr>
        <w:top w:val="none" w:sz="0" w:space="0" w:color="auto"/>
        <w:left w:val="none" w:sz="0" w:space="0" w:color="auto"/>
        <w:bottom w:val="none" w:sz="0" w:space="0" w:color="auto"/>
        <w:right w:val="none" w:sz="0" w:space="0" w:color="auto"/>
      </w:divBdr>
    </w:div>
    <w:div w:id="861669948">
      <w:bodyDiv w:val="1"/>
      <w:marLeft w:val="0"/>
      <w:marRight w:val="0"/>
      <w:marTop w:val="0"/>
      <w:marBottom w:val="0"/>
      <w:divBdr>
        <w:top w:val="none" w:sz="0" w:space="0" w:color="auto"/>
        <w:left w:val="none" w:sz="0" w:space="0" w:color="auto"/>
        <w:bottom w:val="none" w:sz="0" w:space="0" w:color="auto"/>
        <w:right w:val="none" w:sz="0" w:space="0" w:color="auto"/>
      </w:divBdr>
    </w:div>
    <w:div w:id="930968098">
      <w:bodyDiv w:val="1"/>
      <w:marLeft w:val="0"/>
      <w:marRight w:val="0"/>
      <w:marTop w:val="0"/>
      <w:marBottom w:val="0"/>
      <w:divBdr>
        <w:top w:val="none" w:sz="0" w:space="0" w:color="auto"/>
        <w:left w:val="none" w:sz="0" w:space="0" w:color="auto"/>
        <w:bottom w:val="none" w:sz="0" w:space="0" w:color="auto"/>
        <w:right w:val="none" w:sz="0" w:space="0" w:color="auto"/>
      </w:divBdr>
    </w:div>
    <w:div w:id="1041326903">
      <w:bodyDiv w:val="1"/>
      <w:marLeft w:val="0"/>
      <w:marRight w:val="0"/>
      <w:marTop w:val="0"/>
      <w:marBottom w:val="0"/>
      <w:divBdr>
        <w:top w:val="none" w:sz="0" w:space="0" w:color="auto"/>
        <w:left w:val="none" w:sz="0" w:space="0" w:color="auto"/>
        <w:bottom w:val="none" w:sz="0" w:space="0" w:color="auto"/>
        <w:right w:val="none" w:sz="0" w:space="0" w:color="auto"/>
      </w:divBdr>
    </w:div>
    <w:div w:id="1076054548">
      <w:bodyDiv w:val="1"/>
      <w:marLeft w:val="0"/>
      <w:marRight w:val="0"/>
      <w:marTop w:val="0"/>
      <w:marBottom w:val="0"/>
      <w:divBdr>
        <w:top w:val="none" w:sz="0" w:space="0" w:color="auto"/>
        <w:left w:val="none" w:sz="0" w:space="0" w:color="auto"/>
        <w:bottom w:val="none" w:sz="0" w:space="0" w:color="auto"/>
        <w:right w:val="none" w:sz="0" w:space="0" w:color="auto"/>
      </w:divBdr>
      <w:divsChild>
        <w:div w:id="1585532448">
          <w:marLeft w:val="0"/>
          <w:marRight w:val="0"/>
          <w:marTop w:val="0"/>
          <w:marBottom w:val="0"/>
          <w:divBdr>
            <w:top w:val="none" w:sz="0" w:space="0" w:color="auto"/>
            <w:left w:val="none" w:sz="0" w:space="0" w:color="auto"/>
            <w:bottom w:val="none" w:sz="0" w:space="0" w:color="auto"/>
            <w:right w:val="none" w:sz="0" w:space="0" w:color="auto"/>
          </w:divBdr>
        </w:div>
      </w:divsChild>
    </w:div>
    <w:div w:id="1222401395">
      <w:bodyDiv w:val="1"/>
      <w:marLeft w:val="0"/>
      <w:marRight w:val="0"/>
      <w:marTop w:val="0"/>
      <w:marBottom w:val="0"/>
      <w:divBdr>
        <w:top w:val="none" w:sz="0" w:space="0" w:color="auto"/>
        <w:left w:val="none" w:sz="0" w:space="0" w:color="auto"/>
        <w:bottom w:val="none" w:sz="0" w:space="0" w:color="auto"/>
        <w:right w:val="none" w:sz="0" w:space="0" w:color="auto"/>
      </w:divBdr>
    </w:div>
    <w:div w:id="1234046353">
      <w:bodyDiv w:val="1"/>
      <w:marLeft w:val="0"/>
      <w:marRight w:val="0"/>
      <w:marTop w:val="0"/>
      <w:marBottom w:val="0"/>
      <w:divBdr>
        <w:top w:val="none" w:sz="0" w:space="0" w:color="auto"/>
        <w:left w:val="none" w:sz="0" w:space="0" w:color="auto"/>
        <w:bottom w:val="none" w:sz="0" w:space="0" w:color="auto"/>
        <w:right w:val="none" w:sz="0" w:space="0" w:color="auto"/>
      </w:divBdr>
    </w:div>
    <w:div w:id="1244484379">
      <w:bodyDiv w:val="1"/>
      <w:marLeft w:val="0"/>
      <w:marRight w:val="0"/>
      <w:marTop w:val="0"/>
      <w:marBottom w:val="0"/>
      <w:divBdr>
        <w:top w:val="none" w:sz="0" w:space="0" w:color="auto"/>
        <w:left w:val="none" w:sz="0" w:space="0" w:color="auto"/>
        <w:bottom w:val="none" w:sz="0" w:space="0" w:color="auto"/>
        <w:right w:val="none" w:sz="0" w:space="0" w:color="auto"/>
      </w:divBdr>
    </w:div>
    <w:div w:id="1247686768">
      <w:bodyDiv w:val="1"/>
      <w:marLeft w:val="0"/>
      <w:marRight w:val="0"/>
      <w:marTop w:val="0"/>
      <w:marBottom w:val="0"/>
      <w:divBdr>
        <w:top w:val="none" w:sz="0" w:space="0" w:color="auto"/>
        <w:left w:val="none" w:sz="0" w:space="0" w:color="auto"/>
        <w:bottom w:val="none" w:sz="0" w:space="0" w:color="auto"/>
        <w:right w:val="none" w:sz="0" w:space="0" w:color="auto"/>
      </w:divBdr>
    </w:div>
    <w:div w:id="1320040932">
      <w:bodyDiv w:val="1"/>
      <w:marLeft w:val="0"/>
      <w:marRight w:val="0"/>
      <w:marTop w:val="0"/>
      <w:marBottom w:val="0"/>
      <w:divBdr>
        <w:top w:val="none" w:sz="0" w:space="0" w:color="auto"/>
        <w:left w:val="none" w:sz="0" w:space="0" w:color="auto"/>
        <w:bottom w:val="none" w:sz="0" w:space="0" w:color="auto"/>
        <w:right w:val="none" w:sz="0" w:space="0" w:color="auto"/>
      </w:divBdr>
    </w:div>
    <w:div w:id="1371799823">
      <w:bodyDiv w:val="1"/>
      <w:marLeft w:val="0"/>
      <w:marRight w:val="0"/>
      <w:marTop w:val="0"/>
      <w:marBottom w:val="0"/>
      <w:divBdr>
        <w:top w:val="none" w:sz="0" w:space="0" w:color="auto"/>
        <w:left w:val="none" w:sz="0" w:space="0" w:color="auto"/>
        <w:bottom w:val="none" w:sz="0" w:space="0" w:color="auto"/>
        <w:right w:val="none" w:sz="0" w:space="0" w:color="auto"/>
      </w:divBdr>
    </w:div>
    <w:div w:id="1378966297">
      <w:bodyDiv w:val="1"/>
      <w:marLeft w:val="0"/>
      <w:marRight w:val="0"/>
      <w:marTop w:val="0"/>
      <w:marBottom w:val="0"/>
      <w:divBdr>
        <w:top w:val="none" w:sz="0" w:space="0" w:color="auto"/>
        <w:left w:val="none" w:sz="0" w:space="0" w:color="auto"/>
        <w:bottom w:val="none" w:sz="0" w:space="0" w:color="auto"/>
        <w:right w:val="none" w:sz="0" w:space="0" w:color="auto"/>
      </w:divBdr>
    </w:div>
    <w:div w:id="1442340287">
      <w:bodyDiv w:val="1"/>
      <w:marLeft w:val="0"/>
      <w:marRight w:val="0"/>
      <w:marTop w:val="0"/>
      <w:marBottom w:val="0"/>
      <w:divBdr>
        <w:top w:val="none" w:sz="0" w:space="0" w:color="auto"/>
        <w:left w:val="none" w:sz="0" w:space="0" w:color="auto"/>
        <w:bottom w:val="none" w:sz="0" w:space="0" w:color="auto"/>
        <w:right w:val="none" w:sz="0" w:space="0" w:color="auto"/>
      </w:divBdr>
    </w:div>
    <w:div w:id="1447234341">
      <w:bodyDiv w:val="1"/>
      <w:marLeft w:val="0"/>
      <w:marRight w:val="0"/>
      <w:marTop w:val="0"/>
      <w:marBottom w:val="0"/>
      <w:divBdr>
        <w:top w:val="none" w:sz="0" w:space="0" w:color="auto"/>
        <w:left w:val="none" w:sz="0" w:space="0" w:color="auto"/>
        <w:bottom w:val="none" w:sz="0" w:space="0" w:color="auto"/>
        <w:right w:val="none" w:sz="0" w:space="0" w:color="auto"/>
      </w:divBdr>
      <w:divsChild>
        <w:div w:id="1730222681">
          <w:marLeft w:val="0"/>
          <w:marRight w:val="0"/>
          <w:marTop w:val="0"/>
          <w:marBottom w:val="0"/>
          <w:divBdr>
            <w:top w:val="none" w:sz="0" w:space="0" w:color="auto"/>
            <w:left w:val="none" w:sz="0" w:space="0" w:color="auto"/>
            <w:bottom w:val="none" w:sz="0" w:space="0" w:color="auto"/>
            <w:right w:val="none" w:sz="0" w:space="0" w:color="auto"/>
          </w:divBdr>
          <w:divsChild>
            <w:div w:id="1780710892">
              <w:marLeft w:val="0"/>
              <w:marRight w:val="0"/>
              <w:marTop w:val="0"/>
              <w:marBottom w:val="0"/>
              <w:divBdr>
                <w:top w:val="none" w:sz="0" w:space="0" w:color="auto"/>
                <w:left w:val="none" w:sz="0" w:space="0" w:color="auto"/>
                <w:bottom w:val="none" w:sz="0" w:space="0" w:color="auto"/>
                <w:right w:val="none" w:sz="0" w:space="0" w:color="auto"/>
              </w:divBdr>
              <w:divsChild>
                <w:div w:id="20716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17636">
      <w:bodyDiv w:val="1"/>
      <w:marLeft w:val="0"/>
      <w:marRight w:val="0"/>
      <w:marTop w:val="0"/>
      <w:marBottom w:val="0"/>
      <w:divBdr>
        <w:top w:val="none" w:sz="0" w:space="0" w:color="auto"/>
        <w:left w:val="none" w:sz="0" w:space="0" w:color="auto"/>
        <w:bottom w:val="none" w:sz="0" w:space="0" w:color="auto"/>
        <w:right w:val="none" w:sz="0" w:space="0" w:color="auto"/>
      </w:divBdr>
    </w:div>
    <w:div w:id="1515025309">
      <w:bodyDiv w:val="1"/>
      <w:marLeft w:val="0"/>
      <w:marRight w:val="0"/>
      <w:marTop w:val="0"/>
      <w:marBottom w:val="0"/>
      <w:divBdr>
        <w:top w:val="none" w:sz="0" w:space="0" w:color="auto"/>
        <w:left w:val="none" w:sz="0" w:space="0" w:color="auto"/>
        <w:bottom w:val="none" w:sz="0" w:space="0" w:color="auto"/>
        <w:right w:val="none" w:sz="0" w:space="0" w:color="auto"/>
      </w:divBdr>
    </w:div>
    <w:div w:id="1524633680">
      <w:bodyDiv w:val="1"/>
      <w:marLeft w:val="0"/>
      <w:marRight w:val="0"/>
      <w:marTop w:val="0"/>
      <w:marBottom w:val="0"/>
      <w:divBdr>
        <w:top w:val="none" w:sz="0" w:space="0" w:color="auto"/>
        <w:left w:val="none" w:sz="0" w:space="0" w:color="auto"/>
        <w:bottom w:val="none" w:sz="0" w:space="0" w:color="auto"/>
        <w:right w:val="none" w:sz="0" w:space="0" w:color="auto"/>
      </w:divBdr>
    </w:div>
    <w:div w:id="1583761190">
      <w:bodyDiv w:val="1"/>
      <w:marLeft w:val="0"/>
      <w:marRight w:val="0"/>
      <w:marTop w:val="0"/>
      <w:marBottom w:val="0"/>
      <w:divBdr>
        <w:top w:val="none" w:sz="0" w:space="0" w:color="auto"/>
        <w:left w:val="none" w:sz="0" w:space="0" w:color="auto"/>
        <w:bottom w:val="none" w:sz="0" w:space="0" w:color="auto"/>
        <w:right w:val="none" w:sz="0" w:space="0" w:color="auto"/>
      </w:divBdr>
    </w:div>
    <w:div w:id="1649166255">
      <w:bodyDiv w:val="1"/>
      <w:marLeft w:val="0"/>
      <w:marRight w:val="0"/>
      <w:marTop w:val="0"/>
      <w:marBottom w:val="0"/>
      <w:divBdr>
        <w:top w:val="none" w:sz="0" w:space="0" w:color="auto"/>
        <w:left w:val="none" w:sz="0" w:space="0" w:color="auto"/>
        <w:bottom w:val="none" w:sz="0" w:space="0" w:color="auto"/>
        <w:right w:val="none" w:sz="0" w:space="0" w:color="auto"/>
      </w:divBdr>
    </w:div>
    <w:div w:id="1739282287">
      <w:bodyDiv w:val="1"/>
      <w:marLeft w:val="0"/>
      <w:marRight w:val="0"/>
      <w:marTop w:val="0"/>
      <w:marBottom w:val="0"/>
      <w:divBdr>
        <w:top w:val="none" w:sz="0" w:space="0" w:color="auto"/>
        <w:left w:val="none" w:sz="0" w:space="0" w:color="auto"/>
        <w:bottom w:val="none" w:sz="0" w:space="0" w:color="auto"/>
        <w:right w:val="none" w:sz="0" w:space="0" w:color="auto"/>
      </w:divBdr>
    </w:div>
    <w:div w:id="1839035572">
      <w:bodyDiv w:val="1"/>
      <w:marLeft w:val="0"/>
      <w:marRight w:val="0"/>
      <w:marTop w:val="0"/>
      <w:marBottom w:val="0"/>
      <w:divBdr>
        <w:top w:val="none" w:sz="0" w:space="0" w:color="auto"/>
        <w:left w:val="none" w:sz="0" w:space="0" w:color="auto"/>
        <w:bottom w:val="none" w:sz="0" w:space="0" w:color="auto"/>
        <w:right w:val="none" w:sz="0" w:space="0" w:color="auto"/>
      </w:divBdr>
    </w:div>
    <w:div w:id="1886332651">
      <w:bodyDiv w:val="1"/>
      <w:marLeft w:val="0"/>
      <w:marRight w:val="0"/>
      <w:marTop w:val="0"/>
      <w:marBottom w:val="0"/>
      <w:divBdr>
        <w:top w:val="none" w:sz="0" w:space="0" w:color="auto"/>
        <w:left w:val="none" w:sz="0" w:space="0" w:color="auto"/>
        <w:bottom w:val="none" w:sz="0" w:space="0" w:color="auto"/>
        <w:right w:val="none" w:sz="0" w:space="0" w:color="auto"/>
      </w:divBdr>
    </w:div>
    <w:div w:id="2057119866">
      <w:bodyDiv w:val="1"/>
      <w:marLeft w:val="0"/>
      <w:marRight w:val="0"/>
      <w:marTop w:val="0"/>
      <w:marBottom w:val="0"/>
      <w:divBdr>
        <w:top w:val="none" w:sz="0" w:space="0" w:color="auto"/>
        <w:left w:val="none" w:sz="0" w:space="0" w:color="auto"/>
        <w:bottom w:val="none" w:sz="0" w:space="0" w:color="auto"/>
        <w:right w:val="none" w:sz="0" w:space="0" w:color="auto"/>
      </w:divBdr>
    </w:div>
    <w:div w:id="213313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yright.com"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19.xml"/><Relationship Id="rId21" Type="http://schemas.openxmlformats.org/officeDocument/2006/relationships/chart" Target="charts/chart5.xml"/><Relationship Id="rId34" Type="http://schemas.openxmlformats.org/officeDocument/2006/relationships/chart" Target="charts/chart14.xml"/><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18.png"/><Relationship Id="rId63" Type="http://schemas.openxmlformats.org/officeDocument/2006/relationships/chart" Target="charts/chart32.xml"/><Relationship Id="rId68" Type="http://schemas.openxmlformats.org/officeDocument/2006/relationships/chart" Target="charts/chart37.xml"/><Relationship Id="rId76" Type="http://schemas.openxmlformats.org/officeDocument/2006/relationships/chart" Target="charts/chart45.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40.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image" Target="media/image7.png"/><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image" Target="media/image10.png"/><Relationship Id="rId53" Type="http://schemas.openxmlformats.org/officeDocument/2006/relationships/chart" Target="charts/chart23.xml"/><Relationship Id="rId58" Type="http://schemas.openxmlformats.org/officeDocument/2006/relationships/chart" Target="charts/chart27.xml"/><Relationship Id="rId66" Type="http://schemas.openxmlformats.org/officeDocument/2006/relationships/chart" Target="charts/chart35.xml"/><Relationship Id="rId74" Type="http://schemas.openxmlformats.org/officeDocument/2006/relationships/chart" Target="charts/chart43.xm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chart" Target="charts/chart30.xml"/><Relationship Id="rId82" Type="http://schemas.openxmlformats.org/officeDocument/2006/relationships/chart" Target="charts/chart50.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ubrights@worldbank.org"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5.png"/><Relationship Id="rId35" Type="http://schemas.openxmlformats.org/officeDocument/2006/relationships/chart" Target="charts/chart15.xml"/><Relationship Id="rId43" Type="http://schemas.openxmlformats.org/officeDocument/2006/relationships/chart" Target="charts/chart22.xml"/><Relationship Id="rId48" Type="http://schemas.openxmlformats.org/officeDocument/2006/relationships/image" Target="media/image13.png"/><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8.xml"/><Relationship Id="rId77" Type="http://schemas.openxmlformats.org/officeDocument/2006/relationships/chart" Target="charts/chart46.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chart" Target="charts/chart41.xml"/><Relationship Id="rId80" Type="http://schemas.openxmlformats.org/officeDocument/2006/relationships/chart" Target="charts/chart48.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11.png"/><Relationship Id="rId59" Type="http://schemas.openxmlformats.org/officeDocument/2006/relationships/chart" Target="charts/chart28.xml"/><Relationship Id="rId67" Type="http://schemas.openxmlformats.org/officeDocument/2006/relationships/chart" Target="charts/chart36.xml"/><Relationship Id="rId20" Type="http://schemas.openxmlformats.org/officeDocument/2006/relationships/chart" Target="charts/chart4.xml"/><Relationship Id="rId41" Type="http://schemas.openxmlformats.org/officeDocument/2006/relationships/chart" Target="charts/chart21.xml"/><Relationship Id="rId54" Type="http://schemas.openxmlformats.org/officeDocument/2006/relationships/chart" Target="charts/chart24.xml"/><Relationship Id="rId62" Type="http://schemas.openxmlformats.org/officeDocument/2006/relationships/chart" Target="charts/chart31.xml"/><Relationship Id="rId70" Type="http://schemas.openxmlformats.org/officeDocument/2006/relationships/chart" Target="charts/chart39.xml"/><Relationship Id="rId75" Type="http://schemas.openxmlformats.org/officeDocument/2006/relationships/chart" Target="charts/chart44.xml"/><Relationship Id="rId83" Type="http://schemas.openxmlformats.org/officeDocument/2006/relationships/chart" Target="charts/chart5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6.xml"/><Relationship Id="rId49" Type="http://schemas.openxmlformats.org/officeDocument/2006/relationships/image" Target="media/image14.png"/><Relationship Id="rId57" Type="http://schemas.openxmlformats.org/officeDocument/2006/relationships/chart" Target="charts/chart26.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chart" Target="charts/chart42.xml"/><Relationship Id="rId78" Type="http://schemas.openxmlformats.org/officeDocument/2006/relationships/chart" Target="charts/chart47.xml"/><Relationship Id="rId81" Type="http://schemas.openxmlformats.org/officeDocument/2006/relationships/chart" Target="charts/chart4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416159\Box%20Sync\WBG%20Data\Nigeria\Jobs\Data\Household%20survey\HHsurvey_May.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416159\Documents\Nigeria\Jobs\Data\innovation.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wb87340\Documents\Nigeria\Federal%20DPF\Federal%20DPF%20Graphs.xlsx"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wb416159\Box%20Sync\WBG%20Data\Nigeria\Jobs\Data\Household%20survey\occupation_bothwaves.csv"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wb416159\Documents\Nigeria\Jobs\Data\Household%20survey\HHsurvey_Ma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wb416159\Documents\Nigeria\Jobs\Data\Household%20survey\HHsurvey_Ma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b416159\Box%20Sync\WBG%20Data\Nigeria\Jobs\Data\New%20ES\Nigeria_Fresh%20Universe%20&amp;%20Survey%20Design%20extended%20v4%20(incl.%20sampling%20informatio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oustapha\Downloads\Copy%20of%20Kano%20v2%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416159\Documents\Nigeria\Jobs\Data\New%20ES\stats.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wb416159\Documents\Nigeria\Jobs\Data\Household%20survey\HHsurvey_May.xlsx" TargetMode="External"/><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wb416159\Documents\Nigeria\Jobs\Data\Household%20survey\HHsurvey_May.xlsx" TargetMode="External"/><Relationship Id="rId1" Type="http://schemas.openxmlformats.org/officeDocument/2006/relationships/themeOverride" Target="../theme/themeOverride3.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wb416159\Documents\Nigeria\Jobs\Data\Household%20survey\HHsurvey_May.xlsx" TargetMode="External"/><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wb416159\Documents\Nigeria\Jobs\Data\Household%20survey\HHsurvey_May.xlsx" TargetMode="External"/><Relationship Id="rId1" Type="http://schemas.openxmlformats.org/officeDocument/2006/relationships/themeOverride" Target="../theme/themeOverride5.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wb416159\Documents\Nigeria\Jobs\Data\Household%20survey\HHsurvey_May.xlsx" TargetMode="External"/><Relationship Id="rId1" Type="http://schemas.openxmlformats.org/officeDocument/2006/relationships/themeOverride" Target="../theme/themeOverride6.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6.xml.rels><?xml version="1.0" encoding="UTF-8" standalone="yes"?>
<Relationships xmlns="http://schemas.openxmlformats.org/package/2006/relationships"><Relationship Id="rId1" Type="http://schemas.openxmlformats.org/officeDocument/2006/relationships/oleObject" Target="file:///C:\Users\wb416159\Documents\Nigeria\Jobs\Data\New%20ES\stats.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wb416159\Box%20Sync\WBG%20Data\Nigeria\Jobs\Data\New%20ES\Nigeria_Fresh%20Universe%20&amp;%20Survey%20Design%20extended%20v4%20(incl.%20sampling%20information).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wb416159\Documents\Ethiopia\IC%20Regional%20States\Report\Graphs\DB2014.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wb416159\Documents\Ethiopia\IC%20Regional%20States\Report\Graphs\DB2014.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1.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2.xlsx"/></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3.xlsx"/></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2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6.xml.rels><?xml version="1.0" encoding="UTF-8" standalone="yes"?>
<Relationships xmlns="http://schemas.openxmlformats.org/package/2006/relationships"><Relationship Id="rId1" Type="http://schemas.openxmlformats.org/officeDocument/2006/relationships/oleObject" Target="file:///C:\Users\wb416159\Documents\Nigeria\Jobs\Data\New%20ES\stats.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wb416159\Documents\Nigeria\Jobs\Data\New%20ES\stat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wb416159\Documents\Nigeria\Jobs\Data\innovation.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wb416159\Documents\Nigeria\Jobs\Data\innovation.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1" Type="http://schemas.openxmlformats.org/officeDocument/2006/relationships/oleObject" Target="file:///C:\Users\wb416159\Documents\Nigeria\Jobs\Data\innovation.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wb416159\Documents\Nigeria\Jobs\Data\New%20ES\stats.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Sheet8!$A$3</c:f>
              <c:strCache>
                <c:ptCount val="1"/>
                <c:pt idx="0">
                  <c:v>Agriculture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Sheet8!$C$3</c:f>
              <c:numCache>
                <c:formatCode>0.0</c:formatCode>
                <c:ptCount val="1"/>
                <c:pt idx="0">
                  <c:v>35.4</c:v>
                </c:pt>
              </c:numCache>
            </c:numRef>
          </c:val>
          <c:extLst xmlns:c16r2="http://schemas.microsoft.com/office/drawing/2015/06/chart">
            <c:ext xmlns:c16="http://schemas.microsoft.com/office/drawing/2014/chart" uri="{C3380CC4-5D6E-409C-BE32-E72D297353CC}">
              <c16:uniqueId val="{00000000-800E-4B42-9E82-A228E1E0DBD5}"/>
            </c:ext>
          </c:extLst>
        </c:ser>
        <c:ser>
          <c:idx val="1"/>
          <c:order val="1"/>
          <c:tx>
            <c:strRef>
              <c:f>Sheet8!$A$4</c:f>
              <c:strCache>
                <c:ptCount val="1"/>
                <c:pt idx="0">
                  <c:v>Non-Farm Enterprises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Sheet8!$C$4</c:f>
              <c:numCache>
                <c:formatCode>0.0</c:formatCode>
                <c:ptCount val="1"/>
                <c:pt idx="0">
                  <c:v>42</c:v>
                </c:pt>
              </c:numCache>
            </c:numRef>
          </c:val>
          <c:extLst xmlns:c16r2="http://schemas.microsoft.com/office/drawing/2015/06/chart">
            <c:ext xmlns:c16="http://schemas.microsoft.com/office/drawing/2014/chart" uri="{C3380CC4-5D6E-409C-BE32-E72D297353CC}">
              <c16:uniqueId val="{00000001-800E-4B42-9E82-A228E1E0DBD5}"/>
            </c:ext>
          </c:extLst>
        </c:ser>
        <c:ser>
          <c:idx val="2"/>
          <c:order val="2"/>
          <c:tx>
            <c:strRef>
              <c:f>Sheet8!$A$5</c:f>
              <c:strCache>
                <c:ptCount val="1"/>
                <c:pt idx="0">
                  <c:v>Wage work - Private</c:v>
                </c:pt>
              </c:strCache>
            </c:strRef>
          </c:tx>
          <c:spPr>
            <a:solidFill>
              <a:schemeClr val="accent3">
                <a:lumMod val="40000"/>
                <a:lumOff val="60000"/>
              </a:schemeClr>
            </a:solidFill>
            <a:ln>
              <a:noFill/>
            </a:ln>
            <a:effectLst/>
          </c:spPr>
          <c:invertIfNegative val="0"/>
          <c:dLbls>
            <c:dLbl>
              <c:idx val="0"/>
              <c:layout>
                <c:manualLayout>
                  <c:x val="-0.33294573643410852"/>
                  <c:y val="0.19005569793096871"/>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2-800E-4B42-9E82-A228E1E0DBD5}"/>
                </c:ext>
                <c:ext xmlns:c15="http://schemas.microsoft.com/office/drawing/2012/chart" uri="{CE6537A1-D6FC-4f65-9D91-7224C49458BB}">
                  <c15:layout/>
                </c:ext>
              </c:extLst>
            </c:dLbl>
            <c:spPr>
              <a:solidFill>
                <a:sysClr val="window" lastClr="FFFFFF"/>
              </a:solidFill>
              <a:ln>
                <a:solidFill>
                  <a:srgbClr val="021F43">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showLeaderLines val="1"/>
                <c15:leaderLines>
                  <c:spPr>
                    <a:ln w="9525" cap="flat" cmpd="sng" algn="ctr">
                      <a:solidFill>
                        <a:schemeClr val="tx1">
                          <a:lumMod val="35000"/>
                          <a:lumOff val="65000"/>
                        </a:schemeClr>
                      </a:solidFill>
                      <a:round/>
                    </a:ln>
                    <a:effectLst/>
                  </c:spPr>
                </c15:leaderLines>
              </c:ext>
            </c:extLst>
          </c:dLbls>
          <c:val>
            <c:numRef>
              <c:f>Sheet8!$C$5</c:f>
              <c:numCache>
                <c:formatCode>0.0</c:formatCode>
                <c:ptCount val="1"/>
                <c:pt idx="0">
                  <c:v>6.7</c:v>
                </c:pt>
              </c:numCache>
            </c:numRef>
          </c:val>
          <c:extLst xmlns:c16r2="http://schemas.microsoft.com/office/drawing/2015/06/chart">
            <c:ext xmlns:c16="http://schemas.microsoft.com/office/drawing/2014/chart" uri="{C3380CC4-5D6E-409C-BE32-E72D297353CC}">
              <c16:uniqueId val="{00000003-800E-4B42-9E82-A228E1E0DBD5}"/>
            </c:ext>
          </c:extLst>
        </c:ser>
        <c:ser>
          <c:idx val="3"/>
          <c:order val="3"/>
          <c:tx>
            <c:strRef>
              <c:f>Sheet8!$A$6</c:f>
              <c:strCache>
                <c:ptCount val="1"/>
                <c:pt idx="0">
                  <c:v>Wage work - Public</c:v>
                </c:pt>
              </c:strCache>
            </c:strRef>
          </c:tx>
          <c:spPr>
            <a:solidFill>
              <a:schemeClr val="accent3">
                <a:lumMod val="75000"/>
              </a:schemeClr>
            </a:solidFill>
            <a:ln>
              <a:noFill/>
            </a:ln>
            <a:effectLst/>
          </c:spPr>
          <c:invertIfNegative val="0"/>
          <c:dLbls>
            <c:dLbl>
              <c:idx val="0"/>
              <c:layout>
                <c:manualLayout>
                  <c:x val="-0.3305555555555556"/>
                  <c:y val="-9.7222222222222224E-2"/>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4-800E-4B42-9E82-A228E1E0DBD5}"/>
                </c:ext>
                <c:ext xmlns:c15="http://schemas.microsoft.com/office/drawing/2012/chart" uri="{CE6537A1-D6FC-4f65-9D91-7224C49458BB}">
                  <c15:layout/>
                </c:ext>
              </c:extLst>
            </c:dLbl>
            <c:spPr>
              <a:solidFill>
                <a:sysClr val="window" lastClr="FFFFFF"/>
              </a:solidFill>
              <a:ln>
                <a:solidFill>
                  <a:srgbClr val="021F43">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showLeaderLines val="1"/>
                <c15:leaderLines>
                  <c:spPr>
                    <a:ln w="9525" cap="flat" cmpd="sng" algn="ctr">
                      <a:solidFill>
                        <a:schemeClr val="tx1">
                          <a:lumMod val="35000"/>
                          <a:lumOff val="65000"/>
                        </a:schemeClr>
                      </a:solidFill>
                      <a:round/>
                    </a:ln>
                    <a:effectLst/>
                  </c:spPr>
                </c15:leaderLines>
              </c:ext>
            </c:extLst>
          </c:dLbls>
          <c:val>
            <c:numRef>
              <c:f>Sheet8!$C$6</c:f>
              <c:numCache>
                <c:formatCode>0.0</c:formatCode>
                <c:ptCount val="1"/>
                <c:pt idx="0">
                  <c:v>8.3000000000000007</c:v>
                </c:pt>
              </c:numCache>
            </c:numRef>
          </c:val>
          <c:extLst xmlns:c16r2="http://schemas.microsoft.com/office/drawing/2015/06/chart">
            <c:ext xmlns:c16="http://schemas.microsoft.com/office/drawing/2014/chart" uri="{C3380CC4-5D6E-409C-BE32-E72D297353CC}">
              <c16:uniqueId val="{00000005-800E-4B42-9E82-A228E1E0DBD5}"/>
            </c:ext>
          </c:extLst>
        </c:ser>
        <c:ser>
          <c:idx val="4"/>
          <c:order val="4"/>
          <c:tx>
            <c:strRef>
              <c:f>Sheet8!$A$7</c:f>
              <c:strCache>
                <c:ptCount val="1"/>
                <c:pt idx="0">
                  <c:v>Other</c:v>
                </c:pt>
              </c:strCache>
            </c:strRef>
          </c:tx>
          <c:spPr>
            <a:solidFill>
              <a:schemeClr val="bg1">
                <a:lumMod val="65000"/>
              </a:schemeClr>
            </a:solidFill>
            <a:ln>
              <a:noFill/>
            </a:ln>
            <a:effectLst/>
          </c:spPr>
          <c:invertIfNegative val="0"/>
          <c:dLbls>
            <c:dLbl>
              <c:idx val="0"/>
              <c:layout>
                <c:manualLayout>
                  <c:x val="0.34366925064599485"/>
                  <c:y val="0.19393939393939394"/>
                </c:manualLayout>
              </c:layout>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6-800E-4B42-9E82-A228E1E0DBD5}"/>
                </c:ext>
                <c:ext xmlns:c15="http://schemas.microsoft.com/office/drawing/2012/chart" uri="{CE6537A1-D6FC-4f65-9D91-7224C49458BB}">
                  <c15:spPr xmlns:c15="http://schemas.microsoft.com/office/drawing/2012/chart">
                    <a:prstGeom prst="roundRect">
                      <a:avLst/>
                    </a:prstGeom>
                  </c15:spPr>
                  <c15:layout>
                    <c:manualLayout>
                      <c:w val="0.14570611813058251"/>
                      <c:h val="0.23509186351706038"/>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Sheet8!$C$7</c:f>
              <c:numCache>
                <c:formatCode>0.0</c:formatCode>
                <c:ptCount val="1"/>
                <c:pt idx="0">
                  <c:v>3.3</c:v>
                </c:pt>
              </c:numCache>
            </c:numRef>
          </c:val>
          <c:extLst xmlns:c16r2="http://schemas.microsoft.com/office/drawing/2015/06/chart">
            <c:ext xmlns:c16="http://schemas.microsoft.com/office/drawing/2014/chart" uri="{C3380CC4-5D6E-409C-BE32-E72D297353CC}">
              <c16:uniqueId val="{00000007-800E-4B42-9E82-A228E1E0DBD5}"/>
            </c:ext>
          </c:extLst>
        </c:ser>
        <c:ser>
          <c:idx val="5"/>
          <c:order val="5"/>
          <c:tx>
            <c:strRef>
              <c:f>Sheet8!$A$8</c:f>
              <c:strCache>
                <c:ptCount val="1"/>
                <c:pt idx="0">
                  <c:v>Unemployed</c:v>
                </c:pt>
              </c:strCache>
            </c:strRef>
          </c:tx>
          <c:spPr>
            <a:solidFill>
              <a:schemeClr val="tx2">
                <a:lumMod val="85000"/>
                <a:lumOff val="15000"/>
              </a:schemeClr>
            </a:solidFill>
            <a:ln>
              <a:noFill/>
            </a:ln>
            <a:effectLst/>
          </c:spPr>
          <c:invertIfNegative val="0"/>
          <c:dLbls>
            <c:dLbl>
              <c:idx val="0"/>
              <c:layout>
                <c:manualLayout>
                  <c:x val="0.34186046511627904"/>
                  <c:y val="3.4932474349797189E-2"/>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8-800E-4B42-9E82-A228E1E0DBD5}"/>
                </c:ext>
                <c:ext xmlns:c15="http://schemas.microsoft.com/office/drawing/2012/chart" uri="{CE6537A1-D6FC-4f65-9D91-7224C49458BB}">
                  <c15:layout/>
                </c:ext>
              </c:extLst>
            </c:dLbl>
            <c:spPr>
              <a:solidFill>
                <a:sysClr val="window" lastClr="FFFFFF"/>
              </a:solidFill>
              <a:ln>
                <a:solidFill>
                  <a:srgbClr val="021F43">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showLeaderLines val="1"/>
                <c15:leaderLines>
                  <c:spPr>
                    <a:ln w="9525" cap="flat" cmpd="sng" algn="ctr">
                      <a:solidFill>
                        <a:schemeClr val="tx1">
                          <a:lumMod val="35000"/>
                          <a:lumOff val="65000"/>
                        </a:schemeClr>
                      </a:solidFill>
                      <a:round/>
                    </a:ln>
                    <a:effectLst/>
                  </c:spPr>
                </c15:leaderLines>
              </c:ext>
            </c:extLst>
          </c:dLbls>
          <c:val>
            <c:numRef>
              <c:f>Sheet8!$C$8</c:f>
              <c:numCache>
                <c:formatCode>0.0</c:formatCode>
                <c:ptCount val="1"/>
                <c:pt idx="0">
                  <c:v>4.3</c:v>
                </c:pt>
              </c:numCache>
            </c:numRef>
          </c:val>
          <c:extLst xmlns:c16r2="http://schemas.microsoft.com/office/drawing/2015/06/chart">
            <c:ext xmlns:c16="http://schemas.microsoft.com/office/drawing/2014/chart" uri="{C3380CC4-5D6E-409C-BE32-E72D297353CC}">
              <c16:uniqueId val="{00000009-800E-4B42-9E82-A228E1E0DBD5}"/>
            </c:ext>
          </c:extLst>
        </c:ser>
        <c:dLbls>
          <c:showLegendKey val="0"/>
          <c:showVal val="0"/>
          <c:showCatName val="0"/>
          <c:showSerName val="0"/>
          <c:showPercent val="0"/>
          <c:showBubbleSize val="0"/>
        </c:dLbls>
        <c:gapWidth val="150"/>
        <c:overlap val="100"/>
        <c:axId val="482547288"/>
        <c:axId val="482551600"/>
      </c:barChart>
      <c:catAx>
        <c:axId val="482547288"/>
        <c:scaling>
          <c:orientation val="minMax"/>
        </c:scaling>
        <c:delete val="1"/>
        <c:axPos val="b"/>
        <c:numFmt formatCode="General" sourceLinked="1"/>
        <c:majorTickMark val="none"/>
        <c:minorTickMark val="none"/>
        <c:tickLblPos val="nextTo"/>
        <c:crossAx val="482551600"/>
        <c:crosses val="autoZero"/>
        <c:auto val="1"/>
        <c:lblAlgn val="ctr"/>
        <c:lblOffset val="100"/>
        <c:noMultiLvlLbl val="0"/>
      </c:catAx>
      <c:valAx>
        <c:axId val="482551600"/>
        <c:scaling>
          <c:orientation val="minMax"/>
        </c:scaling>
        <c:delete val="0"/>
        <c:axPos val="l"/>
        <c:majorGridlines>
          <c:spPr>
            <a:ln w="9525" cap="flat" cmpd="sng" algn="ctr">
              <a:solidFill>
                <a:schemeClr val="bg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482547288"/>
        <c:crosses val="autoZero"/>
        <c:crossBetween val="between"/>
      </c:valAx>
      <c:spPr>
        <a:solidFill>
          <a:schemeClr val="bg1">
            <a:lumMod val="95000"/>
          </a:scheme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j-lt"/>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4158855542418219"/>
          <c:y val="6.1938743012771941E-2"/>
          <c:w val="0.83498226459711711"/>
          <c:h val="0.7581076005666656"/>
        </c:manualLayout>
      </c:layout>
      <c:barChart>
        <c:barDir val="col"/>
        <c:grouping val="clustered"/>
        <c:varyColors val="0"/>
        <c:ser>
          <c:idx val="0"/>
          <c:order val="0"/>
          <c:tx>
            <c:strRef>
              <c:f>Sheet1!$B$1</c:f>
              <c:strCache>
                <c:ptCount val="1"/>
                <c:pt idx="0">
                  <c:v>Unit Labor Costs</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Sheet1!$A$2:$A$7</c:f>
              <c:strCache>
                <c:ptCount val="6"/>
                <c:pt idx="0">
                  <c:v>Nigeria</c:v>
                </c:pt>
                <c:pt idx="2">
                  <c:v>Lagos</c:v>
                </c:pt>
                <c:pt idx="3">
                  <c:v>Other North</c:v>
                </c:pt>
                <c:pt idx="4">
                  <c:v>Kano and Kaduna</c:v>
                </c:pt>
                <c:pt idx="5">
                  <c:v>Other South</c:v>
                </c:pt>
              </c:strCache>
            </c:strRef>
          </c:cat>
          <c:val>
            <c:numRef>
              <c:f>Sheet1!$B$2:$B$7</c:f>
              <c:numCache>
                <c:formatCode>General</c:formatCode>
                <c:ptCount val="6"/>
                <c:pt idx="0">
                  <c:v>0.30800820000000001</c:v>
                </c:pt>
                <c:pt idx="2">
                  <c:v>0.57142859999999995</c:v>
                </c:pt>
                <c:pt idx="3">
                  <c:v>0.28248590000000001</c:v>
                </c:pt>
                <c:pt idx="4">
                  <c:v>0.18055199999999999</c:v>
                </c:pt>
                <c:pt idx="5">
                  <c:v>0.1033058</c:v>
                </c:pt>
              </c:numCache>
            </c:numRef>
          </c:val>
          <c:extLst xmlns:c16r2="http://schemas.microsoft.com/office/drawing/2015/06/chart">
            <c:ext xmlns:c16="http://schemas.microsoft.com/office/drawing/2014/chart" uri="{C3380CC4-5D6E-409C-BE32-E72D297353CC}">
              <c16:uniqueId val="{00000000-F105-4507-85EF-5A4E7D5664BC}"/>
            </c:ext>
          </c:extLst>
        </c:ser>
        <c:dLbls>
          <c:showLegendKey val="0"/>
          <c:showVal val="0"/>
          <c:showCatName val="0"/>
          <c:showSerName val="0"/>
          <c:showPercent val="0"/>
          <c:showBubbleSize val="0"/>
        </c:dLbls>
        <c:gapWidth val="58"/>
        <c:axId val="475797696"/>
        <c:axId val="475798088"/>
      </c:barChart>
      <c:catAx>
        <c:axId val="475797696"/>
        <c:scaling>
          <c:orientation val="minMax"/>
        </c:scaling>
        <c:delete val="0"/>
        <c:axPos val="b"/>
        <c:numFmt formatCode="General" sourceLinked="0"/>
        <c:majorTickMark val="out"/>
        <c:minorTickMark val="none"/>
        <c:tickLblPos val="nextTo"/>
        <c:crossAx val="475798088"/>
        <c:crosses val="autoZero"/>
        <c:auto val="1"/>
        <c:lblAlgn val="ctr"/>
        <c:lblOffset val="100"/>
        <c:noMultiLvlLbl val="0"/>
      </c:catAx>
      <c:valAx>
        <c:axId val="475798088"/>
        <c:scaling>
          <c:orientation val="minMax"/>
        </c:scaling>
        <c:delete val="0"/>
        <c:axPos val="l"/>
        <c:majorGridlines>
          <c:spPr>
            <a:ln>
              <a:solidFill>
                <a:schemeClr val="bg1"/>
              </a:solidFill>
            </a:ln>
          </c:spPr>
        </c:majorGridlines>
        <c:title>
          <c:tx>
            <c:rich>
              <a:bodyPr rot="-5400000" vert="horz"/>
              <a:lstStyle/>
              <a:p>
                <a:pPr>
                  <a:defRPr/>
                </a:pPr>
                <a:r>
                  <a:rPr lang="en-US"/>
                  <a:t>Unit labor costs (as % of value added)</a:t>
                </a:r>
              </a:p>
            </c:rich>
          </c:tx>
          <c:layout/>
          <c:overlay val="0"/>
        </c:title>
        <c:numFmt formatCode="0%" sourceLinked="0"/>
        <c:majorTickMark val="out"/>
        <c:minorTickMark val="none"/>
        <c:tickLblPos val="nextTo"/>
        <c:crossAx val="475797696"/>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Sheet1!$B$2:$B$6</c:f>
              <c:strCache>
                <c:ptCount val="5"/>
                <c:pt idx="0">
                  <c:v>Product</c:v>
                </c:pt>
                <c:pt idx="1">
                  <c:v>Process</c:v>
                </c:pt>
                <c:pt idx="2">
                  <c:v>Product or Process</c:v>
                </c:pt>
                <c:pt idx="3">
                  <c:v>Organization</c:v>
                </c:pt>
                <c:pt idx="4">
                  <c:v>Marketting</c:v>
                </c:pt>
              </c:strCache>
            </c:strRef>
          </c:cat>
          <c:val>
            <c:numRef>
              <c:f>Sheet1!$C$2:$C$6</c:f>
              <c:numCache>
                <c:formatCode>0%</c:formatCode>
                <c:ptCount val="5"/>
                <c:pt idx="0">
                  <c:v>0.13780000000000001</c:v>
                </c:pt>
                <c:pt idx="1">
                  <c:v>0.29580000000000001</c:v>
                </c:pt>
                <c:pt idx="2">
                  <c:v>0.37090000000000001</c:v>
                </c:pt>
                <c:pt idx="3">
                  <c:v>0.47049999999999997</c:v>
                </c:pt>
                <c:pt idx="4">
                  <c:v>0.51549999999999996</c:v>
                </c:pt>
              </c:numCache>
            </c:numRef>
          </c:val>
          <c:extLst xmlns:c16r2="http://schemas.microsoft.com/office/drawing/2015/06/chart">
            <c:ext xmlns:c16="http://schemas.microsoft.com/office/drawing/2014/chart" uri="{C3380CC4-5D6E-409C-BE32-E72D297353CC}">
              <c16:uniqueId val="{00000000-3A44-4240-A285-3C0830FA95DE}"/>
            </c:ext>
          </c:extLst>
        </c:ser>
        <c:dLbls>
          <c:showLegendKey val="0"/>
          <c:showVal val="0"/>
          <c:showCatName val="0"/>
          <c:showSerName val="0"/>
          <c:showPercent val="0"/>
          <c:showBubbleSize val="0"/>
        </c:dLbls>
        <c:gapWidth val="58"/>
        <c:axId val="475798872"/>
        <c:axId val="475799264"/>
      </c:barChart>
      <c:catAx>
        <c:axId val="475798872"/>
        <c:scaling>
          <c:orientation val="minMax"/>
        </c:scaling>
        <c:delete val="0"/>
        <c:axPos val="b"/>
        <c:numFmt formatCode="General" sourceLinked="0"/>
        <c:majorTickMark val="out"/>
        <c:minorTickMark val="none"/>
        <c:tickLblPos val="nextTo"/>
        <c:crossAx val="475799264"/>
        <c:crosses val="autoZero"/>
        <c:auto val="1"/>
        <c:lblAlgn val="ctr"/>
        <c:lblOffset val="100"/>
        <c:noMultiLvlLbl val="0"/>
      </c:catAx>
      <c:valAx>
        <c:axId val="475799264"/>
        <c:scaling>
          <c:orientation val="minMax"/>
        </c:scaling>
        <c:delete val="0"/>
        <c:axPos val="l"/>
        <c:majorGridlines>
          <c:spPr>
            <a:ln>
              <a:solidFill>
                <a:schemeClr val="bg1"/>
              </a:solidFill>
              <a:prstDash val="solid"/>
            </a:ln>
          </c:spPr>
        </c:majorGridlines>
        <c:numFmt formatCode="0%" sourceLinked="1"/>
        <c:majorTickMark val="out"/>
        <c:minorTickMark val="none"/>
        <c:tickLblPos val="nextTo"/>
        <c:crossAx val="475798872"/>
        <c:crosses val="autoZero"/>
        <c:crossBetween val="between"/>
      </c:valAx>
      <c:spPr>
        <a:solidFill>
          <a:schemeClr val="bg1">
            <a:lumMod val="95000"/>
          </a:schemeClr>
        </a:solidFill>
        <a:ln>
          <a:noFill/>
        </a:ln>
      </c:spPr>
    </c:plotArea>
    <c:plotVisOnly val="1"/>
    <c:dispBlanksAs val="gap"/>
    <c:showDLblsOverMax val="0"/>
  </c:chart>
  <c:spPr>
    <a:ln>
      <a:noFill/>
    </a:ln>
  </c:spPr>
  <c:txPr>
    <a:bodyPr/>
    <a:lstStyle/>
    <a:p>
      <a:pPr>
        <a:defRPr>
          <a:latin typeface="Trebuchet MS" panose="020B0603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v>Oil and Gas Sector</c:v>
          </c:tx>
          <c:spPr>
            <a:solidFill>
              <a:schemeClr val="accent2"/>
            </a:solidFill>
            <a:ln>
              <a:noFill/>
            </a:ln>
            <a:effectLst/>
          </c:spPr>
          <c:invertIfNegative val="0"/>
          <c:cat>
            <c:numRef>
              <c:f>'\\wbms9mm\mm-private\wb266593\Home\Nigeria\Federal DPF\[Growth and inflation.xlsx]Sheet1'!$C$2:$J$2</c:f>
              <c:numCache>
                <c:formatCode>General</c:formatCode>
                <c:ptCount val="8"/>
                <c:pt idx="0">
                  <c:v>2012</c:v>
                </c:pt>
                <c:pt idx="1">
                  <c:v>2013</c:v>
                </c:pt>
                <c:pt idx="2">
                  <c:v>2014</c:v>
                </c:pt>
                <c:pt idx="3">
                  <c:v>2015</c:v>
                </c:pt>
                <c:pt idx="4">
                  <c:v>2016</c:v>
                </c:pt>
                <c:pt idx="5">
                  <c:v>2017</c:v>
                </c:pt>
                <c:pt idx="6">
                  <c:v>2018</c:v>
                </c:pt>
                <c:pt idx="7">
                  <c:v>2019</c:v>
                </c:pt>
              </c:numCache>
            </c:numRef>
          </c:cat>
          <c:val>
            <c:numRef>
              <c:f>'Growth, Inflation, and Poverty'!$C$3:$H$3</c:f>
              <c:numCache>
                <c:formatCode>0.0</c:formatCode>
                <c:ptCount val="6"/>
                <c:pt idx="0" formatCode="General">
                  <c:v>2.2999999999999998</c:v>
                </c:pt>
                <c:pt idx="1">
                  <c:v>-4.9000000000000004</c:v>
                </c:pt>
                <c:pt idx="2">
                  <c:v>-13.1</c:v>
                </c:pt>
                <c:pt idx="3">
                  <c:v>-2.5</c:v>
                </c:pt>
                <c:pt idx="4">
                  <c:v>-1.6</c:v>
                </c:pt>
                <c:pt idx="5">
                  <c:v>-1.4</c:v>
                </c:pt>
              </c:numCache>
            </c:numRef>
          </c:val>
          <c:extLst xmlns:c16r2="http://schemas.microsoft.com/office/drawing/2015/06/chart">
            <c:ext xmlns:c16="http://schemas.microsoft.com/office/drawing/2014/chart" uri="{C3380CC4-5D6E-409C-BE32-E72D297353CC}">
              <c16:uniqueId val="{00000000-D2D5-438B-B315-A862BCB3195C}"/>
            </c:ext>
          </c:extLst>
        </c:ser>
        <c:ser>
          <c:idx val="2"/>
          <c:order val="2"/>
          <c:tx>
            <c:v>Non-Oil and Gas</c:v>
          </c:tx>
          <c:spPr>
            <a:solidFill>
              <a:schemeClr val="accent1">
                <a:lumMod val="50000"/>
              </a:schemeClr>
            </a:solidFill>
            <a:ln>
              <a:noFill/>
            </a:ln>
            <a:effectLst/>
          </c:spPr>
          <c:invertIfNegative val="0"/>
          <c:cat>
            <c:numRef>
              <c:f>'\\wbms9mm\mm-private\wb266593\Home\Nigeria\Federal DPF\[Growth and inflation.xlsx]Sheet1'!$C$2:$J$2</c:f>
              <c:numCache>
                <c:formatCode>General</c:formatCode>
                <c:ptCount val="8"/>
                <c:pt idx="0">
                  <c:v>2012</c:v>
                </c:pt>
                <c:pt idx="1">
                  <c:v>2013</c:v>
                </c:pt>
                <c:pt idx="2">
                  <c:v>2014</c:v>
                </c:pt>
                <c:pt idx="3">
                  <c:v>2015</c:v>
                </c:pt>
                <c:pt idx="4">
                  <c:v>2016</c:v>
                </c:pt>
                <c:pt idx="5">
                  <c:v>2017</c:v>
                </c:pt>
                <c:pt idx="6">
                  <c:v>2018</c:v>
                </c:pt>
                <c:pt idx="7">
                  <c:v>2019</c:v>
                </c:pt>
              </c:numCache>
            </c:numRef>
          </c:cat>
          <c:val>
            <c:numRef>
              <c:f>'Growth, Inflation, and Poverty'!$C$4:$H$4</c:f>
              <c:numCache>
                <c:formatCode>0.0</c:formatCode>
                <c:ptCount val="6"/>
                <c:pt idx="0" formatCode="General">
                  <c:v>5.8</c:v>
                </c:pt>
                <c:pt idx="1">
                  <c:v>5.9</c:v>
                </c:pt>
                <c:pt idx="2">
                  <c:v>8.3000000000000007</c:v>
                </c:pt>
                <c:pt idx="3">
                  <c:v>7.2</c:v>
                </c:pt>
                <c:pt idx="4">
                  <c:v>5.5</c:v>
                </c:pt>
                <c:pt idx="5">
                  <c:v>5.6</c:v>
                </c:pt>
              </c:numCache>
            </c:numRef>
          </c:val>
          <c:extLst xmlns:c16r2="http://schemas.microsoft.com/office/drawing/2015/06/chart">
            <c:ext xmlns:c16="http://schemas.microsoft.com/office/drawing/2014/chart" uri="{C3380CC4-5D6E-409C-BE32-E72D297353CC}">
              <c16:uniqueId val="{00000001-D2D5-438B-B315-A862BCB3195C}"/>
            </c:ext>
          </c:extLst>
        </c:ser>
        <c:dLbls>
          <c:showLegendKey val="0"/>
          <c:showVal val="0"/>
          <c:showCatName val="0"/>
          <c:showSerName val="0"/>
          <c:showPercent val="0"/>
          <c:showBubbleSize val="0"/>
        </c:dLbls>
        <c:gapWidth val="219"/>
        <c:overlap val="-27"/>
        <c:axId val="475808592"/>
        <c:axId val="475808984"/>
      </c:barChart>
      <c:lineChart>
        <c:grouping val="standard"/>
        <c:varyColors val="0"/>
        <c:ser>
          <c:idx val="0"/>
          <c:order val="0"/>
          <c:tx>
            <c:v>GDP Growth</c:v>
          </c:tx>
          <c:spPr>
            <a:ln w="28575" cap="rnd">
              <a:solidFill>
                <a:schemeClr val="accent1"/>
              </a:solidFill>
              <a:round/>
            </a:ln>
            <a:effectLst/>
          </c:spPr>
          <c:marker>
            <c:symbol val="none"/>
          </c:marker>
          <c:cat>
            <c:strRef>
              <c:f>'Growth, Inflation, and Poverty'!$C$1:$H$1</c:f>
              <c:strCache>
                <c:ptCount val="6"/>
                <c:pt idx="0">
                  <c:v>2011</c:v>
                </c:pt>
                <c:pt idx="1">
                  <c:v>2012</c:v>
                </c:pt>
                <c:pt idx="2">
                  <c:v>2013</c:v>
                </c:pt>
                <c:pt idx="3">
                  <c:v>2014</c:v>
                </c:pt>
                <c:pt idx="4">
                  <c:v>2015proj</c:v>
                </c:pt>
                <c:pt idx="5">
                  <c:v>2016Proj</c:v>
                </c:pt>
              </c:strCache>
            </c:strRef>
          </c:cat>
          <c:val>
            <c:numRef>
              <c:f>'Growth, Inflation, and Poverty'!$C$2:$H$2</c:f>
              <c:numCache>
                <c:formatCode>0.0</c:formatCode>
                <c:ptCount val="6"/>
                <c:pt idx="0" formatCode="General">
                  <c:v>5.3</c:v>
                </c:pt>
                <c:pt idx="1">
                  <c:v>4.3</c:v>
                </c:pt>
                <c:pt idx="2">
                  <c:v>5.4</c:v>
                </c:pt>
                <c:pt idx="3">
                  <c:v>6.1</c:v>
                </c:pt>
                <c:pt idx="4">
                  <c:v>4.8</c:v>
                </c:pt>
                <c:pt idx="5">
                  <c:v>5</c:v>
                </c:pt>
              </c:numCache>
            </c:numRef>
          </c:val>
          <c:smooth val="0"/>
          <c:extLst xmlns:c16r2="http://schemas.microsoft.com/office/drawing/2015/06/chart">
            <c:ext xmlns:c16="http://schemas.microsoft.com/office/drawing/2014/chart" uri="{C3380CC4-5D6E-409C-BE32-E72D297353CC}">
              <c16:uniqueId val="{00000002-D2D5-438B-B315-A862BCB3195C}"/>
            </c:ext>
          </c:extLst>
        </c:ser>
        <c:dLbls>
          <c:showLegendKey val="0"/>
          <c:showVal val="0"/>
          <c:showCatName val="0"/>
          <c:showSerName val="0"/>
          <c:showPercent val="0"/>
          <c:showBubbleSize val="0"/>
        </c:dLbls>
        <c:marker val="1"/>
        <c:smooth val="0"/>
        <c:axId val="475808592"/>
        <c:axId val="475808984"/>
      </c:lineChart>
      <c:catAx>
        <c:axId val="47580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75808984"/>
        <c:crosses val="autoZero"/>
        <c:auto val="1"/>
        <c:lblAlgn val="ctr"/>
        <c:lblOffset val="100"/>
        <c:noMultiLvlLbl val="0"/>
      </c:catAx>
      <c:valAx>
        <c:axId val="475808984"/>
        <c:scaling>
          <c:orientation val="minMax"/>
        </c:scaling>
        <c:delete val="0"/>
        <c:axPos val="l"/>
        <c:majorGridlines>
          <c:spPr>
            <a:ln w="9525" cap="flat" cmpd="sng" algn="ctr">
              <a:solidFill>
                <a:sysClr val="window" lastClr="FFFFFF"/>
              </a:solidFill>
              <a:prstDash val="solid"/>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75808592"/>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rebuchet MS" panose="020B0603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occupation_bothwaves!$A$3</c:f>
              <c:strCache>
                <c:ptCount val="1"/>
                <c:pt idx="0">
                  <c:v>Unemployed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occupation_bothwaves!$B$1:$O$2</c:f>
              <c:multiLvlStrCache>
                <c:ptCount val="14"/>
                <c:lvl>
                  <c:pt idx="0">
                    <c:v>w1</c:v>
                  </c:pt>
                  <c:pt idx="1">
                    <c:v>w2</c:v>
                  </c:pt>
                  <c:pt idx="2">
                    <c:v>w1</c:v>
                  </c:pt>
                  <c:pt idx="3">
                    <c:v>w2</c:v>
                  </c:pt>
                  <c:pt idx="4">
                    <c:v>w1</c:v>
                  </c:pt>
                  <c:pt idx="5">
                    <c:v>w2</c:v>
                  </c:pt>
                  <c:pt idx="6">
                    <c:v>w1</c:v>
                  </c:pt>
                  <c:pt idx="7">
                    <c:v>w2</c:v>
                  </c:pt>
                  <c:pt idx="8">
                    <c:v>w1</c:v>
                  </c:pt>
                  <c:pt idx="9">
                    <c:v>w2</c:v>
                  </c:pt>
                  <c:pt idx="10">
                    <c:v>w1</c:v>
                  </c:pt>
                  <c:pt idx="11">
                    <c:v>w2</c:v>
                  </c:pt>
                  <c:pt idx="12">
                    <c:v>w1</c:v>
                  </c:pt>
                  <c:pt idx="13">
                    <c:v>w2</c:v>
                  </c:pt>
                </c:lvl>
                <c:lvl>
                  <c:pt idx="0">
                    <c:v>National</c:v>
                  </c:pt>
                  <c:pt idx="2">
                    <c:v>NC</c:v>
                  </c:pt>
                  <c:pt idx="4">
                    <c:v>NE</c:v>
                  </c:pt>
                  <c:pt idx="6">
                    <c:v>NW</c:v>
                  </c:pt>
                  <c:pt idx="8">
                    <c:v>SE</c:v>
                  </c:pt>
                  <c:pt idx="10">
                    <c:v>SS</c:v>
                  </c:pt>
                  <c:pt idx="12">
                    <c:v>SW</c:v>
                  </c:pt>
                </c:lvl>
              </c:multiLvlStrCache>
            </c:multiLvlStrRef>
          </c:cat>
          <c:val>
            <c:numRef>
              <c:f>occupation_bothwaves!$B$3:$O$3</c:f>
              <c:numCache>
                <c:formatCode>0%</c:formatCode>
                <c:ptCount val="14"/>
                <c:pt idx="0">
                  <c:v>4.5099199999999999E-2</c:v>
                </c:pt>
                <c:pt idx="1">
                  <c:v>4.3234300000000003E-2</c:v>
                </c:pt>
                <c:pt idx="2">
                  <c:v>2.4056399999999999E-2</c:v>
                </c:pt>
                <c:pt idx="3">
                  <c:v>2.6351599999999999E-2</c:v>
                </c:pt>
                <c:pt idx="4">
                  <c:v>2.3197099999999998E-2</c:v>
                </c:pt>
                <c:pt idx="5">
                  <c:v>2.62504E-2</c:v>
                </c:pt>
                <c:pt idx="6">
                  <c:v>3.9300000000000003E-3</c:v>
                </c:pt>
                <c:pt idx="7">
                  <c:v>9.6662999999999992E-3</c:v>
                </c:pt>
                <c:pt idx="8">
                  <c:v>6.6398299999999993E-2</c:v>
                </c:pt>
                <c:pt idx="9">
                  <c:v>5.5113799999999998E-2</c:v>
                </c:pt>
                <c:pt idx="10">
                  <c:v>9.7289399999999998E-2</c:v>
                </c:pt>
                <c:pt idx="11">
                  <c:v>0.1020467</c:v>
                </c:pt>
                <c:pt idx="12">
                  <c:v>5.49124E-2</c:v>
                </c:pt>
                <c:pt idx="13">
                  <c:v>4.3909999999999998E-2</c:v>
                </c:pt>
              </c:numCache>
            </c:numRef>
          </c:val>
          <c:extLst xmlns:c16r2="http://schemas.microsoft.com/office/drawing/2015/06/chart">
            <c:ext xmlns:c16="http://schemas.microsoft.com/office/drawing/2014/chart" uri="{C3380CC4-5D6E-409C-BE32-E72D297353CC}">
              <c16:uniqueId val="{00000000-78EB-4E49-A71F-1EAC9C46BFDF}"/>
            </c:ext>
          </c:extLst>
        </c:ser>
        <c:ser>
          <c:idx val="1"/>
          <c:order val="1"/>
          <c:tx>
            <c:strRef>
              <c:f>occupation_bothwaves!$A$4</c:f>
              <c:strCache>
                <c:ptCount val="1"/>
                <c:pt idx="0">
                  <c:v>Agriculture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occupation_bothwaves!$B$1:$O$2</c:f>
              <c:multiLvlStrCache>
                <c:ptCount val="14"/>
                <c:lvl>
                  <c:pt idx="0">
                    <c:v>w1</c:v>
                  </c:pt>
                  <c:pt idx="1">
                    <c:v>w2</c:v>
                  </c:pt>
                  <c:pt idx="2">
                    <c:v>w1</c:v>
                  </c:pt>
                  <c:pt idx="3">
                    <c:v>w2</c:v>
                  </c:pt>
                  <c:pt idx="4">
                    <c:v>w1</c:v>
                  </c:pt>
                  <c:pt idx="5">
                    <c:v>w2</c:v>
                  </c:pt>
                  <c:pt idx="6">
                    <c:v>w1</c:v>
                  </c:pt>
                  <c:pt idx="7">
                    <c:v>w2</c:v>
                  </c:pt>
                  <c:pt idx="8">
                    <c:v>w1</c:v>
                  </c:pt>
                  <c:pt idx="9">
                    <c:v>w2</c:v>
                  </c:pt>
                  <c:pt idx="10">
                    <c:v>w1</c:v>
                  </c:pt>
                  <c:pt idx="11">
                    <c:v>w2</c:v>
                  </c:pt>
                  <c:pt idx="12">
                    <c:v>w1</c:v>
                  </c:pt>
                  <c:pt idx="13">
                    <c:v>w2</c:v>
                  </c:pt>
                </c:lvl>
                <c:lvl>
                  <c:pt idx="0">
                    <c:v>National</c:v>
                  </c:pt>
                  <c:pt idx="2">
                    <c:v>NC</c:v>
                  </c:pt>
                  <c:pt idx="4">
                    <c:v>NE</c:v>
                  </c:pt>
                  <c:pt idx="6">
                    <c:v>NW</c:v>
                  </c:pt>
                  <c:pt idx="8">
                    <c:v>SE</c:v>
                  </c:pt>
                  <c:pt idx="10">
                    <c:v>SS</c:v>
                  </c:pt>
                  <c:pt idx="12">
                    <c:v>SW</c:v>
                  </c:pt>
                </c:lvl>
              </c:multiLvlStrCache>
            </c:multiLvlStrRef>
          </c:cat>
          <c:val>
            <c:numRef>
              <c:f>occupation_bothwaves!$B$4:$O$4</c:f>
              <c:numCache>
                <c:formatCode>0%</c:formatCode>
                <c:ptCount val="14"/>
                <c:pt idx="0">
                  <c:v>0.35675800000000002</c:v>
                </c:pt>
                <c:pt idx="1">
                  <c:v>0.35363020000000001</c:v>
                </c:pt>
                <c:pt idx="2">
                  <c:v>0.48782890000000001</c:v>
                </c:pt>
                <c:pt idx="3">
                  <c:v>0.50709139999999997</c:v>
                </c:pt>
                <c:pt idx="4">
                  <c:v>0.42616300000000001</c:v>
                </c:pt>
                <c:pt idx="5">
                  <c:v>0.45665470000000002</c:v>
                </c:pt>
                <c:pt idx="6">
                  <c:v>0.38472479999999998</c:v>
                </c:pt>
                <c:pt idx="7">
                  <c:v>0.44549060000000001</c:v>
                </c:pt>
                <c:pt idx="8">
                  <c:v>0.4810063</c:v>
                </c:pt>
                <c:pt idx="9">
                  <c:v>0.38430510000000001</c:v>
                </c:pt>
                <c:pt idx="10">
                  <c:v>0.29251860000000002</c:v>
                </c:pt>
                <c:pt idx="11">
                  <c:v>0.26321899999999998</c:v>
                </c:pt>
                <c:pt idx="12">
                  <c:v>0.166242</c:v>
                </c:pt>
                <c:pt idx="13">
                  <c:v>0.1596407</c:v>
                </c:pt>
              </c:numCache>
            </c:numRef>
          </c:val>
          <c:extLst xmlns:c16r2="http://schemas.microsoft.com/office/drawing/2015/06/chart">
            <c:ext xmlns:c16="http://schemas.microsoft.com/office/drawing/2014/chart" uri="{C3380CC4-5D6E-409C-BE32-E72D297353CC}">
              <c16:uniqueId val="{00000001-78EB-4E49-A71F-1EAC9C46BFDF}"/>
            </c:ext>
          </c:extLst>
        </c:ser>
        <c:ser>
          <c:idx val="2"/>
          <c:order val="2"/>
          <c:tx>
            <c:strRef>
              <c:f>occupation_bothwaves!$A$5</c:f>
              <c:strCache>
                <c:ptCount val="1"/>
                <c:pt idx="0">
                  <c:v>Non farm Enterprises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occupation_bothwaves!$B$1:$O$2</c:f>
              <c:multiLvlStrCache>
                <c:ptCount val="14"/>
                <c:lvl>
                  <c:pt idx="0">
                    <c:v>w1</c:v>
                  </c:pt>
                  <c:pt idx="1">
                    <c:v>w2</c:v>
                  </c:pt>
                  <c:pt idx="2">
                    <c:v>w1</c:v>
                  </c:pt>
                  <c:pt idx="3">
                    <c:v>w2</c:v>
                  </c:pt>
                  <c:pt idx="4">
                    <c:v>w1</c:v>
                  </c:pt>
                  <c:pt idx="5">
                    <c:v>w2</c:v>
                  </c:pt>
                  <c:pt idx="6">
                    <c:v>w1</c:v>
                  </c:pt>
                  <c:pt idx="7">
                    <c:v>w2</c:v>
                  </c:pt>
                  <c:pt idx="8">
                    <c:v>w1</c:v>
                  </c:pt>
                  <c:pt idx="9">
                    <c:v>w2</c:v>
                  </c:pt>
                  <c:pt idx="10">
                    <c:v>w1</c:v>
                  </c:pt>
                  <c:pt idx="11">
                    <c:v>w2</c:v>
                  </c:pt>
                  <c:pt idx="12">
                    <c:v>w1</c:v>
                  </c:pt>
                  <c:pt idx="13">
                    <c:v>w2</c:v>
                  </c:pt>
                </c:lvl>
                <c:lvl>
                  <c:pt idx="0">
                    <c:v>National</c:v>
                  </c:pt>
                  <c:pt idx="2">
                    <c:v>NC</c:v>
                  </c:pt>
                  <c:pt idx="4">
                    <c:v>NE</c:v>
                  </c:pt>
                  <c:pt idx="6">
                    <c:v>NW</c:v>
                  </c:pt>
                  <c:pt idx="8">
                    <c:v>SE</c:v>
                  </c:pt>
                  <c:pt idx="10">
                    <c:v>SS</c:v>
                  </c:pt>
                  <c:pt idx="12">
                    <c:v>SW</c:v>
                  </c:pt>
                </c:lvl>
              </c:multiLvlStrCache>
            </c:multiLvlStrRef>
          </c:cat>
          <c:val>
            <c:numRef>
              <c:f>occupation_bothwaves!$B$5:$O$5</c:f>
              <c:numCache>
                <c:formatCode>0%</c:formatCode>
                <c:ptCount val="14"/>
                <c:pt idx="0">
                  <c:v>0.40035989999999999</c:v>
                </c:pt>
                <c:pt idx="1">
                  <c:v>0.42032229999999998</c:v>
                </c:pt>
                <c:pt idx="2">
                  <c:v>0.2895201</c:v>
                </c:pt>
                <c:pt idx="3">
                  <c:v>0.29126160000000001</c:v>
                </c:pt>
                <c:pt idx="4">
                  <c:v>0.39997630000000001</c:v>
                </c:pt>
                <c:pt idx="5">
                  <c:v>0.390513</c:v>
                </c:pt>
                <c:pt idx="6">
                  <c:v>0.46476729999999999</c:v>
                </c:pt>
                <c:pt idx="7">
                  <c:v>0.44798199999999999</c:v>
                </c:pt>
                <c:pt idx="8">
                  <c:v>0.29284890000000002</c:v>
                </c:pt>
                <c:pt idx="9">
                  <c:v>0.3786987</c:v>
                </c:pt>
                <c:pt idx="10">
                  <c:v>0.34877649999999999</c:v>
                </c:pt>
                <c:pt idx="11">
                  <c:v>0.36513309999999999</c:v>
                </c:pt>
                <c:pt idx="12">
                  <c:v>0.53462639999999995</c:v>
                </c:pt>
                <c:pt idx="13">
                  <c:v>0.56599940000000004</c:v>
                </c:pt>
              </c:numCache>
            </c:numRef>
          </c:val>
          <c:extLst xmlns:c16r2="http://schemas.microsoft.com/office/drawing/2015/06/chart">
            <c:ext xmlns:c16="http://schemas.microsoft.com/office/drawing/2014/chart" uri="{C3380CC4-5D6E-409C-BE32-E72D297353CC}">
              <c16:uniqueId val="{00000002-78EB-4E49-A71F-1EAC9C46BFDF}"/>
            </c:ext>
          </c:extLst>
        </c:ser>
        <c:ser>
          <c:idx val="3"/>
          <c:order val="3"/>
          <c:tx>
            <c:strRef>
              <c:f>occupation_bothwaves!$A$6</c:f>
              <c:strCache>
                <c:ptCount val="1"/>
                <c:pt idx="0">
                  <c:v>Paid - Private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occupation_bothwaves!$B$1:$O$2</c:f>
              <c:multiLvlStrCache>
                <c:ptCount val="14"/>
                <c:lvl>
                  <c:pt idx="0">
                    <c:v>w1</c:v>
                  </c:pt>
                  <c:pt idx="1">
                    <c:v>w2</c:v>
                  </c:pt>
                  <c:pt idx="2">
                    <c:v>w1</c:v>
                  </c:pt>
                  <c:pt idx="3">
                    <c:v>w2</c:v>
                  </c:pt>
                  <c:pt idx="4">
                    <c:v>w1</c:v>
                  </c:pt>
                  <c:pt idx="5">
                    <c:v>w2</c:v>
                  </c:pt>
                  <c:pt idx="6">
                    <c:v>w1</c:v>
                  </c:pt>
                  <c:pt idx="7">
                    <c:v>w2</c:v>
                  </c:pt>
                  <c:pt idx="8">
                    <c:v>w1</c:v>
                  </c:pt>
                  <c:pt idx="9">
                    <c:v>w2</c:v>
                  </c:pt>
                  <c:pt idx="10">
                    <c:v>w1</c:v>
                  </c:pt>
                  <c:pt idx="11">
                    <c:v>w2</c:v>
                  </c:pt>
                  <c:pt idx="12">
                    <c:v>w1</c:v>
                  </c:pt>
                  <c:pt idx="13">
                    <c:v>w2</c:v>
                  </c:pt>
                </c:lvl>
                <c:lvl>
                  <c:pt idx="0">
                    <c:v>National</c:v>
                  </c:pt>
                  <c:pt idx="2">
                    <c:v>NC</c:v>
                  </c:pt>
                  <c:pt idx="4">
                    <c:v>NE</c:v>
                  </c:pt>
                  <c:pt idx="6">
                    <c:v>NW</c:v>
                  </c:pt>
                  <c:pt idx="8">
                    <c:v>SE</c:v>
                  </c:pt>
                  <c:pt idx="10">
                    <c:v>SS</c:v>
                  </c:pt>
                  <c:pt idx="12">
                    <c:v>SW</c:v>
                  </c:pt>
                </c:lvl>
              </c:multiLvlStrCache>
            </c:multiLvlStrRef>
          </c:cat>
          <c:val>
            <c:numRef>
              <c:f>occupation_bothwaves!$B$6:$O$6</c:f>
              <c:numCache>
                <c:formatCode>0%</c:formatCode>
                <c:ptCount val="14"/>
                <c:pt idx="0">
                  <c:v>6.1415400000000002E-2</c:v>
                </c:pt>
                <c:pt idx="1">
                  <c:v>6.7063399999999995E-2</c:v>
                </c:pt>
                <c:pt idx="2">
                  <c:v>5.1006000000000003E-2</c:v>
                </c:pt>
                <c:pt idx="3">
                  <c:v>5.25213E-2</c:v>
                </c:pt>
                <c:pt idx="4">
                  <c:v>2.0577600000000001E-2</c:v>
                </c:pt>
                <c:pt idx="5">
                  <c:v>1.07232E-2</c:v>
                </c:pt>
                <c:pt idx="6">
                  <c:v>1.5129500000000001E-2</c:v>
                </c:pt>
                <c:pt idx="7">
                  <c:v>1.58586E-2</c:v>
                </c:pt>
                <c:pt idx="8">
                  <c:v>4.3960399999999997E-2</c:v>
                </c:pt>
                <c:pt idx="9">
                  <c:v>5.76254E-2</c:v>
                </c:pt>
                <c:pt idx="10">
                  <c:v>9.7442100000000004E-2</c:v>
                </c:pt>
                <c:pt idx="11">
                  <c:v>0.1200596</c:v>
                </c:pt>
                <c:pt idx="12">
                  <c:v>0.1159434</c:v>
                </c:pt>
                <c:pt idx="13">
                  <c:v>0.11840340000000001</c:v>
                </c:pt>
              </c:numCache>
            </c:numRef>
          </c:val>
          <c:extLst xmlns:c16r2="http://schemas.microsoft.com/office/drawing/2015/06/chart">
            <c:ext xmlns:c16="http://schemas.microsoft.com/office/drawing/2014/chart" uri="{C3380CC4-5D6E-409C-BE32-E72D297353CC}">
              <c16:uniqueId val="{00000003-78EB-4E49-A71F-1EAC9C46BFDF}"/>
            </c:ext>
          </c:extLst>
        </c:ser>
        <c:ser>
          <c:idx val="4"/>
          <c:order val="4"/>
          <c:tx>
            <c:strRef>
              <c:f>occupation_bothwaves!$A$7</c:f>
              <c:strCache>
                <c:ptCount val="1"/>
                <c:pt idx="0">
                  <c:v>Paid - Public</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occupation_bothwaves!$B$1:$O$2</c:f>
              <c:multiLvlStrCache>
                <c:ptCount val="14"/>
                <c:lvl>
                  <c:pt idx="0">
                    <c:v>w1</c:v>
                  </c:pt>
                  <c:pt idx="1">
                    <c:v>w2</c:v>
                  </c:pt>
                  <c:pt idx="2">
                    <c:v>w1</c:v>
                  </c:pt>
                  <c:pt idx="3">
                    <c:v>w2</c:v>
                  </c:pt>
                  <c:pt idx="4">
                    <c:v>w1</c:v>
                  </c:pt>
                  <c:pt idx="5">
                    <c:v>w2</c:v>
                  </c:pt>
                  <c:pt idx="6">
                    <c:v>w1</c:v>
                  </c:pt>
                  <c:pt idx="7">
                    <c:v>w2</c:v>
                  </c:pt>
                  <c:pt idx="8">
                    <c:v>w1</c:v>
                  </c:pt>
                  <c:pt idx="9">
                    <c:v>w2</c:v>
                  </c:pt>
                  <c:pt idx="10">
                    <c:v>w1</c:v>
                  </c:pt>
                  <c:pt idx="11">
                    <c:v>w2</c:v>
                  </c:pt>
                  <c:pt idx="12">
                    <c:v>w1</c:v>
                  </c:pt>
                  <c:pt idx="13">
                    <c:v>w2</c:v>
                  </c:pt>
                </c:lvl>
                <c:lvl>
                  <c:pt idx="0">
                    <c:v>National</c:v>
                  </c:pt>
                  <c:pt idx="2">
                    <c:v>NC</c:v>
                  </c:pt>
                  <c:pt idx="4">
                    <c:v>NE</c:v>
                  </c:pt>
                  <c:pt idx="6">
                    <c:v>NW</c:v>
                  </c:pt>
                  <c:pt idx="8">
                    <c:v>SE</c:v>
                  </c:pt>
                  <c:pt idx="10">
                    <c:v>SS</c:v>
                  </c:pt>
                  <c:pt idx="12">
                    <c:v>SW</c:v>
                  </c:pt>
                </c:lvl>
              </c:multiLvlStrCache>
            </c:multiLvlStrRef>
          </c:cat>
          <c:val>
            <c:numRef>
              <c:f>occupation_bothwaves!$B$7:$O$7</c:f>
              <c:numCache>
                <c:formatCode>0%</c:formatCode>
                <c:ptCount val="14"/>
                <c:pt idx="0">
                  <c:v>9.2519299999999999E-2</c:v>
                </c:pt>
                <c:pt idx="1">
                  <c:v>8.2851599999999997E-2</c:v>
                </c:pt>
                <c:pt idx="2">
                  <c:v>0.10929270000000001</c:v>
                </c:pt>
                <c:pt idx="3">
                  <c:v>9.7925399999999996E-2</c:v>
                </c:pt>
                <c:pt idx="4">
                  <c:v>8.1396300000000005E-2</c:v>
                </c:pt>
                <c:pt idx="5">
                  <c:v>6.7275600000000005E-2</c:v>
                </c:pt>
                <c:pt idx="6">
                  <c:v>7.3059499999999999E-2</c:v>
                </c:pt>
                <c:pt idx="7">
                  <c:v>6.09151E-2</c:v>
                </c:pt>
                <c:pt idx="8">
                  <c:v>8.5245500000000002E-2</c:v>
                </c:pt>
                <c:pt idx="9">
                  <c:v>0.1006949</c:v>
                </c:pt>
                <c:pt idx="10">
                  <c:v>0.1165553</c:v>
                </c:pt>
                <c:pt idx="11">
                  <c:v>0.1176143</c:v>
                </c:pt>
                <c:pt idx="12">
                  <c:v>8.9882100000000006E-2</c:v>
                </c:pt>
                <c:pt idx="13">
                  <c:v>6.4226000000000005E-2</c:v>
                </c:pt>
              </c:numCache>
            </c:numRef>
          </c:val>
          <c:extLst xmlns:c16r2="http://schemas.microsoft.com/office/drawing/2015/06/chart">
            <c:ext xmlns:c16="http://schemas.microsoft.com/office/drawing/2014/chart" uri="{C3380CC4-5D6E-409C-BE32-E72D297353CC}">
              <c16:uniqueId val="{00000004-78EB-4E49-A71F-1EAC9C46BFDF}"/>
            </c:ext>
          </c:extLst>
        </c:ser>
        <c:ser>
          <c:idx val="5"/>
          <c:order val="5"/>
          <c:tx>
            <c:strRef>
              <c:f>occupation_bothwaves!$A$8</c:f>
              <c:strCache>
                <c:ptCount val="1"/>
                <c:pt idx="0">
                  <c:v>Other</c:v>
                </c:pt>
              </c:strCache>
            </c:strRef>
          </c:tx>
          <c:spPr>
            <a:solidFill>
              <a:schemeClr val="accent6"/>
            </a:solidFill>
            <a:ln>
              <a:noFill/>
            </a:ln>
            <a:effectLst/>
          </c:spPr>
          <c:invertIfNegative val="0"/>
          <c:cat>
            <c:multiLvlStrRef>
              <c:f>occupation_bothwaves!$B$1:$O$2</c:f>
              <c:multiLvlStrCache>
                <c:ptCount val="14"/>
                <c:lvl>
                  <c:pt idx="0">
                    <c:v>w1</c:v>
                  </c:pt>
                  <c:pt idx="1">
                    <c:v>w2</c:v>
                  </c:pt>
                  <c:pt idx="2">
                    <c:v>w1</c:v>
                  </c:pt>
                  <c:pt idx="3">
                    <c:v>w2</c:v>
                  </c:pt>
                  <c:pt idx="4">
                    <c:v>w1</c:v>
                  </c:pt>
                  <c:pt idx="5">
                    <c:v>w2</c:v>
                  </c:pt>
                  <c:pt idx="6">
                    <c:v>w1</c:v>
                  </c:pt>
                  <c:pt idx="7">
                    <c:v>w2</c:v>
                  </c:pt>
                  <c:pt idx="8">
                    <c:v>w1</c:v>
                  </c:pt>
                  <c:pt idx="9">
                    <c:v>w2</c:v>
                  </c:pt>
                  <c:pt idx="10">
                    <c:v>w1</c:v>
                  </c:pt>
                  <c:pt idx="11">
                    <c:v>w2</c:v>
                  </c:pt>
                  <c:pt idx="12">
                    <c:v>w1</c:v>
                  </c:pt>
                  <c:pt idx="13">
                    <c:v>w2</c:v>
                  </c:pt>
                </c:lvl>
                <c:lvl>
                  <c:pt idx="0">
                    <c:v>National</c:v>
                  </c:pt>
                  <c:pt idx="2">
                    <c:v>NC</c:v>
                  </c:pt>
                  <c:pt idx="4">
                    <c:v>NE</c:v>
                  </c:pt>
                  <c:pt idx="6">
                    <c:v>NW</c:v>
                  </c:pt>
                  <c:pt idx="8">
                    <c:v>SE</c:v>
                  </c:pt>
                  <c:pt idx="10">
                    <c:v>SS</c:v>
                  </c:pt>
                  <c:pt idx="12">
                    <c:v>SW</c:v>
                  </c:pt>
                </c:lvl>
              </c:multiLvlStrCache>
            </c:multiLvlStrRef>
          </c:cat>
          <c:val>
            <c:numRef>
              <c:f>occupation_bothwaves!$B$8:$O$8</c:f>
              <c:numCache>
                <c:formatCode>0%</c:formatCode>
                <c:ptCount val="14"/>
                <c:pt idx="0">
                  <c:v>4.3848199999999997E-2</c:v>
                </c:pt>
                <c:pt idx="1">
                  <c:v>3.2898299999999998E-2</c:v>
                </c:pt>
                <c:pt idx="2">
                  <c:v>3.82961E-2</c:v>
                </c:pt>
                <c:pt idx="3">
                  <c:v>2.4848700000000001E-2</c:v>
                </c:pt>
                <c:pt idx="4">
                  <c:v>4.8689700000000002E-2</c:v>
                </c:pt>
                <c:pt idx="5">
                  <c:v>4.85832E-2</c:v>
                </c:pt>
                <c:pt idx="6">
                  <c:v>5.8389000000000003E-2</c:v>
                </c:pt>
                <c:pt idx="7">
                  <c:v>2.0087399999999998E-2</c:v>
                </c:pt>
                <c:pt idx="8">
                  <c:v>3.0540600000000001E-2</c:v>
                </c:pt>
                <c:pt idx="9">
                  <c:v>2.3562199999999998E-2</c:v>
                </c:pt>
                <c:pt idx="10">
                  <c:v>4.7418000000000002E-2</c:v>
                </c:pt>
                <c:pt idx="11">
                  <c:v>3.1927200000000003E-2</c:v>
                </c:pt>
                <c:pt idx="12">
                  <c:v>3.83936E-2</c:v>
                </c:pt>
                <c:pt idx="13">
                  <c:v>4.7820599999999998E-2</c:v>
                </c:pt>
              </c:numCache>
            </c:numRef>
          </c:val>
          <c:extLst xmlns:c16r2="http://schemas.microsoft.com/office/drawing/2015/06/chart">
            <c:ext xmlns:c16="http://schemas.microsoft.com/office/drawing/2014/chart" uri="{C3380CC4-5D6E-409C-BE32-E72D297353CC}">
              <c16:uniqueId val="{00000005-78EB-4E49-A71F-1EAC9C46BFDF}"/>
            </c:ext>
          </c:extLst>
        </c:ser>
        <c:dLbls>
          <c:showLegendKey val="0"/>
          <c:showVal val="0"/>
          <c:showCatName val="0"/>
          <c:showSerName val="0"/>
          <c:showPercent val="0"/>
          <c:showBubbleSize val="0"/>
        </c:dLbls>
        <c:gapWidth val="54"/>
        <c:overlap val="100"/>
        <c:axId val="475810552"/>
        <c:axId val="475810944"/>
      </c:barChart>
      <c:catAx>
        <c:axId val="47581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rebuchet MS" panose="020B0603020202020204" pitchFamily="34" charset="0"/>
                <a:ea typeface="+mn-ea"/>
                <a:cs typeface="+mn-cs"/>
              </a:defRPr>
            </a:pPr>
            <a:endParaRPr lang="en-US"/>
          </a:p>
        </c:txPr>
        <c:crossAx val="475810944"/>
        <c:crosses val="autoZero"/>
        <c:auto val="1"/>
        <c:lblAlgn val="ctr"/>
        <c:lblOffset val="100"/>
        <c:noMultiLvlLbl val="0"/>
      </c:catAx>
      <c:valAx>
        <c:axId val="475810944"/>
        <c:scaling>
          <c:orientation val="minMax"/>
        </c:scaling>
        <c:delete val="0"/>
        <c:axPos val="l"/>
        <c:majorGridlines>
          <c:spPr>
            <a:ln w="9525" cap="flat" cmpd="sng" algn="ctr">
              <a:solidFill>
                <a:schemeClr val="bg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rebuchet MS" panose="020B0603020202020204" pitchFamily="34" charset="0"/>
                <a:ea typeface="+mn-ea"/>
                <a:cs typeface="+mn-cs"/>
              </a:defRPr>
            </a:pPr>
            <a:endParaRPr lang="en-US"/>
          </a:p>
        </c:txPr>
        <c:crossAx val="475810552"/>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rebuchet MS" panose="020B0603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rebuchet MS" panose="020B0603020202020204" pitchFamily="34" charset="0"/>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29465286014957E-2"/>
          <c:y val="5.0142441143649658E-2"/>
          <c:w val="0.89058473566205032"/>
          <c:h val="0.67930911827909135"/>
        </c:manualLayout>
      </c:layout>
      <c:barChart>
        <c:barDir val="col"/>
        <c:grouping val="percentStacked"/>
        <c:varyColors val="0"/>
        <c:ser>
          <c:idx val="0"/>
          <c:order val="0"/>
          <c:tx>
            <c:strRef>
              <c:f>Sheet1!$F$54</c:f>
              <c:strCache>
                <c:ptCount val="1"/>
                <c:pt idx="0">
                  <c:v>Food</c:v>
                </c:pt>
              </c:strCache>
            </c:strRef>
          </c:tx>
          <c:spPr>
            <a:solidFill>
              <a:schemeClr val="accent6">
                <a:lumMod val="50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Sheet1!$G$53:$M$53</c:f>
              <c:strCache>
                <c:ptCount val="7"/>
                <c:pt idx="0">
                  <c:v>National</c:v>
                </c:pt>
                <c:pt idx="1">
                  <c:v>NC</c:v>
                </c:pt>
                <c:pt idx="2">
                  <c:v>NE</c:v>
                </c:pt>
                <c:pt idx="3">
                  <c:v>NW</c:v>
                </c:pt>
                <c:pt idx="4">
                  <c:v>SE</c:v>
                </c:pt>
                <c:pt idx="5">
                  <c:v>SS</c:v>
                </c:pt>
                <c:pt idx="6">
                  <c:v>SW</c:v>
                </c:pt>
              </c:strCache>
            </c:strRef>
          </c:cat>
          <c:val>
            <c:numRef>
              <c:f>Sheet1!$G$54:$M$54</c:f>
              <c:numCache>
                <c:formatCode>0%</c:formatCode>
                <c:ptCount val="7"/>
                <c:pt idx="0">
                  <c:v>6.2142799999999998E-2</c:v>
                </c:pt>
                <c:pt idx="1">
                  <c:v>4.5372099999999999E-2</c:v>
                </c:pt>
                <c:pt idx="2">
                  <c:v>0.1484683</c:v>
                </c:pt>
                <c:pt idx="3">
                  <c:v>0.13708490000000001</c:v>
                </c:pt>
                <c:pt idx="4">
                  <c:v>2.2943700000000001E-2</c:v>
                </c:pt>
                <c:pt idx="5">
                  <c:v>1.48182E-2</c:v>
                </c:pt>
                <c:pt idx="6">
                  <c:v>2.5770700000000001E-2</c:v>
                </c:pt>
              </c:numCache>
            </c:numRef>
          </c:val>
          <c:extLst xmlns:c16r2="http://schemas.microsoft.com/office/drawing/2015/06/chart">
            <c:ext xmlns:c16="http://schemas.microsoft.com/office/drawing/2014/chart" uri="{C3380CC4-5D6E-409C-BE32-E72D297353CC}">
              <c16:uniqueId val="{00000000-F9CE-4B95-BB7E-5CFC27D64F5C}"/>
            </c:ext>
          </c:extLst>
        </c:ser>
        <c:ser>
          <c:idx val="1"/>
          <c:order val="1"/>
          <c:tx>
            <c:strRef>
              <c:f>Sheet1!$F$55</c:f>
              <c:strCache>
                <c:ptCount val="1"/>
                <c:pt idx="0">
                  <c:v>Textile</c:v>
                </c:pt>
              </c:strCache>
            </c:strRef>
          </c:tx>
          <c:spPr>
            <a:solidFill>
              <a:schemeClr val="accent6"/>
            </a:solidFill>
          </c:spPr>
          <c:invertIfNegative val="0"/>
          <c:cat>
            <c:strRef>
              <c:f>Sheet1!$G$53:$M$53</c:f>
              <c:strCache>
                <c:ptCount val="7"/>
                <c:pt idx="0">
                  <c:v>National</c:v>
                </c:pt>
                <c:pt idx="1">
                  <c:v>NC</c:v>
                </c:pt>
                <c:pt idx="2">
                  <c:v>NE</c:v>
                </c:pt>
                <c:pt idx="3">
                  <c:v>NW</c:v>
                </c:pt>
                <c:pt idx="4">
                  <c:v>SE</c:v>
                </c:pt>
                <c:pt idx="5">
                  <c:v>SS</c:v>
                </c:pt>
                <c:pt idx="6">
                  <c:v>SW</c:v>
                </c:pt>
              </c:strCache>
            </c:strRef>
          </c:cat>
          <c:val>
            <c:numRef>
              <c:f>Sheet1!$G$55:$M$55</c:f>
              <c:numCache>
                <c:formatCode>0%</c:formatCode>
                <c:ptCount val="7"/>
                <c:pt idx="0">
                  <c:v>5.8028400000000001E-2</c:v>
                </c:pt>
                <c:pt idx="1">
                  <c:v>7.7833399999999997E-2</c:v>
                </c:pt>
                <c:pt idx="2">
                  <c:v>8.8831999999999994E-2</c:v>
                </c:pt>
                <c:pt idx="3">
                  <c:v>8.6461700000000002E-2</c:v>
                </c:pt>
                <c:pt idx="4">
                  <c:v>2.6684900000000001E-2</c:v>
                </c:pt>
                <c:pt idx="5">
                  <c:v>3.9141799999999997E-2</c:v>
                </c:pt>
                <c:pt idx="6">
                  <c:v>7.0819499999999994E-2</c:v>
                </c:pt>
              </c:numCache>
            </c:numRef>
          </c:val>
          <c:extLst xmlns:c16r2="http://schemas.microsoft.com/office/drawing/2015/06/chart">
            <c:ext xmlns:c16="http://schemas.microsoft.com/office/drawing/2014/chart" uri="{C3380CC4-5D6E-409C-BE32-E72D297353CC}">
              <c16:uniqueId val="{00000001-F9CE-4B95-BB7E-5CFC27D64F5C}"/>
            </c:ext>
          </c:extLst>
        </c:ser>
        <c:ser>
          <c:idx val="2"/>
          <c:order val="2"/>
          <c:tx>
            <c:strRef>
              <c:f>Sheet1!$F$56</c:f>
              <c:strCache>
                <c:ptCount val="1"/>
                <c:pt idx="0">
                  <c:v>Construction</c:v>
                </c:pt>
              </c:strCache>
            </c:strRef>
          </c:tx>
          <c:spPr>
            <a:solidFill>
              <a:schemeClr val="accent6">
                <a:lumMod val="40000"/>
                <a:lumOff val="60000"/>
              </a:schemeClr>
            </a:solidFill>
          </c:spPr>
          <c:invertIfNegative val="0"/>
          <c:cat>
            <c:strRef>
              <c:f>Sheet1!$G$53:$M$53</c:f>
              <c:strCache>
                <c:ptCount val="7"/>
                <c:pt idx="0">
                  <c:v>National</c:v>
                </c:pt>
                <c:pt idx="1">
                  <c:v>NC</c:v>
                </c:pt>
                <c:pt idx="2">
                  <c:v>NE</c:v>
                </c:pt>
                <c:pt idx="3">
                  <c:v>NW</c:v>
                </c:pt>
                <c:pt idx="4">
                  <c:v>SE</c:v>
                </c:pt>
                <c:pt idx="5">
                  <c:v>SS</c:v>
                </c:pt>
                <c:pt idx="6">
                  <c:v>SW</c:v>
                </c:pt>
              </c:strCache>
            </c:strRef>
          </c:cat>
          <c:val>
            <c:numRef>
              <c:f>Sheet1!$G$56:$M$56</c:f>
              <c:numCache>
                <c:formatCode>0%</c:formatCode>
                <c:ptCount val="7"/>
                <c:pt idx="0">
                  <c:v>4.1998899999999999E-2</c:v>
                </c:pt>
                <c:pt idx="1">
                  <c:v>2.4188600000000001E-2</c:v>
                </c:pt>
                <c:pt idx="2">
                  <c:v>3.6159799999999999E-2</c:v>
                </c:pt>
                <c:pt idx="3">
                  <c:v>2.0884699999999999E-2</c:v>
                </c:pt>
                <c:pt idx="4">
                  <c:v>8.0351400000000003E-2</c:v>
                </c:pt>
                <c:pt idx="5">
                  <c:v>4.1986500000000003E-2</c:v>
                </c:pt>
                <c:pt idx="6">
                  <c:v>3.24978E-2</c:v>
                </c:pt>
              </c:numCache>
            </c:numRef>
          </c:val>
          <c:extLst xmlns:c16r2="http://schemas.microsoft.com/office/drawing/2015/06/chart">
            <c:ext xmlns:c16="http://schemas.microsoft.com/office/drawing/2014/chart" uri="{C3380CC4-5D6E-409C-BE32-E72D297353CC}">
              <c16:uniqueId val="{00000002-F9CE-4B95-BB7E-5CFC27D64F5C}"/>
            </c:ext>
          </c:extLst>
        </c:ser>
        <c:ser>
          <c:idx val="3"/>
          <c:order val="3"/>
          <c:tx>
            <c:strRef>
              <c:f>Sheet1!$F$57</c:f>
              <c:strCache>
                <c:ptCount val="1"/>
                <c:pt idx="0">
                  <c:v>Other manufacturing</c:v>
                </c:pt>
              </c:strCache>
            </c:strRef>
          </c:tx>
          <c:spPr>
            <a:solidFill>
              <a:srgbClr val="DDF8FB"/>
            </a:solidFill>
          </c:spPr>
          <c:invertIfNegative val="0"/>
          <c:cat>
            <c:strRef>
              <c:f>Sheet1!$G$53:$M$53</c:f>
              <c:strCache>
                <c:ptCount val="7"/>
                <c:pt idx="0">
                  <c:v>National</c:v>
                </c:pt>
                <c:pt idx="1">
                  <c:v>NC</c:v>
                </c:pt>
                <c:pt idx="2">
                  <c:v>NE</c:v>
                </c:pt>
                <c:pt idx="3">
                  <c:v>NW</c:v>
                </c:pt>
                <c:pt idx="4">
                  <c:v>SE</c:v>
                </c:pt>
                <c:pt idx="5">
                  <c:v>SS</c:v>
                </c:pt>
                <c:pt idx="6">
                  <c:v>SW</c:v>
                </c:pt>
              </c:strCache>
            </c:strRef>
          </c:cat>
          <c:val>
            <c:numRef>
              <c:f>Sheet1!$G$57:$M$57</c:f>
              <c:numCache>
                <c:formatCode>0%</c:formatCode>
                <c:ptCount val="7"/>
                <c:pt idx="0">
                  <c:v>6.1590600000000002E-2</c:v>
                </c:pt>
                <c:pt idx="1">
                  <c:v>6.3797199999999998E-2</c:v>
                </c:pt>
                <c:pt idx="2">
                  <c:v>9.5668900000000001E-2</c:v>
                </c:pt>
                <c:pt idx="3">
                  <c:v>7.2450799999999996E-2</c:v>
                </c:pt>
                <c:pt idx="4">
                  <c:v>6.7022100000000001E-2</c:v>
                </c:pt>
                <c:pt idx="5">
                  <c:v>4.2554599999999998E-2</c:v>
                </c:pt>
                <c:pt idx="6">
                  <c:v>6.3035900000000006E-2</c:v>
                </c:pt>
              </c:numCache>
            </c:numRef>
          </c:val>
          <c:extLst xmlns:c16r2="http://schemas.microsoft.com/office/drawing/2015/06/chart">
            <c:ext xmlns:c16="http://schemas.microsoft.com/office/drawing/2014/chart" uri="{C3380CC4-5D6E-409C-BE32-E72D297353CC}">
              <c16:uniqueId val="{00000003-F9CE-4B95-BB7E-5CFC27D64F5C}"/>
            </c:ext>
          </c:extLst>
        </c:ser>
        <c:ser>
          <c:idx val="4"/>
          <c:order val="4"/>
          <c:tx>
            <c:strRef>
              <c:f>Sheet1!$F$58</c:f>
              <c:strCache>
                <c:ptCount val="1"/>
                <c:pt idx="0">
                  <c:v>Retail/Wholesale</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Sheet1!$G$53:$M$53</c:f>
              <c:strCache>
                <c:ptCount val="7"/>
                <c:pt idx="0">
                  <c:v>National</c:v>
                </c:pt>
                <c:pt idx="1">
                  <c:v>NC</c:v>
                </c:pt>
                <c:pt idx="2">
                  <c:v>NE</c:v>
                </c:pt>
                <c:pt idx="3">
                  <c:v>NW</c:v>
                </c:pt>
                <c:pt idx="4">
                  <c:v>SE</c:v>
                </c:pt>
                <c:pt idx="5">
                  <c:v>SS</c:v>
                </c:pt>
                <c:pt idx="6">
                  <c:v>SW</c:v>
                </c:pt>
              </c:strCache>
            </c:strRef>
          </c:cat>
          <c:val>
            <c:numRef>
              <c:f>Sheet1!$G$58:$M$58</c:f>
              <c:numCache>
                <c:formatCode>0%</c:formatCode>
                <c:ptCount val="7"/>
                <c:pt idx="0">
                  <c:v>0.53438399999999997</c:v>
                </c:pt>
                <c:pt idx="1">
                  <c:v>0.60776600000000003</c:v>
                </c:pt>
                <c:pt idx="2">
                  <c:v>0.43876019999999999</c:v>
                </c:pt>
                <c:pt idx="3">
                  <c:v>0.48107060000000001</c:v>
                </c:pt>
                <c:pt idx="4">
                  <c:v>0.596105</c:v>
                </c:pt>
                <c:pt idx="5">
                  <c:v>0.53423609999999999</c:v>
                </c:pt>
                <c:pt idx="6">
                  <c:v>0.47748089999999999</c:v>
                </c:pt>
              </c:numCache>
            </c:numRef>
          </c:val>
          <c:extLst xmlns:c16r2="http://schemas.microsoft.com/office/drawing/2015/06/chart">
            <c:ext xmlns:c16="http://schemas.microsoft.com/office/drawing/2014/chart" uri="{C3380CC4-5D6E-409C-BE32-E72D297353CC}">
              <c16:uniqueId val="{00000004-F9CE-4B95-BB7E-5CFC27D64F5C}"/>
            </c:ext>
          </c:extLst>
        </c:ser>
        <c:ser>
          <c:idx val="5"/>
          <c:order val="5"/>
          <c:tx>
            <c:strRef>
              <c:f>Sheet1!$F$59</c:f>
              <c:strCache>
                <c:ptCount val="1"/>
                <c:pt idx="0">
                  <c:v>Restaurants</c:v>
                </c:pt>
              </c:strCache>
            </c:strRef>
          </c:tx>
          <c:spPr>
            <a:solidFill>
              <a:schemeClr val="accent3"/>
            </a:solidFill>
          </c:spPr>
          <c:invertIfNegative val="0"/>
          <c:cat>
            <c:strRef>
              <c:f>Sheet1!$G$53:$M$53</c:f>
              <c:strCache>
                <c:ptCount val="7"/>
                <c:pt idx="0">
                  <c:v>National</c:v>
                </c:pt>
                <c:pt idx="1">
                  <c:v>NC</c:v>
                </c:pt>
                <c:pt idx="2">
                  <c:v>NE</c:v>
                </c:pt>
                <c:pt idx="3">
                  <c:v>NW</c:v>
                </c:pt>
                <c:pt idx="4">
                  <c:v>SE</c:v>
                </c:pt>
                <c:pt idx="5">
                  <c:v>SS</c:v>
                </c:pt>
                <c:pt idx="6">
                  <c:v>SW</c:v>
                </c:pt>
              </c:strCache>
            </c:strRef>
          </c:cat>
          <c:val>
            <c:numRef>
              <c:f>Sheet1!$G$59:$M$59</c:f>
              <c:numCache>
                <c:formatCode>0%</c:formatCode>
                <c:ptCount val="7"/>
                <c:pt idx="0">
                  <c:v>3.5095899999999999E-2</c:v>
                </c:pt>
                <c:pt idx="1">
                  <c:v>1.52792E-2</c:v>
                </c:pt>
                <c:pt idx="2">
                  <c:v>6.4014199999999993E-2</c:v>
                </c:pt>
                <c:pt idx="3">
                  <c:v>4.3084400000000002E-2</c:v>
                </c:pt>
                <c:pt idx="4">
                  <c:v>1.01081E-2</c:v>
                </c:pt>
                <c:pt idx="5">
                  <c:v>3.1208300000000001E-2</c:v>
                </c:pt>
                <c:pt idx="6">
                  <c:v>2.48027E-2</c:v>
                </c:pt>
              </c:numCache>
            </c:numRef>
          </c:val>
          <c:extLst xmlns:c16r2="http://schemas.microsoft.com/office/drawing/2015/06/chart">
            <c:ext xmlns:c16="http://schemas.microsoft.com/office/drawing/2014/chart" uri="{C3380CC4-5D6E-409C-BE32-E72D297353CC}">
              <c16:uniqueId val="{00000005-F9CE-4B95-BB7E-5CFC27D64F5C}"/>
            </c:ext>
          </c:extLst>
        </c:ser>
        <c:ser>
          <c:idx val="6"/>
          <c:order val="6"/>
          <c:tx>
            <c:strRef>
              <c:f>Sheet1!$F$60</c:f>
              <c:strCache>
                <c:ptCount val="1"/>
                <c:pt idx="0">
                  <c:v>Entertainment</c:v>
                </c:pt>
              </c:strCache>
            </c:strRef>
          </c:tx>
          <c:spPr>
            <a:solidFill>
              <a:schemeClr val="accent3">
                <a:lumMod val="75000"/>
              </a:schemeClr>
            </a:solidFill>
          </c:spPr>
          <c:invertIfNegative val="0"/>
          <c:cat>
            <c:strRef>
              <c:f>Sheet1!$G$53:$M$53</c:f>
              <c:strCache>
                <c:ptCount val="7"/>
                <c:pt idx="0">
                  <c:v>National</c:v>
                </c:pt>
                <c:pt idx="1">
                  <c:v>NC</c:v>
                </c:pt>
                <c:pt idx="2">
                  <c:v>NE</c:v>
                </c:pt>
                <c:pt idx="3">
                  <c:v>NW</c:v>
                </c:pt>
                <c:pt idx="4">
                  <c:v>SE</c:v>
                </c:pt>
                <c:pt idx="5">
                  <c:v>SS</c:v>
                </c:pt>
                <c:pt idx="6">
                  <c:v>SW</c:v>
                </c:pt>
              </c:strCache>
            </c:strRef>
          </c:cat>
          <c:val>
            <c:numRef>
              <c:f>Sheet1!$G$60:$M$60</c:f>
              <c:numCache>
                <c:formatCode>0%</c:formatCode>
                <c:ptCount val="7"/>
                <c:pt idx="0">
                  <c:v>4.6541000000000004E-3</c:v>
                </c:pt>
                <c:pt idx="1">
                  <c:v>0</c:v>
                </c:pt>
                <c:pt idx="2">
                  <c:v>8.3869999999999995E-4</c:v>
                </c:pt>
                <c:pt idx="3">
                  <c:v>5.7700000000000004E-4</c:v>
                </c:pt>
                <c:pt idx="4">
                  <c:v>1.1037099999999999E-2</c:v>
                </c:pt>
                <c:pt idx="5">
                  <c:v>7.8975E-3</c:v>
                </c:pt>
                <c:pt idx="6">
                  <c:v>7.6733000000000001E-3</c:v>
                </c:pt>
              </c:numCache>
            </c:numRef>
          </c:val>
          <c:extLst xmlns:c16r2="http://schemas.microsoft.com/office/drawing/2015/06/chart">
            <c:ext xmlns:c16="http://schemas.microsoft.com/office/drawing/2014/chart" uri="{C3380CC4-5D6E-409C-BE32-E72D297353CC}">
              <c16:uniqueId val="{00000006-F9CE-4B95-BB7E-5CFC27D64F5C}"/>
            </c:ext>
          </c:extLst>
        </c:ser>
        <c:ser>
          <c:idx val="7"/>
          <c:order val="7"/>
          <c:tx>
            <c:strRef>
              <c:f>Sheet1!$F$61</c:f>
              <c:strCache>
                <c:ptCount val="1"/>
                <c:pt idx="0">
                  <c:v>Other services</c:v>
                </c:pt>
              </c:strCache>
            </c:strRef>
          </c:tx>
          <c:spPr>
            <a:solidFill>
              <a:schemeClr val="accent3">
                <a:lumMod val="50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Sheet1!$G$53:$M$53</c:f>
              <c:strCache>
                <c:ptCount val="7"/>
                <c:pt idx="0">
                  <c:v>National</c:v>
                </c:pt>
                <c:pt idx="1">
                  <c:v>NC</c:v>
                </c:pt>
                <c:pt idx="2">
                  <c:v>NE</c:v>
                </c:pt>
                <c:pt idx="3">
                  <c:v>NW</c:v>
                </c:pt>
                <c:pt idx="4">
                  <c:v>SE</c:v>
                </c:pt>
                <c:pt idx="5">
                  <c:v>SS</c:v>
                </c:pt>
                <c:pt idx="6">
                  <c:v>SW</c:v>
                </c:pt>
              </c:strCache>
            </c:strRef>
          </c:cat>
          <c:val>
            <c:numRef>
              <c:f>Sheet1!$G$61:$M$61</c:f>
              <c:numCache>
                <c:formatCode>0%</c:formatCode>
                <c:ptCount val="7"/>
                <c:pt idx="0">
                  <c:v>0.19789850000000003</c:v>
                </c:pt>
                <c:pt idx="1">
                  <c:v>0.16413349999999999</c:v>
                </c:pt>
                <c:pt idx="2">
                  <c:v>0.12188360000000001</c:v>
                </c:pt>
                <c:pt idx="3">
                  <c:v>0.15097550000000001</c:v>
                </c:pt>
                <c:pt idx="4">
                  <c:v>0.18083350000000001</c:v>
                </c:pt>
                <c:pt idx="5">
                  <c:v>0.28621419999999997</c:v>
                </c:pt>
                <c:pt idx="6">
                  <c:v>0.29791920000000005</c:v>
                </c:pt>
              </c:numCache>
            </c:numRef>
          </c:val>
          <c:extLst xmlns:c16r2="http://schemas.microsoft.com/office/drawing/2015/06/chart">
            <c:ext xmlns:c16="http://schemas.microsoft.com/office/drawing/2014/chart" uri="{C3380CC4-5D6E-409C-BE32-E72D297353CC}">
              <c16:uniqueId val="{00000007-F9CE-4B95-BB7E-5CFC27D64F5C}"/>
            </c:ext>
          </c:extLst>
        </c:ser>
        <c:dLbls>
          <c:showLegendKey val="0"/>
          <c:showVal val="0"/>
          <c:showCatName val="0"/>
          <c:showSerName val="0"/>
          <c:showPercent val="0"/>
          <c:showBubbleSize val="0"/>
        </c:dLbls>
        <c:gapWidth val="56"/>
        <c:overlap val="100"/>
        <c:axId val="475811336"/>
        <c:axId val="475811728"/>
      </c:barChart>
      <c:catAx>
        <c:axId val="475811336"/>
        <c:scaling>
          <c:orientation val="minMax"/>
        </c:scaling>
        <c:delete val="0"/>
        <c:axPos val="b"/>
        <c:numFmt formatCode="General" sourceLinked="0"/>
        <c:majorTickMark val="out"/>
        <c:minorTickMark val="none"/>
        <c:tickLblPos val="nextTo"/>
        <c:crossAx val="475811728"/>
        <c:crosses val="autoZero"/>
        <c:auto val="1"/>
        <c:lblAlgn val="ctr"/>
        <c:lblOffset val="100"/>
        <c:noMultiLvlLbl val="0"/>
      </c:catAx>
      <c:valAx>
        <c:axId val="475811728"/>
        <c:scaling>
          <c:orientation val="minMax"/>
        </c:scaling>
        <c:delete val="0"/>
        <c:axPos val="l"/>
        <c:majorGridlines>
          <c:spPr>
            <a:ln>
              <a:solidFill>
                <a:schemeClr val="bg1"/>
              </a:solidFill>
              <a:prstDash val="solid"/>
            </a:ln>
          </c:spPr>
        </c:majorGridlines>
        <c:numFmt formatCode="0%" sourceLinked="1"/>
        <c:majorTickMark val="out"/>
        <c:minorTickMark val="none"/>
        <c:tickLblPos val="nextTo"/>
        <c:crossAx val="475811336"/>
        <c:crosses val="autoZero"/>
        <c:crossBetween val="between"/>
      </c:valAx>
      <c:spPr>
        <a:solidFill>
          <a:schemeClr val="bg1">
            <a:lumMod val="95000"/>
          </a:schemeClr>
        </a:solidFill>
      </c:spPr>
    </c:plotArea>
    <c:legend>
      <c:legendPos val="b"/>
      <c:layout>
        <c:manualLayout>
          <c:xMode val="edge"/>
          <c:yMode val="edge"/>
          <c:x val="2.5179998256675478E-2"/>
          <c:y val="0.85053734562249483"/>
          <c:w val="0.95701988358466261"/>
          <c:h val="0.12168467313678813"/>
        </c:manualLayout>
      </c:layout>
      <c:overlay val="0"/>
    </c:legend>
    <c:plotVisOnly val="1"/>
    <c:dispBlanksAs val="gap"/>
    <c:showDLblsOverMax val="0"/>
  </c:chart>
  <c:spPr>
    <a:ln>
      <a:noFill/>
    </a:ln>
  </c:spPr>
  <c:txPr>
    <a:bodyPr/>
    <a:lstStyle/>
    <a:p>
      <a:pPr>
        <a:defRPr>
          <a:latin typeface="Trebuchet MS" panose="020B0603020202020204" pitchFamily="34" charset="0"/>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86111111111111"/>
          <c:y val="5.3240740740740741E-2"/>
          <c:w val="0.43611111111111112"/>
          <c:h val="0.72685185185185186"/>
        </c:manualLayout>
      </c:layout>
      <c:pieChart>
        <c:varyColors val="1"/>
        <c:ser>
          <c:idx val="0"/>
          <c:order val="0"/>
          <c:explosion val="2"/>
          <c:dPt>
            <c:idx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1-DF9B-415E-A47F-8193AFFA0C54}"/>
              </c:ext>
            </c:extLst>
          </c:dPt>
          <c:dPt>
            <c:idx val="1"/>
            <c:bubble3D val="0"/>
            <c:spPr>
              <a:solidFill>
                <a:schemeClr val="accent6"/>
              </a:solidFill>
            </c:spPr>
            <c:extLst xmlns:c16r2="http://schemas.microsoft.com/office/drawing/2015/06/chart">
              <c:ext xmlns:c16="http://schemas.microsoft.com/office/drawing/2014/chart" uri="{C3380CC4-5D6E-409C-BE32-E72D297353CC}">
                <c16:uniqueId val="{00000003-DF9B-415E-A47F-8193AFFA0C54}"/>
              </c:ext>
            </c:extLst>
          </c:dPt>
          <c:dPt>
            <c:idx val="2"/>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5-DF9B-415E-A47F-8193AFFA0C54}"/>
              </c:ext>
            </c:extLst>
          </c:dPt>
          <c:dPt>
            <c:idx val="3"/>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7-DF9B-415E-A47F-8193AFFA0C54}"/>
              </c:ext>
            </c:extLst>
          </c:dPt>
          <c:dPt>
            <c:idx val="4"/>
            <c:bubble3D val="0"/>
            <c:spPr>
              <a:solidFill>
                <a:schemeClr val="accent3"/>
              </a:solidFill>
            </c:spPr>
            <c:extLst xmlns:c16r2="http://schemas.microsoft.com/office/drawing/2015/06/chart">
              <c:ext xmlns:c16="http://schemas.microsoft.com/office/drawing/2014/chart" uri="{C3380CC4-5D6E-409C-BE32-E72D297353CC}">
                <c16:uniqueId val="{00000009-DF9B-415E-A47F-8193AFFA0C54}"/>
              </c:ext>
            </c:extLst>
          </c:dPt>
          <c:dPt>
            <c:idx val="5"/>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B-DF9B-415E-A47F-8193AFFA0C54}"/>
              </c:ext>
            </c:extLst>
          </c:dPt>
          <c:dLbls>
            <c:dLbl>
              <c:idx val="0"/>
              <c:layout>
                <c:manualLayout>
                  <c:x val="7.9099956255468066E-3"/>
                  <c:y val="1.2968431029454651E-2"/>
                </c:manualLayout>
              </c:layout>
              <c:tx>
                <c:rich>
                  <a:bodyPr/>
                  <a:lstStyle/>
                  <a:p>
                    <a:r>
                      <a:rPr lang="en-US"/>
                      <a:t>SW
34.4</a:t>
                    </a:r>
                    <a:r>
                      <a:rPr lang="en-US" sz="900" b="0" i="0" u="none" strike="noStrike" kern="1200" baseline="0">
                        <a:solidFill>
                          <a:srgbClr val="021F43"/>
                        </a:solidFill>
                        <a:latin typeface="Trebuchet MS" panose="020B0603020202020204" pitchFamily="34" charset="0"/>
                        <a:ea typeface="+mn-ea"/>
                        <a:cs typeface="+mn-cs"/>
                      </a:rPr>
                      <a:t>%</a:t>
                    </a:r>
                    <a:endParaRPr lang="en-US"/>
                  </a:p>
                  <a:p>
                    <a:r>
                      <a:rPr lang="en-US"/>
                      <a:t>of which Lagos 9.5</a:t>
                    </a:r>
                    <a:r>
                      <a:rPr lang="en-US" sz="900" b="0" i="0" u="none" strike="noStrike" kern="1200" baseline="0">
                        <a:solidFill>
                          <a:srgbClr val="021F43"/>
                        </a:solidFill>
                        <a:latin typeface="Trebuchet MS" panose="020B0603020202020204" pitchFamily="34" charset="0"/>
                        <a:ea typeface="+mn-ea"/>
                        <a:cs typeface="+mn-cs"/>
                      </a:rPr>
                      <a:t>%</a:t>
                    </a:r>
                    <a:endParaRPr lang="en-US"/>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DF9B-415E-A47F-8193AFFA0C54}"/>
                </c:ext>
                <c:ext xmlns:c15="http://schemas.microsoft.com/office/drawing/2012/chart" uri="{CE6537A1-D6FC-4f65-9D91-7224C49458BB}"/>
              </c:extLst>
            </c:dLbl>
            <c:dLbl>
              <c:idx val="1"/>
              <c:layout>
                <c:manualLayout>
                  <c:x val="9.1392607174103233E-2"/>
                  <c:y val="-0.13312664041994751"/>
                </c:manualLayout>
              </c:layout>
              <c:tx>
                <c:rich>
                  <a:bodyPr/>
                  <a:lstStyle/>
                  <a:p>
                    <a:r>
                      <a:rPr lang="en-US"/>
                      <a:t>SS
17.1</a:t>
                    </a:r>
                    <a:r>
                      <a:rPr lang="en-US" sz="900" b="0" i="0" u="none" strike="noStrike" kern="1200" baseline="0">
                        <a:solidFill>
                          <a:srgbClr val="021F43"/>
                        </a:solidFill>
                        <a:latin typeface="Trebuchet MS" panose="020B0603020202020204" pitchFamily="34" charset="0"/>
                        <a:ea typeface="+mn-ea"/>
                        <a:cs typeface="+mn-cs"/>
                      </a:rPr>
                      <a:t>%</a:t>
                    </a:r>
                    <a:r>
                      <a:rPr lang="en-US"/>
                      <a:t> </a:t>
                    </a:r>
                  </a:p>
                  <a:p>
                    <a:r>
                      <a:rPr lang="en-US"/>
                      <a:t>of which </a:t>
                    </a:r>
                  </a:p>
                  <a:p>
                    <a:r>
                      <a:rPr lang="en-US"/>
                      <a:t>Rivers</a:t>
                    </a:r>
                    <a:r>
                      <a:rPr lang="en-US" baseline="0"/>
                      <a:t> 5.4</a:t>
                    </a:r>
                    <a:r>
                      <a:rPr lang="en-US" sz="900" b="0" i="0" u="none" strike="noStrike" kern="1200" baseline="0">
                        <a:solidFill>
                          <a:srgbClr val="021F43"/>
                        </a:solidFill>
                        <a:latin typeface="Trebuchet MS" panose="020B0603020202020204" pitchFamily="34" charset="0"/>
                        <a:ea typeface="+mn-ea"/>
                        <a:cs typeface="+mn-cs"/>
                      </a:rPr>
                      <a:t>%</a:t>
                    </a:r>
                    <a:endParaRPr lang="en-US"/>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DF9B-415E-A47F-8193AFFA0C54}"/>
                </c:ext>
                <c:ext xmlns:c15="http://schemas.microsoft.com/office/drawing/2012/chart" uri="{CE6537A1-D6FC-4f65-9D91-7224C49458BB}"/>
              </c:extLst>
            </c:dLbl>
            <c:dLbl>
              <c:idx val="2"/>
              <c:layout>
                <c:manualLayout>
                  <c:x val="7.5064960629921254E-2"/>
                  <c:y val="-2.7314814814814814E-3"/>
                </c:manualLayout>
              </c:layout>
              <c:tx>
                <c:rich>
                  <a:bodyPr/>
                  <a:lstStyle/>
                  <a:p>
                    <a:r>
                      <a:rPr lang="en-US"/>
                      <a:t>SE
6.7</a:t>
                    </a:r>
                    <a:r>
                      <a:rPr lang="en-US" sz="900" b="0" i="0" u="none" strike="noStrike" kern="1200" baseline="0">
                        <a:solidFill>
                          <a:srgbClr val="021F43"/>
                        </a:solidFill>
                        <a:latin typeface="Trebuchet MS" panose="020B0603020202020204" pitchFamily="34" charset="0"/>
                        <a:ea typeface="+mn-ea"/>
                        <a:cs typeface="+mn-cs"/>
                      </a:rPr>
                      <a:t>%</a:t>
                    </a:r>
                    <a:endParaRPr lang="en-US"/>
                  </a:p>
                  <a:p>
                    <a:r>
                      <a:rPr lang="en-US"/>
                      <a:t>of which</a:t>
                    </a:r>
                  </a:p>
                  <a:p>
                    <a:r>
                      <a:rPr lang="en-US"/>
                      <a:t>Anambra 2.6</a:t>
                    </a:r>
                    <a:r>
                      <a:rPr lang="en-US" sz="900" b="0" i="0" u="none" strike="noStrike" kern="1200" baseline="0">
                        <a:solidFill>
                          <a:srgbClr val="021F43"/>
                        </a:solidFill>
                        <a:latin typeface="Trebuchet MS" panose="020B0603020202020204" pitchFamily="34" charset="0"/>
                        <a:ea typeface="+mn-ea"/>
                        <a:cs typeface="+mn-cs"/>
                      </a:rPr>
                      <a:t>%</a:t>
                    </a:r>
                    <a:endParaRPr lang="en-US"/>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DF9B-415E-A47F-8193AFFA0C54}"/>
                </c:ext>
                <c:ext xmlns:c15="http://schemas.microsoft.com/office/drawing/2012/chart" uri="{CE6537A1-D6FC-4f65-9D91-7224C49458BB}"/>
              </c:extLst>
            </c:dLbl>
            <c:dLbl>
              <c:idx val="3"/>
              <c:layout>
                <c:manualLayout>
                  <c:x val="-2.0283245844269465E-2"/>
                  <c:y val="-1.6051691455234763E-2"/>
                </c:manualLayout>
              </c:layout>
              <c:tx>
                <c:rich>
                  <a:bodyPr/>
                  <a:lstStyle/>
                  <a:p>
                    <a:r>
                      <a:rPr lang="en-US"/>
                      <a:t>NC
6.2</a:t>
                    </a:r>
                    <a:r>
                      <a:rPr lang="en-US" sz="900" b="0" i="0" u="none" strike="noStrike" kern="1200" baseline="0">
                        <a:solidFill>
                          <a:srgbClr val="021F43"/>
                        </a:solidFill>
                        <a:latin typeface="Trebuchet MS" panose="020B0603020202020204" pitchFamily="34" charset="0"/>
                        <a:ea typeface="+mn-ea"/>
                        <a:cs typeface="+mn-cs"/>
                      </a:rPr>
                      <a:t>%</a:t>
                    </a:r>
                    <a:endParaRPr lang="en-US"/>
                  </a:p>
                  <a:p>
                    <a:r>
                      <a:rPr lang="en-US"/>
                      <a:t>of which</a:t>
                    </a:r>
                  </a:p>
                  <a:p>
                    <a:r>
                      <a:rPr lang="en-US"/>
                      <a:t>Niger</a:t>
                    </a:r>
                    <a:r>
                      <a:rPr lang="en-US" baseline="0"/>
                      <a:t> 2.1</a:t>
                    </a:r>
                    <a:r>
                      <a:rPr lang="en-US" sz="900" b="0" i="0" u="none" strike="noStrike" kern="1200" baseline="0">
                        <a:solidFill>
                          <a:srgbClr val="021F43"/>
                        </a:solidFill>
                        <a:latin typeface="Trebuchet MS" panose="020B0603020202020204" pitchFamily="34" charset="0"/>
                        <a:ea typeface="+mn-ea"/>
                        <a:cs typeface="+mn-cs"/>
                      </a:rPr>
                      <a:t>%</a:t>
                    </a:r>
                    <a:endParaRPr lang="en-US"/>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DF9B-415E-A47F-8193AFFA0C54}"/>
                </c:ext>
                <c:ext xmlns:c15="http://schemas.microsoft.com/office/drawing/2012/chart" uri="{CE6537A1-D6FC-4f65-9D91-7224C49458BB}"/>
              </c:extLst>
            </c:dLbl>
            <c:dLbl>
              <c:idx val="4"/>
              <c:layout>
                <c:manualLayout>
                  <c:x val="-6.1028433945756778E-2"/>
                  <c:y val="-1.4505322251385244E-2"/>
                </c:manualLayout>
              </c:layout>
              <c:tx>
                <c:rich>
                  <a:bodyPr/>
                  <a:lstStyle/>
                  <a:p>
                    <a:r>
                      <a:rPr lang="en-US"/>
                      <a:t>NE
13.9</a:t>
                    </a:r>
                    <a:r>
                      <a:rPr lang="en-US" sz="900" b="0" i="0" u="none" strike="noStrike" kern="1200" baseline="0">
                        <a:solidFill>
                          <a:srgbClr val="021F43"/>
                        </a:solidFill>
                        <a:latin typeface="Trebuchet MS" panose="020B0603020202020204" pitchFamily="34" charset="0"/>
                        <a:ea typeface="+mn-ea"/>
                        <a:cs typeface="+mn-cs"/>
                      </a:rPr>
                      <a:t>%</a:t>
                    </a:r>
                    <a:endParaRPr lang="en-US"/>
                  </a:p>
                  <a:p>
                    <a:r>
                      <a:rPr lang="en-US"/>
                      <a:t>of which </a:t>
                    </a:r>
                  </a:p>
                  <a:p>
                    <a:r>
                      <a:rPr lang="en-US"/>
                      <a:t>Kwara</a:t>
                    </a:r>
                    <a:r>
                      <a:rPr lang="en-US" baseline="0"/>
                      <a:t> 1.7</a:t>
                    </a:r>
                    <a:r>
                      <a:rPr lang="en-US"/>
                      <a:t>%</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DF9B-415E-A47F-8193AFFA0C54}"/>
                </c:ext>
                <c:ext xmlns:c15="http://schemas.microsoft.com/office/drawing/2012/chart" uri="{CE6537A1-D6FC-4f65-9D91-7224C49458BB}"/>
              </c:extLst>
            </c:dLbl>
            <c:dLbl>
              <c:idx val="5"/>
              <c:layout>
                <c:manualLayout>
                  <c:x val="-4.8788276465441822E-2"/>
                  <c:y val="-1.9456838728492271E-2"/>
                </c:manualLayout>
              </c:layout>
              <c:tx>
                <c:rich>
                  <a:bodyPr/>
                  <a:lstStyle/>
                  <a:p>
                    <a:r>
                      <a:rPr lang="en-US"/>
                      <a:t>NW
21.2</a:t>
                    </a:r>
                    <a:r>
                      <a:rPr lang="en-US" sz="900" b="0" i="0" u="none" strike="noStrike" kern="1200" baseline="0">
                        <a:solidFill>
                          <a:srgbClr val="021F43"/>
                        </a:solidFill>
                        <a:latin typeface="Trebuchet MS" panose="020B0603020202020204" pitchFamily="34" charset="0"/>
                        <a:ea typeface="+mn-ea"/>
                        <a:cs typeface="+mn-cs"/>
                      </a:rPr>
                      <a:t>%</a:t>
                    </a:r>
                    <a:endParaRPr lang="en-US"/>
                  </a:p>
                  <a:p>
                    <a:r>
                      <a:rPr lang="en-US"/>
                      <a:t>of which</a:t>
                    </a:r>
                  </a:p>
                  <a:p>
                    <a:r>
                      <a:rPr lang="en-US"/>
                      <a:t>Kaduna 9.6</a:t>
                    </a:r>
                    <a:r>
                      <a:rPr lang="en-US" sz="900" b="0" i="0" u="none" strike="noStrike" kern="1200" baseline="0">
                        <a:solidFill>
                          <a:srgbClr val="021F43"/>
                        </a:solidFill>
                        <a:latin typeface="Trebuchet MS" panose="020B0603020202020204" pitchFamily="34" charset="0"/>
                        <a:ea typeface="+mn-ea"/>
                        <a:cs typeface="+mn-cs"/>
                      </a:rPr>
                      <a:t>%</a:t>
                    </a:r>
                    <a:r>
                      <a:rPr lang="en-US"/>
                      <a:t> Kano 6.6</a:t>
                    </a:r>
                    <a:r>
                      <a:rPr lang="en-US" sz="900" b="0" i="0" u="none" strike="noStrike" kern="1200" baseline="0">
                        <a:solidFill>
                          <a:srgbClr val="021F43"/>
                        </a:solidFill>
                        <a:latin typeface="Trebuchet MS" panose="020B0603020202020204" pitchFamily="34" charset="0"/>
                        <a:ea typeface="+mn-ea"/>
                        <a:cs typeface="+mn-cs"/>
                      </a:rPr>
                      <a:t>%</a:t>
                    </a:r>
                    <a:endParaRPr lang="en-US"/>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DF9B-415E-A47F-8193AFFA0C54}"/>
                </c:ex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Sheet1!$B$22:$B$27</c:f>
              <c:strCache>
                <c:ptCount val="6"/>
                <c:pt idx="0">
                  <c:v>SW</c:v>
                </c:pt>
                <c:pt idx="1">
                  <c:v>SS</c:v>
                </c:pt>
                <c:pt idx="2">
                  <c:v>SE</c:v>
                </c:pt>
                <c:pt idx="3">
                  <c:v>NC</c:v>
                </c:pt>
                <c:pt idx="4">
                  <c:v>NE</c:v>
                </c:pt>
                <c:pt idx="5">
                  <c:v>NW</c:v>
                </c:pt>
              </c:strCache>
            </c:strRef>
          </c:cat>
          <c:val>
            <c:numRef>
              <c:f>Sheet1!$D$22:$D$27</c:f>
              <c:numCache>
                <c:formatCode>General</c:formatCode>
                <c:ptCount val="6"/>
                <c:pt idx="0">
                  <c:v>34.4</c:v>
                </c:pt>
                <c:pt idx="1">
                  <c:v>17.16</c:v>
                </c:pt>
                <c:pt idx="2">
                  <c:v>6.67</c:v>
                </c:pt>
                <c:pt idx="3">
                  <c:v>6.7</c:v>
                </c:pt>
                <c:pt idx="4">
                  <c:v>13.9</c:v>
                </c:pt>
                <c:pt idx="5">
                  <c:v>21.2</c:v>
                </c:pt>
              </c:numCache>
            </c:numRef>
          </c:val>
          <c:extLst xmlns:c16r2="http://schemas.microsoft.com/office/drawing/2015/06/chart">
            <c:ext xmlns:c16="http://schemas.microsoft.com/office/drawing/2014/chart" uri="{C3380CC4-5D6E-409C-BE32-E72D297353CC}">
              <c16:uniqueId val="{0000000C-DF9B-415E-A47F-8193AFFA0C5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lumMod val="95000"/>
      </a:schemeClr>
    </a:solidFill>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29465286014957E-2"/>
          <c:y val="5.0142441143649658E-2"/>
          <c:w val="0.89058473566205032"/>
          <c:h val="0.67930911827909135"/>
        </c:manualLayout>
      </c:layout>
      <c:barChart>
        <c:barDir val="col"/>
        <c:grouping val="percentStacked"/>
        <c:varyColors val="0"/>
        <c:ser>
          <c:idx val="0"/>
          <c:order val="0"/>
          <c:tx>
            <c:strRef>
              <c:f>Sheet1!$F$83</c:f>
              <c:strCache>
                <c:ptCount val="1"/>
                <c:pt idx="0">
                  <c:v>Food</c:v>
                </c:pt>
              </c:strCache>
            </c:strRef>
          </c:tx>
          <c:spPr>
            <a:solidFill>
              <a:schemeClr val="accent6">
                <a:lumMod val="50000"/>
              </a:schemeClr>
            </a:solidFill>
          </c:spPr>
          <c:invertIfNegative val="0"/>
          <c:cat>
            <c:strRef>
              <c:f>Sheet1!$G$53:$M$53</c:f>
              <c:strCache>
                <c:ptCount val="7"/>
                <c:pt idx="0">
                  <c:v>National</c:v>
                </c:pt>
                <c:pt idx="1">
                  <c:v>NC</c:v>
                </c:pt>
                <c:pt idx="2">
                  <c:v>NE</c:v>
                </c:pt>
                <c:pt idx="3">
                  <c:v>NW</c:v>
                </c:pt>
                <c:pt idx="4">
                  <c:v>SE</c:v>
                </c:pt>
                <c:pt idx="5">
                  <c:v>SS</c:v>
                </c:pt>
                <c:pt idx="6">
                  <c:v>SW</c:v>
                </c:pt>
              </c:strCache>
            </c:strRef>
          </c:cat>
          <c:val>
            <c:numRef>
              <c:f>Sheet1!$G$83:$M$83</c:f>
              <c:numCache>
                <c:formatCode>0%</c:formatCode>
                <c:ptCount val="7"/>
                <c:pt idx="0">
                  <c:v>2.82461E-2</c:v>
                </c:pt>
                <c:pt idx="1">
                  <c:v>0</c:v>
                </c:pt>
                <c:pt idx="2">
                  <c:v>5.5098800000000003E-2</c:v>
                </c:pt>
                <c:pt idx="3">
                  <c:v>5.5132599999999997E-2</c:v>
                </c:pt>
                <c:pt idx="4">
                  <c:v>3.4562099999999998E-2</c:v>
                </c:pt>
                <c:pt idx="5">
                  <c:v>2.2864999999999999E-3</c:v>
                </c:pt>
                <c:pt idx="6">
                  <c:v>1.9617099999999998E-2</c:v>
                </c:pt>
              </c:numCache>
            </c:numRef>
          </c:val>
          <c:extLst xmlns:c16r2="http://schemas.microsoft.com/office/drawing/2015/06/chart">
            <c:ext xmlns:c16="http://schemas.microsoft.com/office/drawing/2014/chart" uri="{C3380CC4-5D6E-409C-BE32-E72D297353CC}">
              <c16:uniqueId val="{00000000-9CF3-42DB-8346-8353E6FE41AF}"/>
            </c:ext>
          </c:extLst>
        </c:ser>
        <c:ser>
          <c:idx val="1"/>
          <c:order val="1"/>
          <c:tx>
            <c:strRef>
              <c:f>Sheet1!$F$84</c:f>
              <c:strCache>
                <c:ptCount val="1"/>
                <c:pt idx="0">
                  <c:v>Textile</c:v>
                </c:pt>
              </c:strCache>
            </c:strRef>
          </c:tx>
          <c:spPr>
            <a:solidFill>
              <a:schemeClr val="accent6"/>
            </a:solidFill>
          </c:spPr>
          <c:invertIfNegative val="0"/>
          <c:cat>
            <c:strRef>
              <c:f>Sheet1!$G$53:$M$53</c:f>
              <c:strCache>
                <c:ptCount val="7"/>
                <c:pt idx="0">
                  <c:v>National</c:v>
                </c:pt>
                <c:pt idx="1">
                  <c:v>NC</c:v>
                </c:pt>
                <c:pt idx="2">
                  <c:v>NE</c:v>
                </c:pt>
                <c:pt idx="3">
                  <c:v>NW</c:v>
                </c:pt>
                <c:pt idx="4">
                  <c:v>SE</c:v>
                </c:pt>
                <c:pt idx="5">
                  <c:v>SS</c:v>
                </c:pt>
                <c:pt idx="6">
                  <c:v>SW</c:v>
                </c:pt>
              </c:strCache>
            </c:strRef>
          </c:cat>
          <c:val>
            <c:numRef>
              <c:f>Sheet1!$G$84:$M$84</c:f>
              <c:numCache>
                <c:formatCode>0%</c:formatCode>
                <c:ptCount val="7"/>
                <c:pt idx="0">
                  <c:v>5.30775E-2</c:v>
                </c:pt>
                <c:pt idx="1">
                  <c:v>3.38153E-2</c:v>
                </c:pt>
                <c:pt idx="2">
                  <c:v>0.1283522</c:v>
                </c:pt>
                <c:pt idx="3">
                  <c:v>4.4450499999999997E-2</c:v>
                </c:pt>
                <c:pt idx="4">
                  <c:v>0</c:v>
                </c:pt>
                <c:pt idx="5">
                  <c:v>4.5777999999999999E-2</c:v>
                </c:pt>
                <c:pt idx="6">
                  <c:v>4.6616199999999997E-2</c:v>
                </c:pt>
              </c:numCache>
            </c:numRef>
          </c:val>
          <c:extLst xmlns:c16r2="http://schemas.microsoft.com/office/drawing/2015/06/chart">
            <c:ext xmlns:c16="http://schemas.microsoft.com/office/drawing/2014/chart" uri="{C3380CC4-5D6E-409C-BE32-E72D297353CC}">
              <c16:uniqueId val="{00000001-9CF3-42DB-8346-8353E6FE41AF}"/>
            </c:ext>
          </c:extLst>
        </c:ser>
        <c:ser>
          <c:idx val="2"/>
          <c:order val="2"/>
          <c:tx>
            <c:strRef>
              <c:f>Sheet1!$F$85</c:f>
              <c:strCache>
                <c:ptCount val="1"/>
                <c:pt idx="0">
                  <c:v>Construction</c:v>
                </c:pt>
              </c:strCache>
            </c:strRef>
          </c:tx>
          <c:spPr>
            <a:solidFill>
              <a:schemeClr val="accent6">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Sheet1!$G$53:$M$53</c:f>
              <c:strCache>
                <c:ptCount val="7"/>
                <c:pt idx="0">
                  <c:v>National</c:v>
                </c:pt>
                <c:pt idx="1">
                  <c:v>NC</c:v>
                </c:pt>
                <c:pt idx="2">
                  <c:v>NE</c:v>
                </c:pt>
                <c:pt idx="3">
                  <c:v>NW</c:v>
                </c:pt>
                <c:pt idx="4">
                  <c:v>SE</c:v>
                </c:pt>
                <c:pt idx="5">
                  <c:v>SS</c:v>
                </c:pt>
                <c:pt idx="6">
                  <c:v>SW</c:v>
                </c:pt>
              </c:strCache>
            </c:strRef>
          </c:cat>
          <c:val>
            <c:numRef>
              <c:f>Sheet1!$G$85:$M$85</c:f>
              <c:numCache>
                <c:formatCode>0%</c:formatCode>
                <c:ptCount val="7"/>
                <c:pt idx="0">
                  <c:v>9.2636700000000002E-2</c:v>
                </c:pt>
                <c:pt idx="1">
                  <c:v>2.9496999999999999E-2</c:v>
                </c:pt>
                <c:pt idx="2">
                  <c:v>4.79119E-2</c:v>
                </c:pt>
                <c:pt idx="3">
                  <c:v>6.1934099999999999E-2</c:v>
                </c:pt>
                <c:pt idx="4">
                  <c:v>2.93694E-2</c:v>
                </c:pt>
                <c:pt idx="5">
                  <c:v>0.19459480000000001</c:v>
                </c:pt>
                <c:pt idx="6">
                  <c:v>0.1008684</c:v>
                </c:pt>
              </c:numCache>
            </c:numRef>
          </c:val>
          <c:extLst xmlns:c16r2="http://schemas.microsoft.com/office/drawing/2015/06/chart">
            <c:ext xmlns:c16="http://schemas.microsoft.com/office/drawing/2014/chart" uri="{C3380CC4-5D6E-409C-BE32-E72D297353CC}">
              <c16:uniqueId val="{00000002-9CF3-42DB-8346-8353E6FE41AF}"/>
            </c:ext>
          </c:extLst>
        </c:ser>
        <c:ser>
          <c:idx val="3"/>
          <c:order val="3"/>
          <c:tx>
            <c:strRef>
              <c:f>Sheet1!$F$86</c:f>
              <c:strCache>
                <c:ptCount val="1"/>
                <c:pt idx="0">
                  <c:v>Other manufacturing</c:v>
                </c:pt>
              </c:strCache>
            </c:strRef>
          </c:tx>
          <c:spPr>
            <a:solidFill>
              <a:srgbClr val="DDF8FB"/>
            </a:solidFill>
          </c:spPr>
          <c:invertIfNegative val="0"/>
          <c:cat>
            <c:strRef>
              <c:f>Sheet1!$G$53:$M$53</c:f>
              <c:strCache>
                <c:ptCount val="7"/>
                <c:pt idx="0">
                  <c:v>National</c:v>
                </c:pt>
                <c:pt idx="1">
                  <c:v>NC</c:v>
                </c:pt>
                <c:pt idx="2">
                  <c:v>NE</c:v>
                </c:pt>
                <c:pt idx="3">
                  <c:v>NW</c:v>
                </c:pt>
                <c:pt idx="4">
                  <c:v>SE</c:v>
                </c:pt>
                <c:pt idx="5">
                  <c:v>SS</c:v>
                </c:pt>
                <c:pt idx="6">
                  <c:v>SW</c:v>
                </c:pt>
              </c:strCache>
            </c:strRef>
          </c:cat>
          <c:val>
            <c:numRef>
              <c:f>Sheet1!$G$86:$M$86</c:f>
              <c:numCache>
                <c:formatCode>0%</c:formatCode>
                <c:ptCount val="7"/>
                <c:pt idx="0">
                  <c:v>7.1237200000000001E-2</c:v>
                </c:pt>
                <c:pt idx="1">
                  <c:v>7.7669299999999997E-2</c:v>
                </c:pt>
                <c:pt idx="2">
                  <c:v>9.7979000000000011E-2</c:v>
                </c:pt>
                <c:pt idx="3">
                  <c:v>0.11034609999999999</c:v>
                </c:pt>
                <c:pt idx="4">
                  <c:v>5.6536900000000001E-2</c:v>
                </c:pt>
                <c:pt idx="5">
                  <c:v>8.5340700000000005E-2</c:v>
                </c:pt>
                <c:pt idx="6">
                  <c:v>3.6497000000000002E-2</c:v>
                </c:pt>
              </c:numCache>
            </c:numRef>
          </c:val>
          <c:extLst xmlns:c16r2="http://schemas.microsoft.com/office/drawing/2015/06/chart">
            <c:ext xmlns:c16="http://schemas.microsoft.com/office/drawing/2014/chart" uri="{C3380CC4-5D6E-409C-BE32-E72D297353CC}">
              <c16:uniqueId val="{00000003-9CF3-42DB-8346-8353E6FE41AF}"/>
            </c:ext>
          </c:extLst>
        </c:ser>
        <c:ser>
          <c:idx val="4"/>
          <c:order val="4"/>
          <c:tx>
            <c:strRef>
              <c:f>Sheet1!$F$87</c:f>
              <c:strCache>
                <c:ptCount val="1"/>
                <c:pt idx="0">
                  <c:v>Retail/Wholesale</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Sheet1!$G$53:$M$53</c:f>
              <c:strCache>
                <c:ptCount val="7"/>
                <c:pt idx="0">
                  <c:v>National</c:v>
                </c:pt>
                <c:pt idx="1">
                  <c:v>NC</c:v>
                </c:pt>
                <c:pt idx="2">
                  <c:v>NE</c:v>
                </c:pt>
                <c:pt idx="3">
                  <c:v>NW</c:v>
                </c:pt>
                <c:pt idx="4">
                  <c:v>SE</c:v>
                </c:pt>
                <c:pt idx="5">
                  <c:v>SS</c:v>
                </c:pt>
                <c:pt idx="6">
                  <c:v>SW</c:v>
                </c:pt>
              </c:strCache>
            </c:strRef>
          </c:cat>
          <c:val>
            <c:numRef>
              <c:f>Sheet1!$G$87:$M$87</c:f>
              <c:numCache>
                <c:formatCode>0%</c:formatCode>
                <c:ptCount val="7"/>
                <c:pt idx="0">
                  <c:v>0.33626810000000001</c:v>
                </c:pt>
                <c:pt idx="1">
                  <c:v>0.37170130000000001</c:v>
                </c:pt>
                <c:pt idx="2">
                  <c:v>0.42534090000000002</c:v>
                </c:pt>
                <c:pt idx="3">
                  <c:v>0.43189699999999998</c:v>
                </c:pt>
                <c:pt idx="4">
                  <c:v>0.38729229999999998</c:v>
                </c:pt>
                <c:pt idx="5">
                  <c:v>0.2373159</c:v>
                </c:pt>
                <c:pt idx="6">
                  <c:v>0.2835763</c:v>
                </c:pt>
              </c:numCache>
            </c:numRef>
          </c:val>
          <c:extLst xmlns:c16r2="http://schemas.microsoft.com/office/drawing/2015/06/chart">
            <c:ext xmlns:c16="http://schemas.microsoft.com/office/drawing/2014/chart" uri="{C3380CC4-5D6E-409C-BE32-E72D297353CC}">
              <c16:uniqueId val="{00000004-9CF3-42DB-8346-8353E6FE41AF}"/>
            </c:ext>
          </c:extLst>
        </c:ser>
        <c:ser>
          <c:idx val="5"/>
          <c:order val="5"/>
          <c:tx>
            <c:strRef>
              <c:f>Sheet1!$F$88</c:f>
              <c:strCache>
                <c:ptCount val="1"/>
                <c:pt idx="0">
                  <c:v>Restaurants</c:v>
                </c:pt>
              </c:strCache>
            </c:strRef>
          </c:tx>
          <c:spPr>
            <a:solidFill>
              <a:schemeClr val="accent3"/>
            </a:solidFill>
          </c:spPr>
          <c:invertIfNegative val="0"/>
          <c:cat>
            <c:strRef>
              <c:f>Sheet1!$G$53:$M$53</c:f>
              <c:strCache>
                <c:ptCount val="7"/>
                <c:pt idx="0">
                  <c:v>National</c:v>
                </c:pt>
                <c:pt idx="1">
                  <c:v>NC</c:v>
                </c:pt>
                <c:pt idx="2">
                  <c:v>NE</c:v>
                </c:pt>
                <c:pt idx="3">
                  <c:v>NW</c:v>
                </c:pt>
                <c:pt idx="4">
                  <c:v>SE</c:v>
                </c:pt>
                <c:pt idx="5">
                  <c:v>SS</c:v>
                </c:pt>
                <c:pt idx="6">
                  <c:v>SW</c:v>
                </c:pt>
              </c:strCache>
            </c:strRef>
          </c:cat>
          <c:val>
            <c:numRef>
              <c:f>Sheet1!$G$88:$M$88</c:f>
              <c:numCache>
                <c:formatCode>0%</c:formatCode>
                <c:ptCount val="7"/>
                <c:pt idx="0">
                  <c:v>4.1765499999999997E-2</c:v>
                </c:pt>
                <c:pt idx="1">
                  <c:v>1.59177E-2</c:v>
                </c:pt>
                <c:pt idx="2">
                  <c:v>4.2720099999999997E-2</c:v>
                </c:pt>
                <c:pt idx="3">
                  <c:v>3.7974500000000001E-2</c:v>
                </c:pt>
                <c:pt idx="4">
                  <c:v>0</c:v>
                </c:pt>
                <c:pt idx="5">
                  <c:v>4.7819199999999999E-2</c:v>
                </c:pt>
                <c:pt idx="6">
                  <c:v>5.2054900000000001E-2</c:v>
                </c:pt>
              </c:numCache>
            </c:numRef>
          </c:val>
          <c:extLst xmlns:c16r2="http://schemas.microsoft.com/office/drawing/2015/06/chart">
            <c:ext xmlns:c16="http://schemas.microsoft.com/office/drawing/2014/chart" uri="{C3380CC4-5D6E-409C-BE32-E72D297353CC}">
              <c16:uniqueId val="{00000005-9CF3-42DB-8346-8353E6FE41AF}"/>
            </c:ext>
          </c:extLst>
        </c:ser>
        <c:ser>
          <c:idx val="6"/>
          <c:order val="6"/>
          <c:tx>
            <c:strRef>
              <c:f>Sheet1!$F$89</c:f>
              <c:strCache>
                <c:ptCount val="1"/>
                <c:pt idx="0">
                  <c:v>Entertainment</c:v>
                </c:pt>
              </c:strCache>
            </c:strRef>
          </c:tx>
          <c:spPr>
            <a:solidFill>
              <a:schemeClr val="accent3">
                <a:lumMod val="75000"/>
              </a:schemeClr>
            </a:solidFill>
          </c:spPr>
          <c:invertIfNegative val="0"/>
          <c:cat>
            <c:strRef>
              <c:f>Sheet1!$G$53:$M$53</c:f>
              <c:strCache>
                <c:ptCount val="7"/>
                <c:pt idx="0">
                  <c:v>National</c:v>
                </c:pt>
                <c:pt idx="1">
                  <c:v>NC</c:v>
                </c:pt>
                <c:pt idx="2">
                  <c:v>NE</c:v>
                </c:pt>
                <c:pt idx="3">
                  <c:v>NW</c:v>
                </c:pt>
                <c:pt idx="4">
                  <c:v>SE</c:v>
                </c:pt>
                <c:pt idx="5">
                  <c:v>SS</c:v>
                </c:pt>
                <c:pt idx="6">
                  <c:v>SW</c:v>
                </c:pt>
              </c:strCache>
            </c:strRef>
          </c:cat>
          <c:val>
            <c:numRef>
              <c:f>Sheet1!$G$89:$M$89</c:f>
              <c:numCache>
                <c:formatCode>0%</c:formatCode>
                <c:ptCount val="7"/>
                <c:pt idx="0">
                  <c:v>1.1310499999999999E-2</c:v>
                </c:pt>
                <c:pt idx="1">
                  <c:v>0</c:v>
                </c:pt>
                <c:pt idx="2">
                  <c:v>5.8411000000000001E-3</c:v>
                </c:pt>
                <c:pt idx="3">
                  <c:v>0</c:v>
                </c:pt>
                <c:pt idx="4">
                  <c:v>0</c:v>
                </c:pt>
                <c:pt idx="5">
                  <c:v>2.32797E-2</c:v>
                </c:pt>
                <c:pt idx="6">
                  <c:v>1.77141E-2</c:v>
                </c:pt>
              </c:numCache>
            </c:numRef>
          </c:val>
          <c:extLst xmlns:c16r2="http://schemas.microsoft.com/office/drawing/2015/06/chart">
            <c:ext xmlns:c16="http://schemas.microsoft.com/office/drawing/2014/chart" uri="{C3380CC4-5D6E-409C-BE32-E72D297353CC}">
              <c16:uniqueId val="{00000006-9CF3-42DB-8346-8353E6FE41AF}"/>
            </c:ext>
          </c:extLst>
        </c:ser>
        <c:ser>
          <c:idx val="7"/>
          <c:order val="7"/>
          <c:tx>
            <c:strRef>
              <c:f>Sheet1!$F$90</c:f>
              <c:strCache>
                <c:ptCount val="1"/>
                <c:pt idx="0">
                  <c:v>Other services</c:v>
                </c:pt>
              </c:strCache>
            </c:strRef>
          </c:tx>
          <c:spPr>
            <a:solidFill>
              <a:schemeClr val="accent3">
                <a:lumMod val="50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Sheet1!$G$53:$M$53</c:f>
              <c:strCache>
                <c:ptCount val="7"/>
                <c:pt idx="0">
                  <c:v>National</c:v>
                </c:pt>
                <c:pt idx="1">
                  <c:v>NC</c:v>
                </c:pt>
                <c:pt idx="2">
                  <c:v>NE</c:v>
                </c:pt>
                <c:pt idx="3">
                  <c:v>NW</c:v>
                </c:pt>
                <c:pt idx="4">
                  <c:v>SE</c:v>
                </c:pt>
                <c:pt idx="5">
                  <c:v>SS</c:v>
                </c:pt>
                <c:pt idx="6">
                  <c:v>SW</c:v>
                </c:pt>
              </c:strCache>
            </c:strRef>
          </c:cat>
          <c:val>
            <c:numRef>
              <c:f>Sheet1!$G$90:$M$90</c:f>
              <c:numCache>
                <c:formatCode>0%</c:formatCode>
                <c:ptCount val="7"/>
                <c:pt idx="0">
                  <c:v>0.35691539999999999</c:v>
                </c:pt>
                <c:pt idx="1">
                  <c:v>0.47139929999999997</c:v>
                </c:pt>
                <c:pt idx="2">
                  <c:v>0.19675609999999999</c:v>
                </c:pt>
                <c:pt idx="3">
                  <c:v>0.25826530000000003</c:v>
                </c:pt>
                <c:pt idx="4">
                  <c:v>0.49223919999999999</c:v>
                </c:pt>
                <c:pt idx="5">
                  <c:v>0.33648990000000001</c:v>
                </c:pt>
                <c:pt idx="6">
                  <c:v>0.43229640000000003</c:v>
                </c:pt>
              </c:numCache>
            </c:numRef>
          </c:val>
          <c:extLst xmlns:c16r2="http://schemas.microsoft.com/office/drawing/2015/06/chart">
            <c:ext xmlns:c16="http://schemas.microsoft.com/office/drawing/2014/chart" uri="{C3380CC4-5D6E-409C-BE32-E72D297353CC}">
              <c16:uniqueId val="{00000007-9CF3-42DB-8346-8353E6FE41AF}"/>
            </c:ext>
          </c:extLst>
        </c:ser>
        <c:dLbls>
          <c:showLegendKey val="0"/>
          <c:showVal val="0"/>
          <c:showCatName val="0"/>
          <c:showSerName val="0"/>
          <c:showPercent val="0"/>
          <c:showBubbleSize val="0"/>
        </c:dLbls>
        <c:gapWidth val="56"/>
        <c:overlap val="100"/>
        <c:axId val="475812904"/>
        <c:axId val="475813296"/>
      </c:barChart>
      <c:catAx>
        <c:axId val="475812904"/>
        <c:scaling>
          <c:orientation val="minMax"/>
        </c:scaling>
        <c:delete val="0"/>
        <c:axPos val="b"/>
        <c:numFmt formatCode="General" sourceLinked="0"/>
        <c:majorTickMark val="out"/>
        <c:minorTickMark val="none"/>
        <c:tickLblPos val="nextTo"/>
        <c:crossAx val="475813296"/>
        <c:crosses val="autoZero"/>
        <c:auto val="1"/>
        <c:lblAlgn val="ctr"/>
        <c:lblOffset val="100"/>
        <c:noMultiLvlLbl val="0"/>
      </c:catAx>
      <c:valAx>
        <c:axId val="475813296"/>
        <c:scaling>
          <c:orientation val="minMax"/>
        </c:scaling>
        <c:delete val="0"/>
        <c:axPos val="l"/>
        <c:majorGridlines>
          <c:spPr>
            <a:ln>
              <a:solidFill>
                <a:schemeClr val="bg1"/>
              </a:solidFill>
              <a:prstDash val="solid"/>
            </a:ln>
          </c:spPr>
        </c:majorGridlines>
        <c:numFmt formatCode="0%" sourceLinked="1"/>
        <c:majorTickMark val="out"/>
        <c:minorTickMark val="none"/>
        <c:tickLblPos val="nextTo"/>
        <c:crossAx val="475812904"/>
        <c:crosses val="autoZero"/>
        <c:crossBetween val="between"/>
        <c:majorUnit val="0.2"/>
      </c:valAx>
      <c:spPr>
        <a:solidFill>
          <a:schemeClr val="bg1">
            <a:lumMod val="95000"/>
          </a:schemeClr>
        </a:solidFill>
      </c:spPr>
    </c:plotArea>
    <c:legend>
      <c:legendPos val="b"/>
      <c:layout>
        <c:manualLayout>
          <c:xMode val="edge"/>
          <c:yMode val="edge"/>
          <c:x val="2.5179998256675478E-2"/>
          <c:y val="0.81952974628171482"/>
          <c:w val="0.95701988358466261"/>
          <c:h val="0.15269247594050744"/>
        </c:manualLayout>
      </c:layout>
      <c:overlay val="0"/>
    </c:legend>
    <c:plotVisOnly val="1"/>
    <c:dispBlanksAs val="gap"/>
    <c:showDLblsOverMax val="0"/>
  </c:chart>
  <c:spPr>
    <a:ln>
      <a:solidFill>
        <a:schemeClr val="bg1"/>
      </a:solidFill>
    </a:ln>
  </c:spPr>
  <c:txPr>
    <a:bodyPr/>
    <a:lstStyle/>
    <a:p>
      <a:pPr>
        <a:defRPr>
          <a:latin typeface="Trebuchet MS" panose="020B0603020202020204" pitchFamily="34" charset="0"/>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72222222222223"/>
          <c:y val="0.18125845403209762"/>
          <c:w val="0.43888888888888888"/>
          <c:h val="0.6698464287097261"/>
        </c:manualLayout>
      </c:layout>
      <c:pieChart>
        <c:varyColors val="1"/>
        <c:ser>
          <c:idx val="0"/>
          <c:order val="0"/>
          <c:tx>
            <c:strRef>
              <c:f>Sheet1!$E$1</c:f>
              <c:strCache>
                <c:ptCount val="1"/>
                <c:pt idx="0">
                  <c:v>Perc.</c:v>
                </c:pt>
              </c:strCache>
            </c:strRef>
          </c:tx>
          <c:explosion val="2"/>
          <c:dPt>
            <c:idx val="1"/>
            <c:bubble3D val="0"/>
            <c:spPr>
              <a:solidFill>
                <a:schemeClr val="accent6"/>
              </a:solidFill>
            </c:spPr>
            <c:extLst xmlns:c16r2="http://schemas.microsoft.com/office/drawing/2015/06/chart">
              <c:ext xmlns:c16="http://schemas.microsoft.com/office/drawing/2014/chart" uri="{C3380CC4-5D6E-409C-BE32-E72D297353CC}">
                <c16:uniqueId val="{00000001-1A0D-47FF-A667-91BF70661653}"/>
              </c:ext>
            </c:extLst>
          </c:dPt>
          <c:dPt>
            <c:idx val="2"/>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3-1A0D-47FF-A667-91BF70661653}"/>
              </c:ext>
            </c:extLst>
          </c:dPt>
          <c:dPt>
            <c:idx val="3"/>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5-1A0D-47FF-A667-91BF70661653}"/>
              </c:ext>
            </c:extLst>
          </c:dPt>
          <c:dPt>
            <c:idx val="4"/>
            <c:bubble3D val="0"/>
            <c:spPr>
              <a:solidFill>
                <a:schemeClr val="accent3"/>
              </a:solidFill>
            </c:spPr>
            <c:extLst xmlns:c16r2="http://schemas.microsoft.com/office/drawing/2015/06/chart">
              <c:ext xmlns:c16="http://schemas.microsoft.com/office/drawing/2014/chart" uri="{C3380CC4-5D6E-409C-BE32-E72D297353CC}">
                <c16:uniqueId val="{00000007-1A0D-47FF-A667-91BF70661653}"/>
              </c:ext>
            </c:extLst>
          </c:dPt>
          <c:dPt>
            <c:idx val="5"/>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9-1A0D-47FF-A667-91BF70661653}"/>
              </c:ext>
            </c:extLst>
          </c:dPt>
          <c:dLbls>
            <c:dLbl>
              <c:idx val="0"/>
              <c:layout>
                <c:manualLayout>
                  <c:x val="2.9611439195100613E-2"/>
                  <c:y val="-2.1832531350247885E-2"/>
                </c:manualLayout>
              </c:layout>
              <c:tx>
                <c:rich>
                  <a:bodyPr/>
                  <a:lstStyle/>
                  <a:p>
                    <a:r>
                      <a:rPr lang="en-US"/>
                      <a:t>SW</a:t>
                    </a:r>
                  </a:p>
                  <a:p>
                    <a:r>
                      <a:rPr lang="en-US"/>
                      <a:t>25.25</a:t>
                    </a:r>
                    <a:r>
                      <a:rPr lang="en-US" sz="900" b="0" i="0" u="none" strike="noStrike" kern="1200" baseline="0">
                        <a:solidFill>
                          <a:srgbClr val="021F43"/>
                        </a:solidFill>
                        <a:latin typeface="Trebuchet MS" panose="020B0603020202020204" pitchFamily="34" charset="0"/>
                        <a:ea typeface="+mn-ea"/>
                        <a:cs typeface="+mn-cs"/>
                      </a:rPr>
                      <a:t>%</a:t>
                    </a:r>
                    <a:endParaRPr lang="en-US" baseline="0"/>
                  </a:p>
                  <a:p>
                    <a:r>
                      <a:rPr lang="en-US" baseline="0"/>
                      <a:t>of which </a:t>
                    </a:r>
                  </a:p>
                  <a:p>
                    <a:r>
                      <a:rPr lang="en-US" baseline="0"/>
                      <a:t>Lagos 14.1</a:t>
                    </a:r>
                    <a:r>
                      <a:rPr lang="en-US" sz="900" b="0" i="0" u="none" strike="noStrike" kern="1200" baseline="0">
                        <a:solidFill>
                          <a:srgbClr val="021F43"/>
                        </a:solidFill>
                        <a:latin typeface="Trebuchet MS" panose="020B0603020202020204" pitchFamily="34" charset="0"/>
                        <a:ea typeface="+mn-ea"/>
                        <a:cs typeface="+mn-cs"/>
                      </a:rPr>
                      <a:t>%</a:t>
                    </a:r>
                    <a:endParaRPr lang="en-US"/>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A-1A0D-47FF-A667-91BF70661653}"/>
                </c:ext>
                <c:ext xmlns:c15="http://schemas.microsoft.com/office/drawing/2012/chart" uri="{CE6537A1-D6FC-4f65-9D91-7224C49458BB}"/>
              </c:extLst>
            </c:dLbl>
            <c:dLbl>
              <c:idx val="1"/>
              <c:layout>
                <c:manualLayout>
                  <c:x val="2.7070428696412949E-2"/>
                  <c:y val="-0.1023778798483523"/>
                </c:manualLayout>
              </c:layout>
              <c:tx>
                <c:rich>
                  <a:bodyPr/>
                  <a:lstStyle/>
                  <a:p>
                    <a:r>
                      <a:rPr lang="en-US"/>
                      <a:t>SS
15.9</a:t>
                    </a:r>
                    <a:r>
                      <a:rPr lang="en-US" sz="900" b="0" i="0" u="none" strike="noStrike" kern="1200" baseline="0">
                        <a:solidFill>
                          <a:srgbClr val="021F43"/>
                        </a:solidFill>
                        <a:latin typeface="Trebuchet MS" panose="020B0603020202020204" pitchFamily="34" charset="0"/>
                        <a:ea typeface="+mn-ea"/>
                        <a:cs typeface="+mn-cs"/>
                      </a:rPr>
                      <a:t>%</a:t>
                    </a:r>
                    <a:r>
                      <a:rPr lang="en-US"/>
                      <a:t> </a:t>
                    </a:r>
                  </a:p>
                  <a:p>
                    <a:r>
                      <a:rPr lang="en-US"/>
                      <a:t>of</a:t>
                    </a:r>
                    <a:r>
                      <a:rPr lang="en-US" baseline="0"/>
                      <a:t> which </a:t>
                    </a:r>
                  </a:p>
                  <a:p>
                    <a:r>
                      <a:rPr lang="en-US" baseline="0"/>
                      <a:t>Rivers 4.8</a:t>
                    </a:r>
                    <a:r>
                      <a:rPr lang="en-US" sz="900" b="0" i="0" u="none" strike="noStrike" kern="1200" baseline="0">
                        <a:solidFill>
                          <a:srgbClr val="021F43"/>
                        </a:solidFill>
                        <a:latin typeface="Trebuchet MS" panose="020B0603020202020204" pitchFamily="34" charset="0"/>
                        <a:ea typeface="+mn-ea"/>
                        <a:cs typeface="+mn-cs"/>
                      </a:rPr>
                      <a:t>%</a:t>
                    </a:r>
                    <a:endParaRPr lang="en-US" baseline="0"/>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A0D-47FF-A667-91BF70661653}"/>
                </c:ext>
                <c:ext xmlns:c15="http://schemas.microsoft.com/office/drawing/2012/chart" uri="{CE6537A1-D6FC-4f65-9D91-7224C49458BB}"/>
              </c:extLst>
            </c:dLbl>
            <c:dLbl>
              <c:idx val="2"/>
              <c:layout>
                <c:manualLayout>
                  <c:x val="5.280774278215223E-2"/>
                  <c:y val="-1.5740740740740741E-3"/>
                </c:manualLayout>
              </c:layout>
              <c:tx>
                <c:rich>
                  <a:bodyPr/>
                  <a:lstStyle/>
                  <a:p>
                    <a:r>
                      <a:rPr lang="en-US"/>
                      <a:t>SE
13.1</a:t>
                    </a:r>
                    <a:r>
                      <a:rPr lang="en-US" sz="900" b="0" i="0" u="none" strike="noStrike" kern="1200" baseline="0">
                        <a:solidFill>
                          <a:srgbClr val="021F43"/>
                        </a:solidFill>
                        <a:latin typeface="Trebuchet MS" panose="020B0603020202020204" pitchFamily="34" charset="0"/>
                        <a:ea typeface="+mn-ea"/>
                        <a:cs typeface="+mn-cs"/>
                      </a:rPr>
                      <a:t>%</a:t>
                    </a:r>
                    <a:endParaRPr lang="en-US"/>
                  </a:p>
                  <a:p>
                    <a:r>
                      <a:rPr lang="en-US"/>
                      <a:t>of which</a:t>
                    </a:r>
                  </a:p>
                  <a:p>
                    <a:r>
                      <a:rPr lang="en-US"/>
                      <a:t>Enugu 3.3</a:t>
                    </a:r>
                    <a:r>
                      <a:rPr lang="en-US" sz="900" b="0" i="0" u="none" strike="noStrike" kern="1200" baseline="0">
                        <a:solidFill>
                          <a:srgbClr val="021F43"/>
                        </a:solidFill>
                        <a:latin typeface="Trebuchet MS" panose="020B0603020202020204" pitchFamily="34" charset="0"/>
                        <a:ea typeface="+mn-ea"/>
                        <a:cs typeface="+mn-cs"/>
                      </a:rPr>
                      <a:t>%</a:t>
                    </a:r>
                    <a:endParaRPr lang="en-US"/>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A0D-47FF-A667-91BF70661653}"/>
                </c:ext>
                <c:ext xmlns:c15="http://schemas.microsoft.com/office/drawing/2012/chart" uri="{CE6537A1-D6FC-4f65-9D91-7224C49458BB}"/>
              </c:extLst>
            </c:dLbl>
            <c:dLbl>
              <c:idx val="3"/>
              <c:layout>
                <c:manualLayout>
                  <c:x val="-8.249114173228346E-2"/>
                  <c:y val="-2.3131014873140857E-2"/>
                </c:manualLayout>
              </c:layout>
              <c:tx>
                <c:rich>
                  <a:bodyPr/>
                  <a:lstStyle/>
                  <a:p>
                    <a:r>
                      <a:rPr lang="en-US"/>
                      <a:t>NC
19.6</a:t>
                    </a:r>
                    <a:r>
                      <a:rPr lang="en-US" sz="900" b="0" i="0" u="none" strike="noStrike" kern="1200" baseline="0">
                        <a:solidFill>
                          <a:srgbClr val="021F43"/>
                        </a:solidFill>
                        <a:latin typeface="Trebuchet MS" panose="020B0603020202020204" pitchFamily="34" charset="0"/>
                        <a:ea typeface="+mn-ea"/>
                        <a:cs typeface="+mn-cs"/>
                      </a:rPr>
                      <a:t>%</a:t>
                    </a:r>
                    <a:endParaRPr lang="en-US"/>
                  </a:p>
                  <a:p>
                    <a:r>
                      <a:rPr lang="en-US"/>
                      <a:t>of which</a:t>
                    </a:r>
                  </a:p>
                  <a:p>
                    <a:r>
                      <a:rPr lang="en-US"/>
                      <a:t>Abuja 9.3</a:t>
                    </a:r>
                    <a:r>
                      <a:rPr lang="en-US" sz="900" b="0" i="0" u="none" strike="noStrike" kern="1200" baseline="0">
                        <a:solidFill>
                          <a:srgbClr val="021F43"/>
                        </a:solidFill>
                        <a:latin typeface="Trebuchet MS" panose="020B0603020202020204" pitchFamily="34" charset="0"/>
                        <a:ea typeface="+mn-ea"/>
                        <a:cs typeface="+mn-cs"/>
                      </a:rPr>
                      <a:t>%</a:t>
                    </a:r>
                    <a:endParaRPr lang="en-US"/>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1A0D-47FF-A667-91BF70661653}"/>
                </c:ext>
                <c:ext xmlns:c15="http://schemas.microsoft.com/office/drawing/2012/chart" uri="{CE6537A1-D6FC-4f65-9D91-7224C49458BB}"/>
              </c:extLst>
            </c:dLbl>
            <c:dLbl>
              <c:idx val="4"/>
              <c:layout>
                <c:manualLayout>
                  <c:x val="-9.3937992125984249E-2"/>
                  <c:y val="2.0606955380577427E-2"/>
                </c:manualLayout>
              </c:layout>
              <c:tx>
                <c:rich>
                  <a:bodyPr/>
                  <a:lstStyle/>
                  <a:p>
                    <a:r>
                      <a:rPr lang="en-US"/>
                      <a:t>NW 
14.1</a:t>
                    </a:r>
                    <a:r>
                      <a:rPr lang="en-US" sz="900" b="0" i="0" u="none" strike="noStrike" kern="1200" baseline="0">
                        <a:solidFill>
                          <a:srgbClr val="021F43"/>
                        </a:solidFill>
                        <a:latin typeface="Trebuchet MS" panose="020B0603020202020204" pitchFamily="34" charset="0"/>
                        <a:ea typeface="+mn-ea"/>
                        <a:cs typeface="+mn-cs"/>
                      </a:rPr>
                      <a:t>%</a:t>
                    </a:r>
                    <a:endParaRPr lang="en-US"/>
                  </a:p>
                  <a:p>
                    <a:r>
                      <a:rPr lang="en-US"/>
                      <a:t>of which</a:t>
                    </a:r>
                  </a:p>
                  <a:p>
                    <a:r>
                      <a:rPr lang="en-US"/>
                      <a:t>Kaduna 6.4</a:t>
                    </a:r>
                    <a:r>
                      <a:rPr lang="en-US" sz="900" b="0" i="0" u="none" strike="noStrike" kern="1200" baseline="0">
                        <a:solidFill>
                          <a:srgbClr val="021F43"/>
                        </a:solidFill>
                        <a:latin typeface="Trebuchet MS" panose="020B0603020202020204" pitchFamily="34" charset="0"/>
                        <a:ea typeface="+mn-ea"/>
                        <a:cs typeface="+mn-cs"/>
                      </a:rPr>
                      <a:t>%</a:t>
                    </a:r>
                    <a:r>
                      <a:rPr lang="en-US"/>
                      <a:t> </a:t>
                    </a:r>
                  </a:p>
                  <a:p>
                    <a:r>
                      <a:rPr lang="en-US"/>
                      <a:t>and</a:t>
                    </a:r>
                    <a:r>
                      <a:rPr lang="en-US" baseline="0"/>
                      <a:t> Kano 5.0</a:t>
                    </a:r>
                    <a:r>
                      <a:rPr lang="en-US" sz="900" b="0" i="0" u="none" strike="noStrike" kern="1200" baseline="0">
                        <a:solidFill>
                          <a:srgbClr val="021F43"/>
                        </a:solidFill>
                        <a:latin typeface="Trebuchet MS" panose="020B0603020202020204" pitchFamily="34" charset="0"/>
                        <a:ea typeface="+mn-ea"/>
                        <a:cs typeface="+mn-cs"/>
                      </a:rPr>
                      <a:t>%</a:t>
                    </a:r>
                    <a:endParaRPr lang="en-US"/>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1A0D-47FF-A667-91BF70661653}"/>
                </c:ext>
                <c:ext xmlns:c15="http://schemas.microsoft.com/office/drawing/2012/chart" uri="{CE6537A1-D6FC-4f65-9D91-7224C49458BB}"/>
              </c:extLst>
            </c:dLbl>
            <c:dLbl>
              <c:idx val="5"/>
              <c:layout>
                <c:manualLayout>
                  <c:x val="1.1143919510061243E-3"/>
                  <c:y val="-1.2962962962962963E-3"/>
                </c:manualLayout>
              </c:layout>
              <c:tx>
                <c:rich>
                  <a:bodyPr/>
                  <a:lstStyle/>
                  <a:p>
                    <a:r>
                      <a:rPr lang="en-US"/>
                      <a:t>NE
12.1</a:t>
                    </a:r>
                    <a:r>
                      <a:rPr lang="en-US" sz="900" b="0" i="0" u="none" strike="noStrike" kern="1200" baseline="0">
                        <a:solidFill>
                          <a:srgbClr val="021F43"/>
                        </a:solidFill>
                        <a:latin typeface="Trebuchet MS" panose="020B0603020202020204" pitchFamily="34" charset="0"/>
                        <a:ea typeface="+mn-ea"/>
                        <a:cs typeface="+mn-cs"/>
                      </a:rPr>
                      <a:t>%</a:t>
                    </a:r>
                    <a:r>
                      <a:rPr lang="en-US"/>
                      <a:t> </a:t>
                    </a:r>
                  </a:p>
                  <a:p>
                    <a:r>
                      <a:rPr lang="en-US"/>
                      <a:t>of which Adamawa 3.6</a:t>
                    </a:r>
                    <a:r>
                      <a:rPr lang="en-US" sz="900" b="0" i="0" u="none" strike="noStrike" kern="1200" baseline="0">
                        <a:solidFill>
                          <a:srgbClr val="021F43"/>
                        </a:solidFill>
                        <a:latin typeface="Trebuchet MS" panose="020B0603020202020204" pitchFamily="34" charset="0"/>
                        <a:ea typeface="+mn-ea"/>
                        <a:cs typeface="+mn-cs"/>
                      </a:rPr>
                      <a:t>%</a:t>
                    </a:r>
                    <a:endParaRPr lang="en-US"/>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1A0D-47FF-A667-91BF70661653}"/>
                </c:ex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Sheet1!$B$2:$B$7</c:f>
              <c:strCache>
                <c:ptCount val="6"/>
                <c:pt idx="0">
                  <c:v>SW</c:v>
                </c:pt>
                <c:pt idx="1">
                  <c:v>SS</c:v>
                </c:pt>
                <c:pt idx="2">
                  <c:v>SE</c:v>
                </c:pt>
                <c:pt idx="3">
                  <c:v>NC</c:v>
                </c:pt>
                <c:pt idx="4">
                  <c:v>NW </c:v>
                </c:pt>
                <c:pt idx="5">
                  <c:v>NE</c:v>
                </c:pt>
              </c:strCache>
            </c:strRef>
          </c:cat>
          <c:val>
            <c:numRef>
              <c:f>Sheet1!$E$2:$E$7</c:f>
              <c:numCache>
                <c:formatCode>General</c:formatCode>
                <c:ptCount val="6"/>
                <c:pt idx="0">
                  <c:v>25.25</c:v>
                </c:pt>
                <c:pt idx="1">
                  <c:v>15.89</c:v>
                </c:pt>
                <c:pt idx="2">
                  <c:v>13.12</c:v>
                </c:pt>
                <c:pt idx="3">
                  <c:v>19.59</c:v>
                </c:pt>
                <c:pt idx="4">
                  <c:v>14.07</c:v>
                </c:pt>
                <c:pt idx="5">
                  <c:v>12.07</c:v>
                </c:pt>
              </c:numCache>
            </c:numRef>
          </c:val>
          <c:extLst xmlns:c16r2="http://schemas.microsoft.com/office/drawing/2015/06/chart">
            <c:ext xmlns:c16="http://schemas.microsoft.com/office/drawing/2014/chart" uri="{C3380CC4-5D6E-409C-BE32-E72D297353CC}">
              <c16:uniqueId val="{0000000B-1A0D-47FF-A667-91BF70661653}"/>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lumMod val="95000"/>
      </a:schemeClr>
    </a:solidFill>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1708194613257235"/>
          <c:y val="6.8783277090363706E-2"/>
          <c:w val="0.85236242491500647"/>
          <c:h val="0.50346874254354568"/>
        </c:manualLayout>
      </c:layout>
      <c:barChart>
        <c:barDir val="col"/>
        <c:grouping val="stacked"/>
        <c:varyColors val="0"/>
        <c:ser>
          <c:idx val="0"/>
          <c:order val="0"/>
          <c:tx>
            <c:strRef>
              <c:f>'survey design'!$Y$13</c:f>
              <c:strCache>
                <c:ptCount val="1"/>
                <c:pt idx="0">
                  <c:v>Small</c:v>
                </c:pt>
              </c:strCache>
            </c:strRef>
          </c:tx>
          <c:spPr>
            <a:solidFill>
              <a:schemeClr val="accent6">
                <a:lumMod val="50000"/>
              </a:schemeClr>
            </a:solidFill>
            <a:ln>
              <a:noFill/>
            </a:ln>
            <a:effectLst/>
          </c:spPr>
          <c:invertIfNegative val="0"/>
          <c:cat>
            <c:strRef>
              <c:f>'survey design'!$Z$12:$AR$12</c:f>
              <c:strCache>
                <c:ptCount val="19"/>
                <c:pt idx="0">
                  <c:v>Abia</c:v>
                </c:pt>
                <c:pt idx="1">
                  <c:v>Abuja</c:v>
                </c:pt>
                <c:pt idx="2">
                  <c:v>Anambra</c:v>
                </c:pt>
                <c:pt idx="3">
                  <c:v>Cross River</c:v>
                </c:pt>
                <c:pt idx="4">
                  <c:v>Enugu</c:v>
                </c:pt>
                <c:pt idx="5">
                  <c:v>Gombe</c:v>
                </c:pt>
                <c:pt idx="6">
                  <c:v>Jigawa</c:v>
                </c:pt>
                <c:pt idx="7">
                  <c:v>Kaduna</c:v>
                </c:pt>
                <c:pt idx="8">
                  <c:v>Kano</c:v>
                </c:pt>
                <c:pt idx="9">
                  <c:v>Katsina</c:v>
                </c:pt>
                <c:pt idx="10">
                  <c:v>Kebbi</c:v>
                </c:pt>
                <c:pt idx="11">
                  <c:v>Kwara</c:v>
                </c:pt>
                <c:pt idx="12">
                  <c:v>Lagos</c:v>
                </c:pt>
                <c:pt idx="13">
                  <c:v>Nasarawa</c:v>
                </c:pt>
                <c:pt idx="14">
                  <c:v>Niger</c:v>
                </c:pt>
                <c:pt idx="15">
                  <c:v>Ogun</c:v>
                </c:pt>
                <c:pt idx="16">
                  <c:v>Oyo</c:v>
                </c:pt>
                <c:pt idx="17">
                  <c:v>Sokoto</c:v>
                </c:pt>
                <c:pt idx="18">
                  <c:v>Zamfara</c:v>
                </c:pt>
              </c:strCache>
            </c:strRef>
          </c:cat>
          <c:val>
            <c:numRef>
              <c:f>'survey design'!$Z$13:$AR$13</c:f>
              <c:numCache>
                <c:formatCode>General</c:formatCode>
                <c:ptCount val="19"/>
                <c:pt idx="0">
                  <c:v>1025</c:v>
                </c:pt>
                <c:pt idx="1">
                  <c:v>714</c:v>
                </c:pt>
                <c:pt idx="2">
                  <c:v>582</c:v>
                </c:pt>
                <c:pt idx="3">
                  <c:v>507</c:v>
                </c:pt>
                <c:pt idx="4">
                  <c:v>930</c:v>
                </c:pt>
                <c:pt idx="5">
                  <c:v>412</c:v>
                </c:pt>
                <c:pt idx="6">
                  <c:v>142</c:v>
                </c:pt>
                <c:pt idx="7">
                  <c:v>1577</c:v>
                </c:pt>
                <c:pt idx="8">
                  <c:v>1960</c:v>
                </c:pt>
                <c:pt idx="9">
                  <c:v>347</c:v>
                </c:pt>
                <c:pt idx="10">
                  <c:v>427</c:v>
                </c:pt>
                <c:pt idx="11">
                  <c:v>344</c:v>
                </c:pt>
                <c:pt idx="12">
                  <c:v>4418</c:v>
                </c:pt>
                <c:pt idx="13">
                  <c:v>388</c:v>
                </c:pt>
                <c:pt idx="14">
                  <c:v>606</c:v>
                </c:pt>
                <c:pt idx="15">
                  <c:v>786</c:v>
                </c:pt>
                <c:pt idx="16">
                  <c:v>5071</c:v>
                </c:pt>
                <c:pt idx="17">
                  <c:v>352</c:v>
                </c:pt>
                <c:pt idx="18">
                  <c:v>1680</c:v>
                </c:pt>
              </c:numCache>
            </c:numRef>
          </c:val>
          <c:extLst xmlns:c16r2="http://schemas.microsoft.com/office/drawing/2015/06/chart">
            <c:ext xmlns:c16="http://schemas.microsoft.com/office/drawing/2014/chart" uri="{C3380CC4-5D6E-409C-BE32-E72D297353CC}">
              <c16:uniqueId val="{00000000-D68C-493B-82D5-ABA790904C56}"/>
            </c:ext>
          </c:extLst>
        </c:ser>
        <c:ser>
          <c:idx val="1"/>
          <c:order val="1"/>
          <c:tx>
            <c:strRef>
              <c:f>'survey design'!$Y$14</c:f>
              <c:strCache>
                <c:ptCount val="1"/>
                <c:pt idx="0">
                  <c:v>Medium</c:v>
                </c:pt>
              </c:strCache>
            </c:strRef>
          </c:tx>
          <c:spPr>
            <a:solidFill>
              <a:schemeClr val="accent6"/>
            </a:solidFill>
            <a:ln>
              <a:noFill/>
            </a:ln>
            <a:effectLst/>
          </c:spPr>
          <c:invertIfNegative val="0"/>
          <c:cat>
            <c:strRef>
              <c:f>'survey design'!$Z$12:$AR$12</c:f>
              <c:strCache>
                <c:ptCount val="19"/>
                <c:pt idx="0">
                  <c:v>Abia</c:v>
                </c:pt>
                <c:pt idx="1">
                  <c:v>Abuja</c:v>
                </c:pt>
                <c:pt idx="2">
                  <c:v>Anambra</c:v>
                </c:pt>
                <c:pt idx="3">
                  <c:v>Cross River</c:v>
                </c:pt>
                <c:pt idx="4">
                  <c:v>Enugu</c:v>
                </c:pt>
                <c:pt idx="5">
                  <c:v>Gombe</c:v>
                </c:pt>
                <c:pt idx="6">
                  <c:v>Jigawa</c:v>
                </c:pt>
                <c:pt idx="7">
                  <c:v>Kaduna</c:v>
                </c:pt>
                <c:pt idx="8">
                  <c:v>Kano</c:v>
                </c:pt>
                <c:pt idx="9">
                  <c:v>Katsina</c:v>
                </c:pt>
                <c:pt idx="10">
                  <c:v>Kebbi</c:v>
                </c:pt>
                <c:pt idx="11">
                  <c:v>Kwara</c:v>
                </c:pt>
                <c:pt idx="12">
                  <c:v>Lagos</c:v>
                </c:pt>
                <c:pt idx="13">
                  <c:v>Nasarawa</c:v>
                </c:pt>
                <c:pt idx="14">
                  <c:v>Niger</c:v>
                </c:pt>
                <c:pt idx="15">
                  <c:v>Ogun</c:v>
                </c:pt>
                <c:pt idx="16">
                  <c:v>Oyo</c:v>
                </c:pt>
                <c:pt idx="17">
                  <c:v>Sokoto</c:v>
                </c:pt>
                <c:pt idx="18">
                  <c:v>Zamfara</c:v>
                </c:pt>
              </c:strCache>
            </c:strRef>
          </c:cat>
          <c:val>
            <c:numRef>
              <c:f>'survey design'!$Z$14:$AR$14</c:f>
              <c:numCache>
                <c:formatCode>General</c:formatCode>
                <c:ptCount val="19"/>
                <c:pt idx="0">
                  <c:v>116</c:v>
                </c:pt>
                <c:pt idx="1">
                  <c:v>188</c:v>
                </c:pt>
                <c:pt idx="2">
                  <c:v>101</c:v>
                </c:pt>
                <c:pt idx="3">
                  <c:v>56</c:v>
                </c:pt>
                <c:pt idx="4">
                  <c:v>134</c:v>
                </c:pt>
                <c:pt idx="5">
                  <c:v>189</c:v>
                </c:pt>
                <c:pt idx="6">
                  <c:v>119</c:v>
                </c:pt>
                <c:pt idx="7">
                  <c:v>229</c:v>
                </c:pt>
                <c:pt idx="8">
                  <c:v>352</c:v>
                </c:pt>
                <c:pt idx="9">
                  <c:v>507</c:v>
                </c:pt>
                <c:pt idx="10">
                  <c:v>117</c:v>
                </c:pt>
                <c:pt idx="11">
                  <c:v>132</c:v>
                </c:pt>
                <c:pt idx="12">
                  <c:v>792</c:v>
                </c:pt>
                <c:pt idx="13">
                  <c:v>223</c:v>
                </c:pt>
                <c:pt idx="14">
                  <c:v>333</c:v>
                </c:pt>
                <c:pt idx="15">
                  <c:v>324</c:v>
                </c:pt>
                <c:pt idx="16">
                  <c:v>275</c:v>
                </c:pt>
                <c:pt idx="17">
                  <c:v>130</c:v>
                </c:pt>
                <c:pt idx="18">
                  <c:v>510</c:v>
                </c:pt>
              </c:numCache>
            </c:numRef>
          </c:val>
          <c:extLst xmlns:c16r2="http://schemas.microsoft.com/office/drawing/2015/06/chart">
            <c:ext xmlns:c16="http://schemas.microsoft.com/office/drawing/2014/chart" uri="{C3380CC4-5D6E-409C-BE32-E72D297353CC}">
              <c16:uniqueId val="{00000001-D68C-493B-82D5-ABA790904C56}"/>
            </c:ext>
          </c:extLst>
        </c:ser>
        <c:ser>
          <c:idx val="2"/>
          <c:order val="2"/>
          <c:tx>
            <c:strRef>
              <c:f>'survey design'!$Y$15</c:f>
              <c:strCache>
                <c:ptCount val="1"/>
                <c:pt idx="0">
                  <c:v>Large</c:v>
                </c:pt>
              </c:strCache>
            </c:strRef>
          </c:tx>
          <c:spPr>
            <a:solidFill>
              <a:schemeClr val="accent6">
                <a:lumMod val="60000"/>
                <a:lumOff val="40000"/>
              </a:schemeClr>
            </a:solidFill>
            <a:ln>
              <a:noFill/>
            </a:ln>
            <a:effectLst/>
          </c:spPr>
          <c:invertIfNegative val="0"/>
          <c:cat>
            <c:strRef>
              <c:f>'survey design'!$Z$12:$AR$12</c:f>
              <c:strCache>
                <c:ptCount val="19"/>
                <c:pt idx="0">
                  <c:v>Abia</c:v>
                </c:pt>
                <c:pt idx="1">
                  <c:v>Abuja</c:v>
                </c:pt>
                <c:pt idx="2">
                  <c:v>Anambra</c:v>
                </c:pt>
                <c:pt idx="3">
                  <c:v>Cross River</c:v>
                </c:pt>
                <c:pt idx="4">
                  <c:v>Enugu</c:v>
                </c:pt>
                <c:pt idx="5">
                  <c:v>Gombe</c:v>
                </c:pt>
                <c:pt idx="6">
                  <c:v>Jigawa</c:v>
                </c:pt>
                <c:pt idx="7">
                  <c:v>Kaduna</c:v>
                </c:pt>
                <c:pt idx="8">
                  <c:v>Kano</c:v>
                </c:pt>
                <c:pt idx="9">
                  <c:v>Katsina</c:v>
                </c:pt>
                <c:pt idx="10">
                  <c:v>Kebbi</c:v>
                </c:pt>
                <c:pt idx="11">
                  <c:v>Kwara</c:v>
                </c:pt>
                <c:pt idx="12">
                  <c:v>Lagos</c:v>
                </c:pt>
                <c:pt idx="13">
                  <c:v>Nasarawa</c:v>
                </c:pt>
                <c:pt idx="14">
                  <c:v>Niger</c:v>
                </c:pt>
                <c:pt idx="15">
                  <c:v>Ogun</c:v>
                </c:pt>
                <c:pt idx="16">
                  <c:v>Oyo</c:v>
                </c:pt>
                <c:pt idx="17">
                  <c:v>Sokoto</c:v>
                </c:pt>
                <c:pt idx="18">
                  <c:v>Zamfara</c:v>
                </c:pt>
              </c:strCache>
            </c:strRef>
          </c:cat>
          <c:val>
            <c:numRef>
              <c:f>'survey design'!$Z$15:$AR$15</c:f>
              <c:numCache>
                <c:formatCode>General</c:formatCode>
                <c:ptCount val="19"/>
                <c:pt idx="0">
                  <c:v>13</c:v>
                </c:pt>
                <c:pt idx="1">
                  <c:v>15</c:v>
                </c:pt>
                <c:pt idx="2">
                  <c:v>13</c:v>
                </c:pt>
                <c:pt idx="3">
                  <c:v>19</c:v>
                </c:pt>
                <c:pt idx="4">
                  <c:v>18</c:v>
                </c:pt>
                <c:pt idx="5">
                  <c:v>23</c:v>
                </c:pt>
                <c:pt idx="6">
                  <c:v>7</c:v>
                </c:pt>
                <c:pt idx="7">
                  <c:v>43</c:v>
                </c:pt>
                <c:pt idx="8">
                  <c:v>84</c:v>
                </c:pt>
                <c:pt idx="9">
                  <c:v>30</c:v>
                </c:pt>
                <c:pt idx="10">
                  <c:v>9</c:v>
                </c:pt>
                <c:pt idx="11">
                  <c:v>15</c:v>
                </c:pt>
                <c:pt idx="12">
                  <c:v>300</c:v>
                </c:pt>
                <c:pt idx="13">
                  <c:v>8</c:v>
                </c:pt>
                <c:pt idx="14">
                  <c:v>20</c:v>
                </c:pt>
                <c:pt idx="15">
                  <c:v>60</c:v>
                </c:pt>
                <c:pt idx="16">
                  <c:v>43</c:v>
                </c:pt>
                <c:pt idx="17">
                  <c:v>24</c:v>
                </c:pt>
                <c:pt idx="18">
                  <c:v>27</c:v>
                </c:pt>
              </c:numCache>
            </c:numRef>
          </c:val>
          <c:extLst xmlns:c16r2="http://schemas.microsoft.com/office/drawing/2015/06/chart">
            <c:ext xmlns:c16="http://schemas.microsoft.com/office/drawing/2014/chart" uri="{C3380CC4-5D6E-409C-BE32-E72D297353CC}">
              <c16:uniqueId val="{00000002-D68C-493B-82D5-ABA790904C56}"/>
            </c:ext>
          </c:extLst>
        </c:ser>
        <c:dLbls>
          <c:showLegendKey val="0"/>
          <c:showVal val="0"/>
          <c:showCatName val="0"/>
          <c:showSerName val="0"/>
          <c:showPercent val="0"/>
          <c:showBubbleSize val="0"/>
        </c:dLbls>
        <c:gapWidth val="50"/>
        <c:overlap val="100"/>
        <c:axId val="475814864"/>
        <c:axId val="475815256"/>
      </c:barChart>
      <c:catAx>
        <c:axId val="475814864"/>
        <c:scaling>
          <c:orientation val="minMax"/>
        </c:scaling>
        <c:delete val="0"/>
        <c:axPos val="b"/>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crossAx val="475815256"/>
        <c:crosses val="autoZero"/>
        <c:auto val="1"/>
        <c:lblAlgn val="ctr"/>
        <c:lblOffset val="100"/>
        <c:noMultiLvlLbl val="0"/>
      </c:catAx>
      <c:valAx>
        <c:axId val="475815256"/>
        <c:scaling>
          <c:orientation val="minMax"/>
        </c:scaling>
        <c:delete val="0"/>
        <c:axPos val="l"/>
        <c:majorGridlines>
          <c:spPr>
            <a:ln w="9525" cap="flat" cmpd="sng" algn="ctr">
              <a:solidFill>
                <a:schemeClr val="bg1"/>
              </a:solidFill>
              <a:round/>
            </a:ln>
            <a:effectLst/>
          </c:spPr>
        </c:majorGridlines>
        <c:numFmt formatCode="General" sourceLinked="1"/>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crossAx val="475814864"/>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mj-lt"/>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30839025916462"/>
          <c:y val="0.11188242883780941"/>
          <c:w val="0.78987363334550065"/>
          <c:h val="0.8031711692604081"/>
        </c:manualLayout>
      </c:layout>
      <c:pieChart>
        <c:varyColors val="1"/>
        <c:ser>
          <c:idx val="0"/>
          <c:order val="0"/>
          <c:explosion val="2"/>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3FDB-4148-B813-7FA67154E64D}"/>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3FDB-4148-B813-7FA67154E64D}"/>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3FDB-4148-B813-7FA67154E64D}"/>
              </c:ext>
            </c:extLst>
          </c:dPt>
          <c:dLbls>
            <c:dLbl>
              <c:idx val="0"/>
              <c:layout>
                <c:manualLayout>
                  <c:x val="0.22331890632876189"/>
                  <c:y val="3.104960364802884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FDB-4148-B813-7FA67154E64D}"/>
                </c:ext>
                <c:ext xmlns:c15="http://schemas.microsoft.com/office/drawing/2012/chart" uri="{CE6537A1-D6FC-4f65-9D91-7224C49458BB}"/>
              </c:extLst>
            </c:dLbl>
            <c:dLbl>
              <c:idx val="2"/>
              <c:layout>
                <c:manualLayout>
                  <c:x val="0.28826571157771946"/>
                  <c:y val="-0.1223868445015801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FDB-4148-B813-7FA67154E64D}"/>
                </c:ex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'[Copy of Kano v2 (Autosaved).xlsx]Per sector'!$A$77:$A$79</c:f>
              <c:strCache>
                <c:ptCount val="3"/>
                <c:pt idx="0">
                  <c:v>Agriculture</c:v>
                </c:pt>
                <c:pt idx="1">
                  <c:v>Manufacturing</c:v>
                </c:pt>
                <c:pt idx="2">
                  <c:v>Services</c:v>
                </c:pt>
              </c:strCache>
            </c:strRef>
          </c:cat>
          <c:val>
            <c:numRef>
              <c:f>'[Copy of Kano v2 (Autosaved).xlsx]Per sector'!$B$77:$B$79</c:f>
              <c:numCache>
                <c:formatCode>General</c:formatCode>
                <c:ptCount val="3"/>
                <c:pt idx="0">
                  <c:v>750</c:v>
                </c:pt>
                <c:pt idx="1">
                  <c:v>7058</c:v>
                </c:pt>
                <c:pt idx="2">
                  <c:v>15111</c:v>
                </c:pt>
              </c:numCache>
            </c:numRef>
          </c:val>
          <c:extLst xmlns:c16r2="http://schemas.microsoft.com/office/drawing/2015/06/chart">
            <c:ext xmlns:c16="http://schemas.microsoft.com/office/drawing/2014/chart" uri="{C3380CC4-5D6E-409C-BE32-E72D297353CC}">
              <c16:uniqueId val="{00000006-3FDB-4148-B813-7FA67154E64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Trebuchet MS" panose="020B0603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574055670225694E-2"/>
          <c:y val="5.0925925925925923E-2"/>
          <c:w val="0.90269347399536226"/>
          <c:h val="0.56325874285477162"/>
        </c:manualLayout>
      </c:layout>
      <c:barChart>
        <c:barDir val="col"/>
        <c:grouping val="percentStacked"/>
        <c:varyColors val="0"/>
        <c:ser>
          <c:idx val="0"/>
          <c:order val="0"/>
          <c:tx>
            <c:strRef>
              <c:f>Sheet1!$A$7</c:f>
              <c:strCache>
                <c:ptCount val="1"/>
                <c:pt idx="0">
                  <c:v>Shrinking</c:v>
                </c:pt>
              </c:strCache>
            </c:strRef>
          </c:tx>
          <c:spPr>
            <a:solidFill>
              <a:schemeClr val="accent6">
                <a:lumMod val="50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Sheet1!$B$6:$K$6</c:f>
              <c:strCache>
                <c:ptCount val="10"/>
                <c:pt idx="0">
                  <c:v>Nigeria</c:v>
                </c:pt>
                <c:pt idx="2">
                  <c:v>Lagos</c:v>
                </c:pt>
                <c:pt idx="3">
                  <c:v>Kano/Kaduna</c:v>
                </c:pt>
                <c:pt idx="4">
                  <c:v>Other South</c:v>
                </c:pt>
                <c:pt idx="5">
                  <c:v>Other North</c:v>
                </c:pt>
                <c:pt idx="7">
                  <c:v>Small</c:v>
                </c:pt>
                <c:pt idx="8">
                  <c:v>Medium</c:v>
                </c:pt>
                <c:pt idx="9">
                  <c:v>Large</c:v>
                </c:pt>
              </c:strCache>
            </c:strRef>
          </c:cat>
          <c:val>
            <c:numRef>
              <c:f>Sheet1!$B$7:$K$7</c:f>
              <c:numCache>
                <c:formatCode>General</c:formatCode>
                <c:ptCount val="10"/>
                <c:pt idx="0">
                  <c:v>12.3</c:v>
                </c:pt>
                <c:pt idx="2">
                  <c:v>8.5</c:v>
                </c:pt>
                <c:pt idx="3">
                  <c:v>14.6</c:v>
                </c:pt>
                <c:pt idx="4">
                  <c:v>10.1</c:v>
                </c:pt>
                <c:pt idx="5">
                  <c:v>16.2</c:v>
                </c:pt>
                <c:pt idx="7">
                  <c:v>12.2</c:v>
                </c:pt>
                <c:pt idx="8">
                  <c:v>14</c:v>
                </c:pt>
                <c:pt idx="9">
                  <c:v>14.5</c:v>
                </c:pt>
              </c:numCache>
            </c:numRef>
          </c:val>
          <c:extLst xmlns:c16r2="http://schemas.microsoft.com/office/drawing/2015/06/chart">
            <c:ext xmlns:c16="http://schemas.microsoft.com/office/drawing/2014/chart" uri="{C3380CC4-5D6E-409C-BE32-E72D297353CC}">
              <c16:uniqueId val="{00000000-1317-4B86-A589-AAE54B1E0B8A}"/>
            </c:ext>
          </c:extLst>
        </c:ser>
        <c:ser>
          <c:idx val="1"/>
          <c:order val="1"/>
          <c:tx>
            <c:strRef>
              <c:f>Sheet1!$A$8</c:f>
              <c:strCache>
                <c:ptCount val="1"/>
                <c:pt idx="0">
                  <c:v>No change</c:v>
                </c:pt>
              </c:strCache>
            </c:strRef>
          </c:tx>
          <c:spPr>
            <a:solidFill>
              <a:schemeClr val="accent6"/>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Sheet1!$B$6:$K$6</c:f>
              <c:strCache>
                <c:ptCount val="10"/>
                <c:pt idx="0">
                  <c:v>Nigeria</c:v>
                </c:pt>
                <c:pt idx="2">
                  <c:v>Lagos</c:v>
                </c:pt>
                <c:pt idx="3">
                  <c:v>Kano/Kaduna</c:v>
                </c:pt>
                <c:pt idx="4">
                  <c:v>Other South</c:v>
                </c:pt>
                <c:pt idx="5">
                  <c:v>Other North</c:v>
                </c:pt>
                <c:pt idx="7">
                  <c:v>Small</c:v>
                </c:pt>
                <c:pt idx="8">
                  <c:v>Medium</c:v>
                </c:pt>
                <c:pt idx="9">
                  <c:v>Large</c:v>
                </c:pt>
              </c:strCache>
            </c:strRef>
          </c:cat>
          <c:val>
            <c:numRef>
              <c:f>Sheet1!$B$8:$K$8</c:f>
              <c:numCache>
                <c:formatCode>General</c:formatCode>
                <c:ptCount val="10"/>
                <c:pt idx="0">
                  <c:v>59.6</c:v>
                </c:pt>
                <c:pt idx="2">
                  <c:v>61.7</c:v>
                </c:pt>
                <c:pt idx="3">
                  <c:v>46.7</c:v>
                </c:pt>
                <c:pt idx="4">
                  <c:v>70.2</c:v>
                </c:pt>
                <c:pt idx="5">
                  <c:v>50.1</c:v>
                </c:pt>
                <c:pt idx="7">
                  <c:v>57.9</c:v>
                </c:pt>
                <c:pt idx="8">
                  <c:v>63.1</c:v>
                </c:pt>
                <c:pt idx="9">
                  <c:v>61.5</c:v>
                </c:pt>
              </c:numCache>
            </c:numRef>
          </c:val>
          <c:extLst xmlns:c16r2="http://schemas.microsoft.com/office/drawing/2015/06/chart">
            <c:ext xmlns:c16="http://schemas.microsoft.com/office/drawing/2014/chart" uri="{C3380CC4-5D6E-409C-BE32-E72D297353CC}">
              <c16:uniqueId val="{00000001-1317-4B86-A589-AAE54B1E0B8A}"/>
            </c:ext>
          </c:extLst>
        </c:ser>
        <c:ser>
          <c:idx val="2"/>
          <c:order val="2"/>
          <c:tx>
            <c:strRef>
              <c:f>Sheet1!$A$9</c:f>
              <c:strCache>
                <c:ptCount val="1"/>
                <c:pt idx="0">
                  <c:v>Growing</c:v>
                </c:pt>
              </c:strCache>
            </c:strRef>
          </c:tx>
          <c:spPr>
            <a:solidFill>
              <a:schemeClr val="accent6">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Sheet1!$B$6:$K$6</c:f>
              <c:strCache>
                <c:ptCount val="10"/>
                <c:pt idx="0">
                  <c:v>Nigeria</c:v>
                </c:pt>
                <c:pt idx="2">
                  <c:v>Lagos</c:v>
                </c:pt>
                <c:pt idx="3">
                  <c:v>Kano/Kaduna</c:v>
                </c:pt>
                <c:pt idx="4">
                  <c:v>Other South</c:v>
                </c:pt>
                <c:pt idx="5">
                  <c:v>Other North</c:v>
                </c:pt>
                <c:pt idx="7">
                  <c:v>Small</c:v>
                </c:pt>
                <c:pt idx="8">
                  <c:v>Medium</c:v>
                </c:pt>
                <c:pt idx="9">
                  <c:v>Large</c:v>
                </c:pt>
              </c:strCache>
            </c:strRef>
          </c:cat>
          <c:val>
            <c:numRef>
              <c:f>Sheet1!$B$9:$K$9</c:f>
              <c:numCache>
                <c:formatCode>General</c:formatCode>
                <c:ptCount val="10"/>
                <c:pt idx="0">
                  <c:v>28.1</c:v>
                </c:pt>
                <c:pt idx="2">
                  <c:v>29.8</c:v>
                </c:pt>
                <c:pt idx="3">
                  <c:v>38.700000000000003</c:v>
                </c:pt>
                <c:pt idx="4">
                  <c:v>19.7</c:v>
                </c:pt>
                <c:pt idx="5">
                  <c:v>33.700000000000003</c:v>
                </c:pt>
                <c:pt idx="7">
                  <c:v>29.9</c:v>
                </c:pt>
                <c:pt idx="8">
                  <c:v>22.9</c:v>
                </c:pt>
                <c:pt idx="9">
                  <c:v>24</c:v>
                </c:pt>
              </c:numCache>
            </c:numRef>
          </c:val>
          <c:extLst xmlns:c16r2="http://schemas.microsoft.com/office/drawing/2015/06/chart">
            <c:ext xmlns:c16="http://schemas.microsoft.com/office/drawing/2014/chart" uri="{C3380CC4-5D6E-409C-BE32-E72D297353CC}">
              <c16:uniqueId val="{00000002-1317-4B86-A589-AAE54B1E0B8A}"/>
            </c:ext>
          </c:extLst>
        </c:ser>
        <c:dLbls>
          <c:showLegendKey val="0"/>
          <c:showVal val="0"/>
          <c:showCatName val="0"/>
          <c:showSerName val="0"/>
          <c:showPercent val="0"/>
          <c:showBubbleSize val="0"/>
        </c:dLbls>
        <c:gapWidth val="59"/>
        <c:overlap val="100"/>
        <c:axId val="482550816"/>
        <c:axId val="482546504"/>
      </c:barChart>
      <c:catAx>
        <c:axId val="482550816"/>
        <c:scaling>
          <c:orientation val="minMax"/>
        </c:scaling>
        <c:delete val="0"/>
        <c:axPos val="b"/>
        <c:numFmt formatCode="General" sourceLinked="0"/>
        <c:majorTickMark val="out"/>
        <c:minorTickMark val="none"/>
        <c:tickLblPos val="nextTo"/>
        <c:crossAx val="482546504"/>
        <c:crosses val="autoZero"/>
        <c:auto val="1"/>
        <c:lblAlgn val="ctr"/>
        <c:lblOffset val="100"/>
        <c:noMultiLvlLbl val="0"/>
      </c:catAx>
      <c:valAx>
        <c:axId val="482546504"/>
        <c:scaling>
          <c:orientation val="minMax"/>
        </c:scaling>
        <c:delete val="0"/>
        <c:axPos val="l"/>
        <c:majorGridlines>
          <c:spPr>
            <a:ln>
              <a:solidFill>
                <a:schemeClr val="bg1"/>
              </a:solidFill>
            </a:ln>
          </c:spPr>
        </c:majorGridlines>
        <c:numFmt formatCode="0%" sourceLinked="1"/>
        <c:majorTickMark val="out"/>
        <c:minorTickMark val="none"/>
        <c:tickLblPos val="nextTo"/>
        <c:crossAx val="482550816"/>
        <c:crosses val="autoZero"/>
        <c:crossBetween val="between"/>
        <c:majorUnit val="0.2"/>
      </c:valAx>
      <c:spPr>
        <a:solidFill>
          <a:schemeClr val="bg1">
            <a:lumMod val="95000"/>
          </a:schemeClr>
        </a:solidFill>
      </c:spPr>
    </c:plotArea>
    <c:legend>
      <c:legendPos val="b"/>
      <c:layout/>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Sheet2!$K$5</c:f>
              <c:strCache>
                <c:ptCount val="1"/>
                <c:pt idx="0">
                  <c:v>Emp growth</c:v>
                </c:pt>
              </c:strCache>
            </c:strRef>
          </c:tx>
          <c:invertIfNegative val="0"/>
          <c:cat>
            <c:strRef>
              <c:f>Sheet2!$J$6:$J$11</c:f>
              <c:strCache>
                <c:ptCount val="6"/>
                <c:pt idx="0">
                  <c:v>NC</c:v>
                </c:pt>
                <c:pt idx="1">
                  <c:v>NE</c:v>
                </c:pt>
                <c:pt idx="2">
                  <c:v>NW</c:v>
                </c:pt>
                <c:pt idx="3">
                  <c:v>SE</c:v>
                </c:pt>
                <c:pt idx="4">
                  <c:v>SS</c:v>
                </c:pt>
                <c:pt idx="5">
                  <c:v>SW</c:v>
                </c:pt>
              </c:strCache>
            </c:strRef>
          </c:cat>
          <c:val>
            <c:numRef>
              <c:f>Sheet2!$K$6:$K$11</c:f>
              <c:numCache>
                <c:formatCode>0%</c:formatCode>
                <c:ptCount val="6"/>
                <c:pt idx="0">
                  <c:v>-1.2852898499924659E-2</c:v>
                </c:pt>
                <c:pt idx="1">
                  <c:v>-2.2487851737892695E-2</c:v>
                </c:pt>
                <c:pt idx="2">
                  <c:v>-0.10132597678579802</c:v>
                </c:pt>
                <c:pt idx="3">
                  <c:v>-4.486859542783328E-2</c:v>
                </c:pt>
                <c:pt idx="4">
                  <c:v>-1.7436516045909567E-2</c:v>
                </c:pt>
                <c:pt idx="5">
                  <c:v>9.5048291117778572E-3</c:v>
                </c:pt>
              </c:numCache>
            </c:numRef>
          </c:val>
          <c:extLst xmlns:c16r2="http://schemas.microsoft.com/office/drawing/2015/06/chart">
            <c:ext xmlns:c16="http://schemas.microsoft.com/office/drawing/2014/chart" uri="{C3380CC4-5D6E-409C-BE32-E72D297353CC}">
              <c16:uniqueId val="{00000000-B104-4C1E-8C33-E1A6E82A96DD}"/>
            </c:ext>
          </c:extLst>
        </c:ser>
        <c:ser>
          <c:idx val="1"/>
          <c:order val="1"/>
          <c:tx>
            <c:strRef>
              <c:f>Sheet2!$L$5</c:f>
              <c:strCache>
                <c:ptCount val="1"/>
                <c:pt idx="0">
                  <c:v>Sales growth - Nominal</c:v>
                </c:pt>
              </c:strCache>
            </c:strRef>
          </c:tx>
          <c:spPr>
            <a:solidFill>
              <a:schemeClr val="accent6"/>
            </a:solidFill>
          </c:spPr>
          <c:invertIfNegative val="0"/>
          <c:cat>
            <c:strRef>
              <c:f>Sheet2!$J$6:$J$11</c:f>
              <c:strCache>
                <c:ptCount val="6"/>
                <c:pt idx="0">
                  <c:v>NC</c:v>
                </c:pt>
                <c:pt idx="1">
                  <c:v>NE</c:v>
                </c:pt>
                <c:pt idx="2">
                  <c:v>NW</c:v>
                </c:pt>
                <c:pt idx="3">
                  <c:v>SE</c:v>
                </c:pt>
                <c:pt idx="4">
                  <c:v>SS</c:v>
                </c:pt>
                <c:pt idx="5">
                  <c:v>SW</c:v>
                </c:pt>
              </c:strCache>
            </c:strRef>
          </c:cat>
          <c:val>
            <c:numRef>
              <c:f>Sheet2!$L$6:$L$11</c:f>
              <c:numCache>
                <c:formatCode>0%</c:formatCode>
                <c:ptCount val="6"/>
                <c:pt idx="0">
                  <c:v>0.25122759720204391</c:v>
                </c:pt>
                <c:pt idx="1">
                  <c:v>0.31580013679889851</c:v>
                </c:pt>
                <c:pt idx="2">
                  <c:v>0.25908697078478271</c:v>
                </c:pt>
                <c:pt idx="3">
                  <c:v>0.35318143646740885</c:v>
                </c:pt>
                <c:pt idx="4">
                  <c:v>0.24747745470609606</c:v>
                </c:pt>
                <c:pt idx="5">
                  <c:v>0.28615706661356088</c:v>
                </c:pt>
              </c:numCache>
            </c:numRef>
          </c:val>
          <c:extLst xmlns:c16r2="http://schemas.microsoft.com/office/drawing/2015/06/chart">
            <c:ext xmlns:c16="http://schemas.microsoft.com/office/drawing/2014/chart" uri="{C3380CC4-5D6E-409C-BE32-E72D297353CC}">
              <c16:uniqueId val="{00000001-B104-4C1E-8C33-E1A6E82A96DD}"/>
            </c:ext>
          </c:extLst>
        </c:ser>
        <c:ser>
          <c:idx val="2"/>
          <c:order val="2"/>
          <c:tx>
            <c:strRef>
              <c:f>Sheet2!$M$5</c:f>
              <c:strCache>
                <c:ptCount val="1"/>
                <c:pt idx="0">
                  <c:v>Sales growth - Real</c:v>
                </c:pt>
              </c:strCache>
            </c:strRef>
          </c:tx>
          <c:spPr>
            <a:solidFill>
              <a:schemeClr val="accent6">
                <a:lumMod val="40000"/>
                <a:lumOff val="60000"/>
              </a:schemeClr>
            </a:solidFill>
          </c:spPr>
          <c:invertIfNegative val="0"/>
          <c:cat>
            <c:strRef>
              <c:f>Sheet2!$J$6:$J$11</c:f>
              <c:strCache>
                <c:ptCount val="6"/>
                <c:pt idx="0">
                  <c:v>NC</c:v>
                </c:pt>
                <c:pt idx="1">
                  <c:v>NE</c:v>
                </c:pt>
                <c:pt idx="2">
                  <c:v>NW</c:v>
                </c:pt>
                <c:pt idx="3">
                  <c:v>SE</c:v>
                </c:pt>
                <c:pt idx="4">
                  <c:v>SS</c:v>
                </c:pt>
                <c:pt idx="5">
                  <c:v>SW</c:v>
                </c:pt>
              </c:strCache>
            </c:strRef>
          </c:cat>
          <c:val>
            <c:numRef>
              <c:f>Sheet2!$M$6:$M$11</c:f>
              <c:numCache>
                <c:formatCode>0%</c:formatCode>
                <c:ptCount val="6"/>
                <c:pt idx="0">
                  <c:v>0.20769615384002948</c:v>
                </c:pt>
                <c:pt idx="1">
                  <c:v>0.28105425333980283</c:v>
                </c:pt>
                <c:pt idx="2">
                  <c:v>0.21945889639626648</c:v>
                </c:pt>
                <c:pt idx="3">
                  <c:v>0.31833227981415968</c:v>
                </c:pt>
                <c:pt idx="4">
                  <c:v>0.20335780215196175</c:v>
                </c:pt>
                <c:pt idx="5">
                  <c:v>0.2460337074092338</c:v>
                </c:pt>
              </c:numCache>
            </c:numRef>
          </c:val>
          <c:extLst xmlns:c16r2="http://schemas.microsoft.com/office/drawing/2015/06/chart">
            <c:ext xmlns:c16="http://schemas.microsoft.com/office/drawing/2014/chart" uri="{C3380CC4-5D6E-409C-BE32-E72D297353CC}">
              <c16:uniqueId val="{00000002-B104-4C1E-8C33-E1A6E82A96DD}"/>
            </c:ext>
          </c:extLst>
        </c:ser>
        <c:dLbls>
          <c:showLegendKey val="0"/>
          <c:showVal val="0"/>
          <c:showCatName val="0"/>
          <c:showSerName val="0"/>
          <c:showPercent val="0"/>
          <c:showBubbleSize val="0"/>
        </c:dLbls>
        <c:gapWidth val="150"/>
        <c:axId val="473181352"/>
        <c:axId val="473181744"/>
      </c:barChart>
      <c:catAx>
        <c:axId val="473181352"/>
        <c:scaling>
          <c:orientation val="minMax"/>
        </c:scaling>
        <c:delete val="0"/>
        <c:axPos val="b"/>
        <c:numFmt formatCode="General" sourceLinked="0"/>
        <c:majorTickMark val="out"/>
        <c:minorTickMark val="none"/>
        <c:tickLblPos val="nextTo"/>
        <c:crossAx val="473181744"/>
        <c:crosses val="autoZero"/>
        <c:auto val="1"/>
        <c:lblAlgn val="ctr"/>
        <c:lblOffset val="100"/>
        <c:noMultiLvlLbl val="0"/>
      </c:catAx>
      <c:valAx>
        <c:axId val="473181744"/>
        <c:scaling>
          <c:orientation val="minMax"/>
        </c:scaling>
        <c:delete val="0"/>
        <c:axPos val="l"/>
        <c:majorGridlines>
          <c:spPr>
            <a:ln>
              <a:solidFill>
                <a:schemeClr val="bg1"/>
              </a:solidFill>
              <a:prstDash val="solid"/>
            </a:ln>
          </c:spPr>
        </c:majorGridlines>
        <c:numFmt formatCode="0%" sourceLinked="1"/>
        <c:majorTickMark val="out"/>
        <c:minorTickMark val="none"/>
        <c:tickLblPos val="nextTo"/>
        <c:crossAx val="473181352"/>
        <c:crosses val="autoZero"/>
        <c:crossBetween val="between"/>
      </c:valAx>
      <c:spPr>
        <a:solidFill>
          <a:schemeClr val="bg1">
            <a:lumMod val="95000"/>
          </a:schemeClr>
        </a:solidFill>
      </c:spPr>
    </c:plotArea>
    <c:legend>
      <c:legendPos val="b"/>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Sheet7!$A$3</c:f>
              <c:strCache>
                <c:ptCount val="1"/>
                <c:pt idx="0">
                  <c:v>Declining</c:v>
                </c:pt>
              </c:strCache>
            </c:strRef>
          </c:tx>
          <c:spPr>
            <a:solidFill>
              <a:schemeClr val="accent6">
                <a:lumMod val="50000"/>
              </a:schemeClr>
            </a:solidFill>
          </c:spPr>
          <c:invertIfNegative val="0"/>
          <c:dLbls>
            <c:numFmt formatCode="#,##0.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Sheet7!$B$1:$G$2</c:f>
              <c:multiLvlStrCache>
                <c:ptCount val="6"/>
                <c:lvl>
                  <c:pt idx="0">
                    <c:v>Sales</c:v>
                  </c:pt>
                  <c:pt idx="1">
                    <c:v>Employment</c:v>
                  </c:pt>
                  <c:pt idx="2">
                    <c:v>Sales</c:v>
                  </c:pt>
                  <c:pt idx="3">
                    <c:v>Employment</c:v>
                  </c:pt>
                  <c:pt idx="4">
                    <c:v>Sales</c:v>
                  </c:pt>
                  <c:pt idx="5">
                    <c:v>Employment</c:v>
                  </c:pt>
                </c:lvl>
                <c:lvl>
                  <c:pt idx="0">
                    <c:v>All NFEs</c:v>
                  </c:pt>
                  <c:pt idx="2">
                    <c:v>ME only</c:v>
                  </c:pt>
                  <c:pt idx="4">
                    <c:v>HE only</c:v>
                  </c:pt>
                </c:lvl>
              </c:multiLvlStrCache>
            </c:multiLvlStrRef>
          </c:cat>
          <c:val>
            <c:numRef>
              <c:f>Sheet7!$B$3:$G$3</c:f>
              <c:numCache>
                <c:formatCode>General</c:formatCode>
                <c:ptCount val="6"/>
                <c:pt idx="0">
                  <c:v>19.3</c:v>
                </c:pt>
                <c:pt idx="1">
                  <c:v>8.4</c:v>
                </c:pt>
                <c:pt idx="2">
                  <c:v>18.7</c:v>
                </c:pt>
                <c:pt idx="3">
                  <c:v>8.8000000000000007</c:v>
                </c:pt>
                <c:pt idx="4">
                  <c:v>19.399999999999999</c:v>
                </c:pt>
                <c:pt idx="5">
                  <c:v>8.3699999999999992</c:v>
                </c:pt>
              </c:numCache>
            </c:numRef>
          </c:val>
          <c:extLst xmlns:c16r2="http://schemas.microsoft.com/office/drawing/2015/06/chart">
            <c:ext xmlns:c16="http://schemas.microsoft.com/office/drawing/2014/chart" uri="{C3380CC4-5D6E-409C-BE32-E72D297353CC}">
              <c16:uniqueId val="{00000000-1D00-4E44-808C-4EE6EE1920CB}"/>
            </c:ext>
          </c:extLst>
        </c:ser>
        <c:ser>
          <c:idx val="1"/>
          <c:order val="1"/>
          <c:tx>
            <c:strRef>
              <c:f>Sheet7!$A$4</c:f>
              <c:strCache>
                <c:ptCount val="1"/>
                <c:pt idx="0">
                  <c:v>New firms</c:v>
                </c:pt>
              </c:strCache>
            </c:strRef>
          </c:tx>
          <c:spPr>
            <a:solidFill>
              <a:schemeClr val="bg1"/>
            </a:solidFill>
            <a:ln>
              <a:solidFill>
                <a:schemeClr val="accent6"/>
              </a:solid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Sheet7!$B$1:$G$2</c:f>
              <c:multiLvlStrCache>
                <c:ptCount val="6"/>
                <c:lvl>
                  <c:pt idx="0">
                    <c:v>Sales</c:v>
                  </c:pt>
                  <c:pt idx="1">
                    <c:v>Employment</c:v>
                  </c:pt>
                  <c:pt idx="2">
                    <c:v>Sales</c:v>
                  </c:pt>
                  <c:pt idx="3">
                    <c:v>Employment</c:v>
                  </c:pt>
                  <c:pt idx="4">
                    <c:v>Sales</c:v>
                  </c:pt>
                  <c:pt idx="5">
                    <c:v>Employment</c:v>
                  </c:pt>
                </c:lvl>
                <c:lvl>
                  <c:pt idx="0">
                    <c:v>All NFEs</c:v>
                  </c:pt>
                  <c:pt idx="2">
                    <c:v>ME only</c:v>
                  </c:pt>
                  <c:pt idx="4">
                    <c:v>HE only</c:v>
                  </c:pt>
                </c:lvl>
              </c:multiLvlStrCache>
            </c:multiLvlStrRef>
          </c:cat>
          <c:val>
            <c:numRef>
              <c:f>Sheet7!$B$4:$G$4</c:f>
              <c:numCache>
                <c:formatCode>General</c:formatCode>
                <c:ptCount val="6"/>
                <c:pt idx="0">
                  <c:v>40</c:v>
                </c:pt>
                <c:pt idx="1">
                  <c:v>40</c:v>
                </c:pt>
                <c:pt idx="2">
                  <c:v>33.700000000000003</c:v>
                </c:pt>
                <c:pt idx="3">
                  <c:v>33.700000000000003</c:v>
                </c:pt>
                <c:pt idx="4">
                  <c:v>37.4</c:v>
                </c:pt>
                <c:pt idx="5">
                  <c:v>37.42</c:v>
                </c:pt>
              </c:numCache>
            </c:numRef>
          </c:val>
          <c:extLst xmlns:c16r2="http://schemas.microsoft.com/office/drawing/2015/06/chart">
            <c:ext xmlns:c16="http://schemas.microsoft.com/office/drawing/2014/chart" uri="{C3380CC4-5D6E-409C-BE32-E72D297353CC}">
              <c16:uniqueId val="{00000001-1D00-4E44-808C-4EE6EE1920CB}"/>
            </c:ext>
          </c:extLst>
        </c:ser>
        <c:ser>
          <c:idx val="2"/>
          <c:order val="2"/>
          <c:tx>
            <c:strRef>
              <c:f>Sheet7!$A$5</c:f>
              <c:strCache>
                <c:ptCount val="1"/>
                <c:pt idx="0">
                  <c:v>Constant</c:v>
                </c:pt>
              </c:strCache>
            </c:strRef>
          </c:tx>
          <c:spPr>
            <a:solidFill>
              <a:schemeClr val="accent6"/>
            </a:solidFill>
          </c:spPr>
          <c:invertIfNegative val="0"/>
          <c:dLbls>
            <c:dLbl>
              <c:idx val="0"/>
              <c:tx>
                <c:rich>
                  <a:bodyPr/>
                  <a:lstStyle/>
                  <a:p>
                    <a:endParaRPr lang="en-US"/>
                  </a:p>
                  <a:p>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D00-4E44-808C-4EE6EE1920CB}"/>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3-1D00-4E44-808C-4EE6EE1920CB}"/>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1D00-4E44-808C-4EE6EE1920CB}"/>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Sheet7!$B$1:$G$2</c:f>
              <c:multiLvlStrCache>
                <c:ptCount val="6"/>
                <c:lvl>
                  <c:pt idx="0">
                    <c:v>Sales</c:v>
                  </c:pt>
                  <c:pt idx="1">
                    <c:v>Employment</c:v>
                  </c:pt>
                  <c:pt idx="2">
                    <c:v>Sales</c:v>
                  </c:pt>
                  <c:pt idx="3">
                    <c:v>Employment</c:v>
                  </c:pt>
                  <c:pt idx="4">
                    <c:v>Sales</c:v>
                  </c:pt>
                  <c:pt idx="5">
                    <c:v>Employment</c:v>
                  </c:pt>
                </c:lvl>
                <c:lvl>
                  <c:pt idx="0">
                    <c:v>All NFEs</c:v>
                  </c:pt>
                  <c:pt idx="2">
                    <c:v>ME only</c:v>
                  </c:pt>
                  <c:pt idx="4">
                    <c:v>HE only</c:v>
                  </c:pt>
                </c:lvl>
              </c:multiLvlStrCache>
            </c:multiLvlStrRef>
          </c:cat>
          <c:val>
            <c:numRef>
              <c:f>Sheet7!$B$5:$G$5</c:f>
              <c:numCache>
                <c:formatCode>General</c:formatCode>
                <c:ptCount val="6"/>
                <c:pt idx="0">
                  <c:v>0</c:v>
                </c:pt>
                <c:pt idx="1">
                  <c:v>36.700000000000003</c:v>
                </c:pt>
                <c:pt idx="2">
                  <c:v>0</c:v>
                </c:pt>
                <c:pt idx="3">
                  <c:v>18.59</c:v>
                </c:pt>
                <c:pt idx="4">
                  <c:v>0</c:v>
                </c:pt>
                <c:pt idx="5">
                  <c:v>39.14</c:v>
                </c:pt>
              </c:numCache>
            </c:numRef>
          </c:val>
          <c:extLst xmlns:c16r2="http://schemas.microsoft.com/office/drawing/2015/06/chart">
            <c:ext xmlns:c16="http://schemas.microsoft.com/office/drawing/2014/chart" uri="{C3380CC4-5D6E-409C-BE32-E72D297353CC}">
              <c16:uniqueId val="{00000005-1D00-4E44-808C-4EE6EE1920CB}"/>
            </c:ext>
          </c:extLst>
        </c:ser>
        <c:ser>
          <c:idx val="3"/>
          <c:order val="3"/>
          <c:tx>
            <c:strRef>
              <c:f>Sheet7!$A$6</c:f>
              <c:strCache>
                <c:ptCount val="1"/>
                <c:pt idx="0">
                  <c:v>Increasing</c:v>
                </c:pt>
              </c:strCache>
            </c:strRef>
          </c:tx>
          <c:spPr>
            <a:solidFill>
              <a:schemeClr val="accent6">
                <a:lumMod val="20000"/>
                <a:lumOff val="80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Sheet7!$B$1:$G$2</c:f>
              <c:multiLvlStrCache>
                <c:ptCount val="6"/>
                <c:lvl>
                  <c:pt idx="0">
                    <c:v>Sales</c:v>
                  </c:pt>
                  <c:pt idx="1">
                    <c:v>Employment</c:v>
                  </c:pt>
                  <c:pt idx="2">
                    <c:v>Sales</c:v>
                  </c:pt>
                  <c:pt idx="3">
                    <c:v>Employment</c:v>
                  </c:pt>
                  <c:pt idx="4">
                    <c:v>Sales</c:v>
                  </c:pt>
                  <c:pt idx="5">
                    <c:v>Employment</c:v>
                  </c:pt>
                </c:lvl>
                <c:lvl>
                  <c:pt idx="0">
                    <c:v>All NFEs</c:v>
                  </c:pt>
                  <c:pt idx="2">
                    <c:v>ME only</c:v>
                  </c:pt>
                  <c:pt idx="4">
                    <c:v>HE only</c:v>
                  </c:pt>
                </c:lvl>
              </c:multiLvlStrCache>
            </c:multiLvlStrRef>
          </c:cat>
          <c:val>
            <c:numRef>
              <c:f>Sheet7!$B$6:$G$6</c:f>
              <c:numCache>
                <c:formatCode>General</c:formatCode>
                <c:ptCount val="6"/>
                <c:pt idx="0">
                  <c:v>43.7</c:v>
                </c:pt>
                <c:pt idx="1">
                  <c:v>17.899999999999999</c:v>
                </c:pt>
                <c:pt idx="2">
                  <c:v>47.6</c:v>
                </c:pt>
                <c:pt idx="3">
                  <c:v>38.880000000000003</c:v>
                </c:pt>
                <c:pt idx="4">
                  <c:v>43.16</c:v>
                </c:pt>
                <c:pt idx="5">
                  <c:v>15.06</c:v>
                </c:pt>
              </c:numCache>
            </c:numRef>
          </c:val>
          <c:extLst xmlns:c16r2="http://schemas.microsoft.com/office/drawing/2015/06/chart">
            <c:ext xmlns:c16="http://schemas.microsoft.com/office/drawing/2014/chart" uri="{C3380CC4-5D6E-409C-BE32-E72D297353CC}">
              <c16:uniqueId val="{00000006-1D00-4E44-808C-4EE6EE1920CB}"/>
            </c:ext>
          </c:extLst>
        </c:ser>
        <c:dLbls>
          <c:showLegendKey val="0"/>
          <c:showVal val="0"/>
          <c:showCatName val="0"/>
          <c:showSerName val="0"/>
          <c:showPercent val="0"/>
          <c:showBubbleSize val="0"/>
        </c:dLbls>
        <c:gapWidth val="150"/>
        <c:overlap val="100"/>
        <c:axId val="473182528"/>
        <c:axId val="473182920"/>
      </c:barChart>
      <c:catAx>
        <c:axId val="473182528"/>
        <c:scaling>
          <c:orientation val="minMax"/>
        </c:scaling>
        <c:delete val="0"/>
        <c:axPos val="b"/>
        <c:numFmt formatCode="General" sourceLinked="0"/>
        <c:majorTickMark val="out"/>
        <c:minorTickMark val="none"/>
        <c:tickLblPos val="nextTo"/>
        <c:crossAx val="473182920"/>
        <c:crosses val="autoZero"/>
        <c:auto val="1"/>
        <c:lblAlgn val="ctr"/>
        <c:lblOffset val="100"/>
        <c:noMultiLvlLbl val="0"/>
      </c:catAx>
      <c:valAx>
        <c:axId val="473182920"/>
        <c:scaling>
          <c:orientation val="minMax"/>
        </c:scaling>
        <c:delete val="0"/>
        <c:axPos val="l"/>
        <c:majorGridlines>
          <c:spPr>
            <a:ln>
              <a:solidFill>
                <a:schemeClr val="bg1"/>
              </a:solidFill>
            </a:ln>
          </c:spPr>
        </c:majorGridlines>
        <c:numFmt formatCode="0%" sourceLinked="1"/>
        <c:majorTickMark val="out"/>
        <c:minorTickMark val="none"/>
        <c:tickLblPos val="nextTo"/>
        <c:crossAx val="473182528"/>
        <c:crosses val="autoZero"/>
        <c:crossBetween val="between"/>
      </c:valAx>
      <c:spPr>
        <a:solidFill>
          <a:schemeClr val="bg1">
            <a:lumMod val="95000"/>
          </a:schemeClr>
        </a:solidFill>
      </c:spPr>
    </c:plotArea>
    <c:legend>
      <c:legendPos val="b"/>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6.0659813356663747E-2"/>
          <c:w val="0.88337270341207352"/>
          <c:h val="0.70347769028871399"/>
        </c:manualLayout>
      </c:layout>
      <c:barChart>
        <c:barDir val="col"/>
        <c:grouping val="clustered"/>
        <c:varyColors val="0"/>
        <c:ser>
          <c:idx val="0"/>
          <c:order val="0"/>
          <c:tx>
            <c:v>TFP</c:v>
          </c:tx>
          <c:spPr>
            <a:solidFill>
              <a:schemeClr val="accent6">
                <a:lumMod val="50000"/>
              </a:schemeClr>
            </a:solidFill>
          </c:spPr>
          <c:invertIfNegative val="0"/>
          <c:cat>
            <c:strRef>
              <c:f>Sheet4!$M$25:$M$31</c:f>
              <c:strCache>
                <c:ptCount val="7"/>
                <c:pt idx="0">
                  <c:v>Lagos</c:v>
                </c:pt>
                <c:pt idx="1">
                  <c:v>NC</c:v>
                </c:pt>
                <c:pt idx="2">
                  <c:v>NE</c:v>
                </c:pt>
                <c:pt idx="3">
                  <c:v>NW</c:v>
                </c:pt>
                <c:pt idx="4">
                  <c:v>SE</c:v>
                </c:pt>
                <c:pt idx="5">
                  <c:v>SS</c:v>
                </c:pt>
                <c:pt idx="6">
                  <c:v>SW</c:v>
                </c:pt>
              </c:strCache>
            </c:strRef>
          </c:cat>
          <c:val>
            <c:numRef>
              <c:f>Sheet4!$O$25:$O$31</c:f>
              <c:numCache>
                <c:formatCode>General</c:formatCode>
                <c:ptCount val="7"/>
                <c:pt idx="0">
                  <c:v>100</c:v>
                </c:pt>
                <c:pt idx="1">
                  <c:v>72.395463742939043</c:v>
                </c:pt>
                <c:pt idx="2">
                  <c:v>74.94947371824928</c:v>
                </c:pt>
                <c:pt idx="3">
                  <c:v>48.393069620575318</c:v>
                </c:pt>
                <c:pt idx="4">
                  <c:v>62.696034487817691</c:v>
                </c:pt>
                <c:pt idx="5">
                  <c:v>130.92307250094763</c:v>
                </c:pt>
                <c:pt idx="6">
                  <c:v>72.556159775031546</c:v>
                </c:pt>
              </c:numCache>
            </c:numRef>
          </c:val>
          <c:extLst xmlns:c16r2="http://schemas.microsoft.com/office/drawing/2015/06/chart">
            <c:ext xmlns:c16="http://schemas.microsoft.com/office/drawing/2014/chart" uri="{C3380CC4-5D6E-409C-BE32-E72D297353CC}">
              <c16:uniqueId val="{00000000-CD57-4B4F-9B48-36949FFCE0A2}"/>
            </c:ext>
          </c:extLst>
        </c:ser>
        <c:ser>
          <c:idx val="1"/>
          <c:order val="1"/>
          <c:tx>
            <c:v>Labor productivity</c:v>
          </c:tx>
          <c:spPr>
            <a:solidFill>
              <a:schemeClr val="accent6">
                <a:lumMod val="40000"/>
                <a:lumOff val="60000"/>
              </a:schemeClr>
            </a:solidFill>
          </c:spPr>
          <c:invertIfNegative val="0"/>
          <c:val>
            <c:numRef>
              <c:f>Sheet4!$S$25:$S$31</c:f>
              <c:numCache>
                <c:formatCode>General</c:formatCode>
                <c:ptCount val="7"/>
                <c:pt idx="0">
                  <c:v>100</c:v>
                </c:pt>
                <c:pt idx="1">
                  <c:v>57.142815774289787</c:v>
                </c:pt>
                <c:pt idx="2">
                  <c:v>51.428678986846549</c:v>
                </c:pt>
                <c:pt idx="3">
                  <c:v>39.714445190112869</c:v>
                </c:pt>
                <c:pt idx="4">
                  <c:v>57.142815774289787</c:v>
                </c:pt>
                <c:pt idx="5">
                  <c:v>114.28563154857957</c:v>
                </c:pt>
                <c:pt idx="6">
                  <c:v>74.285226136619485</c:v>
                </c:pt>
              </c:numCache>
            </c:numRef>
          </c:val>
          <c:extLst xmlns:c16r2="http://schemas.microsoft.com/office/drawing/2015/06/chart">
            <c:ext xmlns:c16="http://schemas.microsoft.com/office/drawing/2014/chart" uri="{C3380CC4-5D6E-409C-BE32-E72D297353CC}">
              <c16:uniqueId val="{00000001-CD57-4B4F-9B48-36949FFCE0A2}"/>
            </c:ext>
          </c:extLst>
        </c:ser>
        <c:dLbls>
          <c:showLegendKey val="0"/>
          <c:showVal val="0"/>
          <c:showCatName val="0"/>
          <c:showSerName val="0"/>
          <c:showPercent val="0"/>
          <c:showBubbleSize val="0"/>
        </c:dLbls>
        <c:gapWidth val="53"/>
        <c:axId val="473183704"/>
        <c:axId val="473184096"/>
      </c:barChart>
      <c:catAx>
        <c:axId val="473183704"/>
        <c:scaling>
          <c:orientation val="minMax"/>
        </c:scaling>
        <c:delete val="0"/>
        <c:axPos val="b"/>
        <c:numFmt formatCode="General" sourceLinked="0"/>
        <c:majorTickMark val="out"/>
        <c:minorTickMark val="none"/>
        <c:tickLblPos val="nextTo"/>
        <c:crossAx val="473184096"/>
        <c:crosses val="autoZero"/>
        <c:auto val="1"/>
        <c:lblAlgn val="ctr"/>
        <c:lblOffset val="100"/>
        <c:noMultiLvlLbl val="0"/>
      </c:catAx>
      <c:valAx>
        <c:axId val="473184096"/>
        <c:scaling>
          <c:orientation val="minMax"/>
        </c:scaling>
        <c:delete val="0"/>
        <c:axPos val="l"/>
        <c:majorGridlines>
          <c:spPr>
            <a:ln>
              <a:solidFill>
                <a:schemeClr val="bg1"/>
              </a:solidFill>
              <a:prstDash val="solid"/>
            </a:ln>
          </c:spPr>
        </c:majorGridlines>
        <c:numFmt formatCode="General" sourceLinked="1"/>
        <c:majorTickMark val="out"/>
        <c:minorTickMark val="none"/>
        <c:tickLblPos val="nextTo"/>
        <c:crossAx val="473183704"/>
        <c:crosses val="autoZero"/>
        <c:crossBetween val="between"/>
      </c:valAx>
      <c:spPr>
        <a:solidFill>
          <a:schemeClr val="bg1">
            <a:lumMod val="95000"/>
          </a:schemeClr>
        </a:solidFill>
      </c:spPr>
    </c:plotArea>
    <c:legend>
      <c:legendPos val="b"/>
      <c:layout>
        <c:manualLayout>
          <c:xMode val="edge"/>
          <c:yMode val="edge"/>
          <c:x val="0.30589613376979563"/>
          <c:y val="0.90606072947778082"/>
          <c:w val="0.38820773246040874"/>
          <c:h val="9.3939270522219204E-2"/>
        </c:manualLayout>
      </c:layout>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Sheet3!$J$18</c:f>
              <c:strCache>
                <c:ptCount val="1"/>
                <c:pt idx="0">
                  <c:v>mean</c:v>
                </c:pt>
              </c:strCache>
            </c:strRef>
          </c:tx>
          <c:invertIfNegative val="0"/>
          <c:cat>
            <c:strRef>
              <c:f>Sheet3!$H$19:$H$30</c:f>
              <c:strCache>
                <c:ptCount val="12"/>
                <c:pt idx="0">
                  <c:v>Transport</c:v>
                </c:pt>
                <c:pt idx="1">
                  <c:v>Finance</c:v>
                </c:pt>
                <c:pt idx="2">
                  <c:v>Electricity</c:v>
                </c:pt>
                <c:pt idx="3">
                  <c:v>Water</c:v>
                </c:pt>
                <c:pt idx="4">
                  <c:v>Telecom</c:v>
                </c:pt>
                <c:pt idx="5">
                  <c:v>Postal</c:v>
                </c:pt>
                <c:pt idx="6">
                  <c:v>Market</c:v>
                </c:pt>
                <c:pt idx="7">
                  <c:v>Government</c:v>
                </c:pt>
                <c:pt idx="8">
                  <c:v>Taxation</c:v>
                </c:pt>
                <c:pt idx="9">
                  <c:v>Crime</c:v>
                </c:pt>
                <c:pt idx="10">
                  <c:v>Technology</c:v>
                </c:pt>
                <c:pt idx="11">
                  <c:v>Registration</c:v>
                </c:pt>
              </c:strCache>
            </c:strRef>
          </c:cat>
          <c:val>
            <c:numRef>
              <c:f>Sheet3!$J$19:$J$30</c:f>
              <c:numCache>
                <c:formatCode>0%</c:formatCode>
                <c:ptCount val="12"/>
                <c:pt idx="0">
                  <c:v>0.50836309999999996</c:v>
                </c:pt>
                <c:pt idx="1">
                  <c:v>0.46507989999999999</c:v>
                </c:pt>
                <c:pt idx="2">
                  <c:v>0.39409430000000001</c:v>
                </c:pt>
                <c:pt idx="3">
                  <c:v>0.13424050000000001</c:v>
                </c:pt>
                <c:pt idx="4">
                  <c:v>0.1143932</c:v>
                </c:pt>
                <c:pt idx="5">
                  <c:v>2.1578E-2</c:v>
                </c:pt>
                <c:pt idx="6">
                  <c:v>9.8854000000000008E-3</c:v>
                </c:pt>
                <c:pt idx="7">
                  <c:v>1.4811E-3</c:v>
                </c:pt>
                <c:pt idx="8">
                  <c:v>1.1529999999999999E-3</c:v>
                </c:pt>
                <c:pt idx="9">
                  <c:v>9.5220000000000005E-4</c:v>
                </c:pt>
                <c:pt idx="10">
                  <c:v>6.7860000000000001E-4</c:v>
                </c:pt>
                <c:pt idx="11">
                  <c:v>2.386E-4</c:v>
                </c:pt>
              </c:numCache>
            </c:numRef>
          </c:val>
          <c:extLst xmlns:c16r2="http://schemas.microsoft.com/office/drawing/2015/06/chart">
            <c:ext xmlns:c16="http://schemas.microsoft.com/office/drawing/2014/chart" uri="{C3380CC4-5D6E-409C-BE32-E72D297353CC}">
              <c16:uniqueId val="{00000000-B536-4729-8A43-6D150223CF20}"/>
            </c:ext>
          </c:extLst>
        </c:ser>
        <c:dLbls>
          <c:showLegendKey val="0"/>
          <c:showVal val="0"/>
          <c:showCatName val="0"/>
          <c:showSerName val="0"/>
          <c:showPercent val="0"/>
          <c:showBubbleSize val="0"/>
        </c:dLbls>
        <c:gapWidth val="55"/>
        <c:axId val="473184880"/>
        <c:axId val="473185272"/>
      </c:barChart>
      <c:catAx>
        <c:axId val="473184880"/>
        <c:scaling>
          <c:orientation val="minMax"/>
        </c:scaling>
        <c:delete val="0"/>
        <c:axPos val="b"/>
        <c:numFmt formatCode="General" sourceLinked="0"/>
        <c:majorTickMark val="out"/>
        <c:minorTickMark val="none"/>
        <c:tickLblPos val="nextTo"/>
        <c:crossAx val="473185272"/>
        <c:crosses val="autoZero"/>
        <c:auto val="1"/>
        <c:lblAlgn val="ctr"/>
        <c:lblOffset val="100"/>
        <c:noMultiLvlLbl val="0"/>
      </c:catAx>
      <c:valAx>
        <c:axId val="473185272"/>
        <c:scaling>
          <c:orientation val="minMax"/>
        </c:scaling>
        <c:delete val="0"/>
        <c:axPos val="l"/>
        <c:majorGridlines>
          <c:spPr>
            <a:ln>
              <a:solidFill>
                <a:schemeClr val="bg1"/>
              </a:solidFill>
              <a:prstDash val="solid"/>
            </a:ln>
          </c:spPr>
        </c:majorGridlines>
        <c:numFmt formatCode="0%" sourceLinked="1"/>
        <c:majorTickMark val="out"/>
        <c:minorTickMark val="none"/>
        <c:tickLblPos val="nextTo"/>
        <c:crossAx val="473184880"/>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2"/>
              </a:solidFill>
            </c:spPr>
            <c:extLst xmlns:c16r2="http://schemas.microsoft.com/office/drawing/2015/06/chart">
              <c:ext xmlns:c16="http://schemas.microsoft.com/office/drawing/2014/chart" uri="{C3380CC4-5D6E-409C-BE32-E72D297353CC}">
                <c16:uniqueId val="{00000001-356E-4B93-BDD5-C1177C7B2690}"/>
              </c:ext>
            </c:extLst>
          </c:dPt>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3-356E-4B93-BDD5-C1177C7B2690}"/>
              </c:ext>
            </c:extLst>
          </c:dPt>
          <c:dPt>
            <c:idx val="2"/>
            <c:invertIfNegative val="0"/>
            <c:bubble3D val="0"/>
            <c:spPr>
              <a:solidFill>
                <a:schemeClr val="accent2"/>
              </a:solidFill>
            </c:spPr>
            <c:extLst xmlns:c16r2="http://schemas.microsoft.com/office/drawing/2015/06/chart">
              <c:ext xmlns:c16="http://schemas.microsoft.com/office/drawing/2014/chart" uri="{C3380CC4-5D6E-409C-BE32-E72D297353CC}">
                <c16:uniqueId val="{00000005-356E-4B93-BDD5-C1177C7B2690}"/>
              </c:ext>
            </c:extLst>
          </c:dPt>
          <c:dPt>
            <c:idx val="3"/>
            <c:invertIfNegative val="0"/>
            <c:bubble3D val="0"/>
            <c:spPr>
              <a:solidFill>
                <a:schemeClr val="accent3"/>
              </a:solidFill>
            </c:spPr>
            <c:extLst xmlns:c16r2="http://schemas.microsoft.com/office/drawing/2015/06/chart">
              <c:ext xmlns:c16="http://schemas.microsoft.com/office/drawing/2014/chart" uri="{C3380CC4-5D6E-409C-BE32-E72D297353CC}">
                <c16:uniqueId val="{00000007-356E-4B93-BDD5-C1177C7B2690}"/>
              </c:ext>
            </c:extLst>
          </c:dPt>
          <c:dPt>
            <c:idx val="4"/>
            <c:invertIfNegative val="0"/>
            <c:bubble3D val="0"/>
            <c:spPr>
              <a:solidFill>
                <a:schemeClr val="accent3"/>
              </a:solidFill>
            </c:spPr>
            <c:extLst xmlns:c16r2="http://schemas.microsoft.com/office/drawing/2015/06/chart">
              <c:ext xmlns:c16="http://schemas.microsoft.com/office/drawing/2014/chart" uri="{C3380CC4-5D6E-409C-BE32-E72D297353CC}">
                <c16:uniqueId val="{00000009-356E-4B93-BDD5-C1177C7B2690}"/>
              </c:ext>
            </c:extLst>
          </c:dPt>
          <c:dPt>
            <c:idx val="5"/>
            <c:invertIfNegative val="0"/>
            <c:bubble3D val="0"/>
            <c:spPr>
              <a:solidFill>
                <a:schemeClr val="accent3"/>
              </a:solidFill>
            </c:spPr>
            <c:extLst xmlns:c16r2="http://schemas.microsoft.com/office/drawing/2015/06/chart">
              <c:ext xmlns:c16="http://schemas.microsoft.com/office/drawing/2014/chart" uri="{C3380CC4-5D6E-409C-BE32-E72D297353CC}">
                <c16:uniqueId val="{0000000B-356E-4B93-BDD5-C1177C7B2690}"/>
              </c:ext>
            </c:extLst>
          </c:dPt>
          <c:dPt>
            <c:idx val="6"/>
            <c:invertIfNegative val="0"/>
            <c:bubble3D val="0"/>
            <c:spPr>
              <a:solidFill>
                <a:schemeClr val="tx1"/>
              </a:solidFill>
            </c:spPr>
            <c:extLst xmlns:c16r2="http://schemas.microsoft.com/office/drawing/2015/06/chart">
              <c:ext xmlns:c16="http://schemas.microsoft.com/office/drawing/2014/chart" uri="{C3380CC4-5D6E-409C-BE32-E72D297353CC}">
                <c16:uniqueId val="{0000000D-356E-4B93-BDD5-C1177C7B2690}"/>
              </c:ext>
            </c:extLst>
          </c:dPt>
          <c:dPt>
            <c:idx val="7"/>
            <c:invertIfNegative val="0"/>
            <c:bubble3D val="0"/>
            <c:spPr>
              <a:solidFill>
                <a:schemeClr val="tx1"/>
              </a:solidFill>
            </c:spPr>
            <c:extLst xmlns:c16r2="http://schemas.microsoft.com/office/drawing/2015/06/chart">
              <c:ext xmlns:c16="http://schemas.microsoft.com/office/drawing/2014/chart" uri="{C3380CC4-5D6E-409C-BE32-E72D297353CC}">
                <c16:uniqueId val="{0000000F-356E-4B93-BDD5-C1177C7B2690}"/>
              </c:ext>
            </c:extLst>
          </c:dPt>
          <c:dPt>
            <c:idx val="8"/>
            <c:invertIfNegative val="0"/>
            <c:bubble3D val="0"/>
            <c:spPr>
              <a:solidFill>
                <a:schemeClr val="tx1"/>
              </a:solidFill>
            </c:spPr>
            <c:extLst xmlns:c16r2="http://schemas.microsoft.com/office/drawing/2015/06/chart">
              <c:ext xmlns:c16="http://schemas.microsoft.com/office/drawing/2014/chart" uri="{C3380CC4-5D6E-409C-BE32-E72D297353CC}">
                <c16:uniqueId val="{00000011-356E-4B93-BDD5-C1177C7B2690}"/>
              </c:ext>
            </c:extLst>
          </c:dPt>
          <c:cat>
            <c:multiLvlStrRef>
              <c:f>Sheet3!$X$10:$AF$11</c:f>
              <c:multiLvlStrCache>
                <c:ptCount val="9"/>
                <c:lvl>
                  <c:pt idx="0">
                    <c:v>Finance</c:v>
                  </c:pt>
                  <c:pt idx="1">
                    <c:v>Transport</c:v>
                  </c:pt>
                  <c:pt idx="2">
                    <c:v>Electricity</c:v>
                  </c:pt>
                  <c:pt idx="3">
                    <c:v>Electricity</c:v>
                  </c:pt>
                  <c:pt idx="4">
                    <c:v>Transport</c:v>
                  </c:pt>
                  <c:pt idx="5">
                    <c:v>Finance</c:v>
                  </c:pt>
                  <c:pt idx="6">
                    <c:v>Transport</c:v>
                  </c:pt>
                  <c:pt idx="7">
                    <c:v>Finance</c:v>
                  </c:pt>
                  <c:pt idx="8">
                    <c:v>Electricity</c:v>
                  </c:pt>
                </c:lvl>
                <c:lvl>
                  <c:pt idx="0">
                    <c:v>South</c:v>
                  </c:pt>
                  <c:pt idx="3">
                    <c:v>Lagos</c:v>
                  </c:pt>
                  <c:pt idx="6">
                    <c:v>North</c:v>
                  </c:pt>
                </c:lvl>
              </c:multiLvlStrCache>
            </c:multiLvlStrRef>
          </c:cat>
          <c:val>
            <c:numRef>
              <c:f>Sheet3!$X$12:$AF$12</c:f>
              <c:numCache>
                <c:formatCode>0%</c:formatCode>
                <c:ptCount val="9"/>
                <c:pt idx="0">
                  <c:v>0.53406109999999996</c:v>
                </c:pt>
                <c:pt idx="1">
                  <c:v>0.5202445</c:v>
                </c:pt>
                <c:pt idx="2">
                  <c:v>0.4234542</c:v>
                </c:pt>
                <c:pt idx="3">
                  <c:v>0.52528220000000003</c:v>
                </c:pt>
                <c:pt idx="4">
                  <c:v>0.3004463</c:v>
                </c:pt>
                <c:pt idx="5">
                  <c:v>0.27539770000000002</c:v>
                </c:pt>
                <c:pt idx="6">
                  <c:v>0.53498900000000005</c:v>
                </c:pt>
                <c:pt idx="7">
                  <c:v>0.43069610000000003</c:v>
                </c:pt>
                <c:pt idx="8">
                  <c:v>0.33996670000000001</c:v>
                </c:pt>
              </c:numCache>
            </c:numRef>
          </c:val>
          <c:extLst xmlns:c16r2="http://schemas.microsoft.com/office/drawing/2015/06/chart">
            <c:ext xmlns:c16="http://schemas.microsoft.com/office/drawing/2014/chart" uri="{C3380CC4-5D6E-409C-BE32-E72D297353CC}">
              <c16:uniqueId val="{00000012-356E-4B93-BDD5-C1177C7B2690}"/>
            </c:ext>
          </c:extLst>
        </c:ser>
        <c:dLbls>
          <c:showLegendKey val="0"/>
          <c:showVal val="0"/>
          <c:showCatName val="0"/>
          <c:showSerName val="0"/>
          <c:showPercent val="0"/>
          <c:showBubbleSize val="0"/>
        </c:dLbls>
        <c:gapWidth val="55"/>
        <c:axId val="473186056"/>
        <c:axId val="473186448"/>
      </c:barChart>
      <c:catAx>
        <c:axId val="473186056"/>
        <c:scaling>
          <c:orientation val="minMax"/>
        </c:scaling>
        <c:delete val="0"/>
        <c:axPos val="b"/>
        <c:numFmt formatCode="General" sourceLinked="0"/>
        <c:majorTickMark val="out"/>
        <c:minorTickMark val="none"/>
        <c:tickLblPos val="nextTo"/>
        <c:crossAx val="473186448"/>
        <c:crosses val="autoZero"/>
        <c:auto val="1"/>
        <c:lblAlgn val="ctr"/>
        <c:lblOffset val="100"/>
        <c:noMultiLvlLbl val="0"/>
      </c:catAx>
      <c:valAx>
        <c:axId val="473186448"/>
        <c:scaling>
          <c:orientation val="minMax"/>
        </c:scaling>
        <c:delete val="0"/>
        <c:axPos val="l"/>
        <c:majorGridlines>
          <c:spPr>
            <a:ln>
              <a:solidFill>
                <a:schemeClr val="bg1"/>
              </a:solidFill>
              <a:prstDash val="solid"/>
            </a:ln>
          </c:spPr>
        </c:majorGridlines>
        <c:numFmt formatCode="0%" sourceLinked="1"/>
        <c:majorTickMark val="out"/>
        <c:minorTickMark val="none"/>
        <c:tickLblPos val="nextTo"/>
        <c:crossAx val="473186056"/>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Sales Growth</c:v>
                </c:pt>
              </c:strCache>
            </c:strRef>
          </c:tx>
          <c:spPr>
            <a:solidFill>
              <a:schemeClr val="accent6"/>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Nigeria</c:v>
                </c:pt>
                <c:pt idx="2">
                  <c:v>Lagos</c:v>
                </c:pt>
                <c:pt idx="3">
                  <c:v>Other Southern</c:v>
                </c:pt>
                <c:pt idx="4">
                  <c:v>Kano and Kaduna</c:v>
                </c:pt>
                <c:pt idx="5">
                  <c:v>Other Northern</c:v>
                </c:pt>
              </c:strCache>
            </c:strRef>
          </c:cat>
          <c:val>
            <c:numRef>
              <c:f>Sheet1!$B$2:$B$7</c:f>
              <c:numCache>
                <c:formatCode>General</c:formatCode>
                <c:ptCount val="6"/>
                <c:pt idx="0">
                  <c:v>-5.2590050000000002</c:v>
                </c:pt>
                <c:pt idx="2">
                  <c:v>12.36102</c:v>
                </c:pt>
                <c:pt idx="3">
                  <c:v>-1.825221</c:v>
                </c:pt>
                <c:pt idx="4">
                  <c:v>-15.1318</c:v>
                </c:pt>
                <c:pt idx="5">
                  <c:v>-13.65169</c:v>
                </c:pt>
              </c:numCache>
            </c:numRef>
          </c:val>
          <c:extLst xmlns:c16r2="http://schemas.microsoft.com/office/drawing/2015/06/chart">
            <c:ext xmlns:c16="http://schemas.microsoft.com/office/drawing/2014/chart" uri="{C3380CC4-5D6E-409C-BE32-E72D297353CC}">
              <c16:uniqueId val="{00000000-EABB-43D0-A14D-73D5A51972E9}"/>
            </c:ext>
          </c:extLst>
        </c:ser>
        <c:ser>
          <c:idx val="1"/>
          <c:order val="1"/>
          <c:tx>
            <c:strRef>
              <c:f>Sheet1!$C$1</c:f>
              <c:strCache>
                <c:ptCount val="1"/>
                <c:pt idx="0">
                  <c:v>Employment Growth</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Nigeria</c:v>
                </c:pt>
                <c:pt idx="2">
                  <c:v>Lagos</c:v>
                </c:pt>
                <c:pt idx="3">
                  <c:v>Other Southern</c:v>
                </c:pt>
                <c:pt idx="4">
                  <c:v>Kano and Kaduna</c:v>
                </c:pt>
                <c:pt idx="5">
                  <c:v>Other Northern</c:v>
                </c:pt>
              </c:strCache>
            </c:strRef>
          </c:cat>
          <c:val>
            <c:numRef>
              <c:f>Sheet1!$C$2:$C$7</c:f>
              <c:numCache>
                <c:formatCode>General</c:formatCode>
                <c:ptCount val="6"/>
                <c:pt idx="0">
                  <c:v>6.04</c:v>
                </c:pt>
                <c:pt idx="2">
                  <c:v>4.32</c:v>
                </c:pt>
                <c:pt idx="3">
                  <c:v>8.9700000000000006</c:v>
                </c:pt>
                <c:pt idx="4">
                  <c:v>7.93</c:v>
                </c:pt>
                <c:pt idx="5">
                  <c:v>9.8000000000000007</c:v>
                </c:pt>
              </c:numCache>
            </c:numRef>
          </c:val>
          <c:extLst xmlns:c16r2="http://schemas.microsoft.com/office/drawing/2015/06/chart">
            <c:ext xmlns:c16="http://schemas.microsoft.com/office/drawing/2014/chart" uri="{C3380CC4-5D6E-409C-BE32-E72D297353CC}">
              <c16:uniqueId val="{00000001-EABB-43D0-A14D-73D5A51972E9}"/>
            </c:ext>
          </c:extLst>
        </c:ser>
        <c:dLbls>
          <c:showLegendKey val="0"/>
          <c:showVal val="0"/>
          <c:showCatName val="0"/>
          <c:showSerName val="0"/>
          <c:showPercent val="0"/>
          <c:showBubbleSize val="0"/>
        </c:dLbls>
        <c:gapWidth val="56"/>
        <c:axId val="473187232"/>
        <c:axId val="473187624"/>
      </c:barChart>
      <c:catAx>
        <c:axId val="473187232"/>
        <c:scaling>
          <c:orientation val="minMax"/>
        </c:scaling>
        <c:delete val="0"/>
        <c:axPos val="b"/>
        <c:numFmt formatCode="General" sourceLinked="0"/>
        <c:majorTickMark val="out"/>
        <c:minorTickMark val="none"/>
        <c:tickLblPos val="low"/>
        <c:crossAx val="473187624"/>
        <c:crosses val="autoZero"/>
        <c:auto val="1"/>
        <c:lblAlgn val="ctr"/>
        <c:lblOffset val="100"/>
        <c:noMultiLvlLbl val="0"/>
      </c:catAx>
      <c:valAx>
        <c:axId val="473187624"/>
        <c:scaling>
          <c:orientation val="minMax"/>
        </c:scaling>
        <c:delete val="0"/>
        <c:axPos val="l"/>
        <c:majorGridlines>
          <c:spPr>
            <a:ln>
              <a:solidFill>
                <a:schemeClr val="bg1"/>
              </a:solidFill>
            </a:ln>
          </c:spPr>
        </c:majorGridlines>
        <c:title>
          <c:tx>
            <c:rich>
              <a:bodyPr rot="-5400000" vert="horz"/>
              <a:lstStyle/>
              <a:p>
                <a:pPr>
                  <a:defRPr/>
                </a:pPr>
                <a:r>
                  <a:rPr lang="en-US"/>
                  <a:t>ave. annual growth rate</a:t>
                </a:r>
              </a:p>
            </c:rich>
          </c:tx>
          <c:overlay val="0"/>
        </c:title>
        <c:numFmt formatCode="General" sourceLinked="1"/>
        <c:majorTickMark val="out"/>
        <c:minorTickMark val="none"/>
        <c:tickLblPos val="nextTo"/>
        <c:crossAx val="473187232"/>
        <c:crosses val="autoZero"/>
        <c:crossBetween val="between"/>
      </c:valAx>
      <c:spPr>
        <a:solidFill>
          <a:schemeClr val="bg1">
            <a:lumMod val="95000"/>
          </a:schemeClr>
        </a:solidFill>
      </c:spPr>
    </c:plotArea>
    <c:legend>
      <c:legendPos val="b"/>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574055670225694E-2"/>
          <c:y val="5.0925925925925923E-2"/>
          <c:w val="0.90269347399536226"/>
          <c:h val="0.56325874285477162"/>
        </c:manualLayout>
      </c:layout>
      <c:barChart>
        <c:barDir val="col"/>
        <c:grouping val="percentStacked"/>
        <c:varyColors val="0"/>
        <c:ser>
          <c:idx val="0"/>
          <c:order val="0"/>
          <c:tx>
            <c:strRef>
              <c:f>Sheet1!$A$7</c:f>
              <c:strCache>
                <c:ptCount val="1"/>
                <c:pt idx="0">
                  <c:v>Shrinking</c:v>
                </c:pt>
              </c:strCache>
            </c:strRef>
          </c:tx>
          <c:spPr>
            <a:solidFill>
              <a:schemeClr val="accent6">
                <a:lumMod val="50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Sheet1!$B$6:$K$6</c:f>
              <c:strCache>
                <c:ptCount val="10"/>
                <c:pt idx="0">
                  <c:v>Nigeria</c:v>
                </c:pt>
                <c:pt idx="2">
                  <c:v>Lagos</c:v>
                </c:pt>
                <c:pt idx="3">
                  <c:v>Kano/Kaduna</c:v>
                </c:pt>
                <c:pt idx="4">
                  <c:v>Other South</c:v>
                </c:pt>
                <c:pt idx="5">
                  <c:v>Other North</c:v>
                </c:pt>
                <c:pt idx="7">
                  <c:v>Small</c:v>
                </c:pt>
                <c:pt idx="8">
                  <c:v>Medium</c:v>
                </c:pt>
                <c:pt idx="9">
                  <c:v>Large</c:v>
                </c:pt>
              </c:strCache>
            </c:strRef>
          </c:cat>
          <c:val>
            <c:numRef>
              <c:f>Sheet1!$B$7:$K$7</c:f>
              <c:numCache>
                <c:formatCode>General</c:formatCode>
                <c:ptCount val="10"/>
                <c:pt idx="0">
                  <c:v>12.3</c:v>
                </c:pt>
                <c:pt idx="2">
                  <c:v>8.5</c:v>
                </c:pt>
                <c:pt idx="3">
                  <c:v>14.6</c:v>
                </c:pt>
                <c:pt idx="4">
                  <c:v>10.1</c:v>
                </c:pt>
                <c:pt idx="5">
                  <c:v>16.2</c:v>
                </c:pt>
                <c:pt idx="7">
                  <c:v>12.2</c:v>
                </c:pt>
                <c:pt idx="8">
                  <c:v>14</c:v>
                </c:pt>
                <c:pt idx="9">
                  <c:v>14.5</c:v>
                </c:pt>
              </c:numCache>
            </c:numRef>
          </c:val>
          <c:extLst xmlns:c16r2="http://schemas.microsoft.com/office/drawing/2015/06/chart">
            <c:ext xmlns:c16="http://schemas.microsoft.com/office/drawing/2014/chart" uri="{C3380CC4-5D6E-409C-BE32-E72D297353CC}">
              <c16:uniqueId val="{00000000-4774-44C9-8CE9-CACA5383B71E}"/>
            </c:ext>
          </c:extLst>
        </c:ser>
        <c:ser>
          <c:idx val="1"/>
          <c:order val="1"/>
          <c:tx>
            <c:strRef>
              <c:f>Sheet1!$A$8</c:f>
              <c:strCache>
                <c:ptCount val="1"/>
                <c:pt idx="0">
                  <c:v>No change</c:v>
                </c:pt>
              </c:strCache>
            </c:strRef>
          </c:tx>
          <c:spPr>
            <a:solidFill>
              <a:schemeClr val="accent6"/>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Sheet1!$B$6:$K$6</c:f>
              <c:strCache>
                <c:ptCount val="10"/>
                <c:pt idx="0">
                  <c:v>Nigeria</c:v>
                </c:pt>
                <c:pt idx="2">
                  <c:v>Lagos</c:v>
                </c:pt>
                <c:pt idx="3">
                  <c:v>Kano/Kaduna</c:v>
                </c:pt>
                <c:pt idx="4">
                  <c:v>Other South</c:v>
                </c:pt>
                <c:pt idx="5">
                  <c:v>Other North</c:v>
                </c:pt>
                <c:pt idx="7">
                  <c:v>Small</c:v>
                </c:pt>
                <c:pt idx="8">
                  <c:v>Medium</c:v>
                </c:pt>
                <c:pt idx="9">
                  <c:v>Large</c:v>
                </c:pt>
              </c:strCache>
            </c:strRef>
          </c:cat>
          <c:val>
            <c:numRef>
              <c:f>Sheet1!$B$8:$K$8</c:f>
              <c:numCache>
                <c:formatCode>General</c:formatCode>
                <c:ptCount val="10"/>
                <c:pt idx="0">
                  <c:v>59.6</c:v>
                </c:pt>
                <c:pt idx="2">
                  <c:v>61.7</c:v>
                </c:pt>
                <c:pt idx="3">
                  <c:v>46.7</c:v>
                </c:pt>
                <c:pt idx="4">
                  <c:v>70.2</c:v>
                </c:pt>
                <c:pt idx="5">
                  <c:v>50.1</c:v>
                </c:pt>
                <c:pt idx="7">
                  <c:v>57.9</c:v>
                </c:pt>
                <c:pt idx="8">
                  <c:v>63.1</c:v>
                </c:pt>
                <c:pt idx="9">
                  <c:v>61.5</c:v>
                </c:pt>
              </c:numCache>
            </c:numRef>
          </c:val>
          <c:extLst xmlns:c16r2="http://schemas.microsoft.com/office/drawing/2015/06/chart">
            <c:ext xmlns:c16="http://schemas.microsoft.com/office/drawing/2014/chart" uri="{C3380CC4-5D6E-409C-BE32-E72D297353CC}">
              <c16:uniqueId val="{00000001-4774-44C9-8CE9-CACA5383B71E}"/>
            </c:ext>
          </c:extLst>
        </c:ser>
        <c:ser>
          <c:idx val="2"/>
          <c:order val="2"/>
          <c:tx>
            <c:strRef>
              <c:f>Sheet1!$A$9</c:f>
              <c:strCache>
                <c:ptCount val="1"/>
                <c:pt idx="0">
                  <c:v>Growing</c:v>
                </c:pt>
              </c:strCache>
            </c:strRef>
          </c:tx>
          <c:spPr>
            <a:solidFill>
              <a:schemeClr val="accent6">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Sheet1!$B$6:$K$6</c:f>
              <c:strCache>
                <c:ptCount val="10"/>
                <c:pt idx="0">
                  <c:v>Nigeria</c:v>
                </c:pt>
                <c:pt idx="2">
                  <c:v>Lagos</c:v>
                </c:pt>
                <c:pt idx="3">
                  <c:v>Kano/Kaduna</c:v>
                </c:pt>
                <c:pt idx="4">
                  <c:v>Other South</c:v>
                </c:pt>
                <c:pt idx="5">
                  <c:v>Other North</c:v>
                </c:pt>
                <c:pt idx="7">
                  <c:v>Small</c:v>
                </c:pt>
                <c:pt idx="8">
                  <c:v>Medium</c:v>
                </c:pt>
                <c:pt idx="9">
                  <c:v>Large</c:v>
                </c:pt>
              </c:strCache>
            </c:strRef>
          </c:cat>
          <c:val>
            <c:numRef>
              <c:f>Sheet1!$B$9:$K$9</c:f>
              <c:numCache>
                <c:formatCode>General</c:formatCode>
                <c:ptCount val="10"/>
                <c:pt idx="0">
                  <c:v>28.1</c:v>
                </c:pt>
                <c:pt idx="2">
                  <c:v>29.8</c:v>
                </c:pt>
                <c:pt idx="3">
                  <c:v>38.700000000000003</c:v>
                </c:pt>
                <c:pt idx="4">
                  <c:v>19.7</c:v>
                </c:pt>
                <c:pt idx="5">
                  <c:v>33.700000000000003</c:v>
                </c:pt>
                <c:pt idx="7">
                  <c:v>29.9</c:v>
                </c:pt>
                <c:pt idx="8">
                  <c:v>22.9</c:v>
                </c:pt>
                <c:pt idx="9">
                  <c:v>24</c:v>
                </c:pt>
              </c:numCache>
            </c:numRef>
          </c:val>
          <c:extLst xmlns:c16r2="http://schemas.microsoft.com/office/drawing/2015/06/chart">
            <c:ext xmlns:c16="http://schemas.microsoft.com/office/drawing/2014/chart" uri="{C3380CC4-5D6E-409C-BE32-E72D297353CC}">
              <c16:uniqueId val="{00000002-4774-44C9-8CE9-CACA5383B71E}"/>
            </c:ext>
          </c:extLst>
        </c:ser>
        <c:dLbls>
          <c:showLegendKey val="0"/>
          <c:showVal val="0"/>
          <c:showCatName val="0"/>
          <c:showSerName val="0"/>
          <c:showPercent val="0"/>
          <c:showBubbleSize val="0"/>
        </c:dLbls>
        <c:gapWidth val="59"/>
        <c:overlap val="100"/>
        <c:axId val="473188408"/>
        <c:axId val="473414800"/>
      </c:barChart>
      <c:catAx>
        <c:axId val="473188408"/>
        <c:scaling>
          <c:orientation val="minMax"/>
        </c:scaling>
        <c:delete val="0"/>
        <c:axPos val="b"/>
        <c:numFmt formatCode="General" sourceLinked="0"/>
        <c:majorTickMark val="out"/>
        <c:minorTickMark val="none"/>
        <c:tickLblPos val="nextTo"/>
        <c:crossAx val="473414800"/>
        <c:crosses val="autoZero"/>
        <c:auto val="1"/>
        <c:lblAlgn val="ctr"/>
        <c:lblOffset val="100"/>
        <c:noMultiLvlLbl val="0"/>
      </c:catAx>
      <c:valAx>
        <c:axId val="473414800"/>
        <c:scaling>
          <c:orientation val="minMax"/>
        </c:scaling>
        <c:delete val="0"/>
        <c:axPos val="l"/>
        <c:majorGridlines>
          <c:spPr>
            <a:ln>
              <a:solidFill>
                <a:schemeClr val="bg1"/>
              </a:solidFill>
            </a:ln>
          </c:spPr>
        </c:majorGridlines>
        <c:numFmt formatCode="0%" sourceLinked="1"/>
        <c:majorTickMark val="out"/>
        <c:minorTickMark val="none"/>
        <c:tickLblPos val="nextTo"/>
        <c:crossAx val="473188408"/>
        <c:crosses val="autoZero"/>
        <c:crossBetween val="between"/>
        <c:majorUnit val="0.2"/>
      </c:valAx>
      <c:spPr>
        <a:solidFill>
          <a:schemeClr val="bg1">
            <a:lumMod val="95000"/>
          </a:schemeClr>
        </a:solidFill>
      </c:spPr>
    </c:plotArea>
    <c:legend>
      <c:legendPos val="b"/>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41265675123926E-2"/>
          <c:y val="5.2351268591426081E-2"/>
          <c:w val="0.89799577136191311"/>
          <c:h val="0.58228528725575968"/>
        </c:manualLayout>
      </c:layout>
      <c:barChart>
        <c:barDir val="col"/>
        <c:grouping val="clustered"/>
        <c:varyColors val="0"/>
        <c:ser>
          <c:idx val="0"/>
          <c:order val="0"/>
          <c:tx>
            <c:strRef>
              <c:f>Sheet1!$B$1</c:f>
              <c:strCache>
                <c:ptCount val="1"/>
                <c:pt idx="0">
                  <c:v>Nigeria</c:v>
                </c:pt>
              </c:strCache>
            </c:strRef>
          </c:tx>
          <c:spPr>
            <a:solidFill>
              <a:schemeClr val="accent6"/>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Sheet1!$A$2:$A$17</c:f>
              <c:strCache>
                <c:ptCount val="16"/>
                <c:pt idx="0">
                  <c:v>Electricity</c:v>
                </c:pt>
                <c:pt idx="1">
                  <c:v>Corruption</c:v>
                </c:pt>
                <c:pt idx="2">
                  <c:v>Access to finance</c:v>
                </c:pt>
                <c:pt idx="3">
                  <c:v>Political instability</c:v>
                </c:pt>
                <c:pt idx="4">
                  <c:v>Tax Rates</c:v>
                </c:pt>
                <c:pt idx="5">
                  <c:v>Informal firms</c:v>
                </c:pt>
                <c:pt idx="6">
                  <c:v>Access to Land</c:v>
                </c:pt>
                <c:pt idx="7">
                  <c:v>Transportation</c:v>
                </c:pt>
                <c:pt idx="8">
                  <c:v>Tax Administration</c:v>
                </c:pt>
                <c:pt idx="9">
                  <c:v>Trade regulation</c:v>
                </c:pt>
                <c:pt idx="10">
                  <c:v>Business permits</c:v>
                </c:pt>
                <c:pt idx="11">
                  <c:v>Crime and disorder</c:v>
                </c:pt>
                <c:pt idx="12">
                  <c:v>Worker education</c:v>
                </c:pt>
                <c:pt idx="13">
                  <c:v>Courts</c:v>
                </c:pt>
                <c:pt idx="14">
                  <c:v>Telecommunications</c:v>
                </c:pt>
                <c:pt idx="15">
                  <c:v>Labor Regulation</c:v>
                </c:pt>
              </c:strCache>
            </c:strRef>
          </c:cat>
          <c:val>
            <c:numRef>
              <c:f>Sheet1!$B$2:$B$17</c:f>
              <c:numCache>
                <c:formatCode>General</c:formatCode>
                <c:ptCount val="16"/>
                <c:pt idx="0">
                  <c:v>0.48392039999999997</c:v>
                </c:pt>
                <c:pt idx="1">
                  <c:v>0.44803979999999999</c:v>
                </c:pt>
                <c:pt idx="2">
                  <c:v>0.33092260000000001</c:v>
                </c:pt>
                <c:pt idx="3">
                  <c:v>0.22137560000000001</c:v>
                </c:pt>
                <c:pt idx="4">
                  <c:v>0.18489420000000001</c:v>
                </c:pt>
                <c:pt idx="5">
                  <c:v>0.18350910000000001</c:v>
                </c:pt>
                <c:pt idx="6">
                  <c:v>0.1772638</c:v>
                </c:pt>
                <c:pt idx="7">
                  <c:v>0.1706046</c:v>
                </c:pt>
                <c:pt idx="8">
                  <c:v>0.14147979999999999</c:v>
                </c:pt>
                <c:pt idx="9">
                  <c:v>0.14109179999999999</c:v>
                </c:pt>
                <c:pt idx="10">
                  <c:v>9.3351699999999996E-2</c:v>
                </c:pt>
                <c:pt idx="11">
                  <c:v>7.0122799999999999E-2</c:v>
                </c:pt>
                <c:pt idx="12">
                  <c:v>5.6904799999999998E-2</c:v>
                </c:pt>
                <c:pt idx="13">
                  <c:v>4.0386699999999998E-2</c:v>
                </c:pt>
                <c:pt idx="14">
                  <c:v>3.6636599999999998E-2</c:v>
                </c:pt>
                <c:pt idx="15">
                  <c:v>3.3738999999999998E-2</c:v>
                </c:pt>
              </c:numCache>
            </c:numRef>
          </c:val>
          <c:extLst xmlns:c16r2="http://schemas.microsoft.com/office/drawing/2015/06/chart">
            <c:ext xmlns:c16="http://schemas.microsoft.com/office/drawing/2014/chart" uri="{C3380CC4-5D6E-409C-BE32-E72D297353CC}">
              <c16:uniqueId val="{00000000-58CC-4879-B986-CA55D48FA199}"/>
            </c:ext>
          </c:extLst>
        </c:ser>
        <c:dLbls>
          <c:showLegendKey val="0"/>
          <c:showVal val="0"/>
          <c:showCatName val="0"/>
          <c:showSerName val="0"/>
          <c:showPercent val="0"/>
          <c:showBubbleSize val="0"/>
        </c:dLbls>
        <c:gapWidth val="57"/>
        <c:axId val="473415584"/>
        <c:axId val="473415976"/>
      </c:barChart>
      <c:catAx>
        <c:axId val="473415584"/>
        <c:scaling>
          <c:orientation val="minMax"/>
        </c:scaling>
        <c:delete val="0"/>
        <c:axPos val="b"/>
        <c:numFmt formatCode="General" sourceLinked="0"/>
        <c:majorTickMark val="out"/>
        <c:minorTickMark val="none"/>
        <c:tickLblPos val="nextTo"/>
        <c:crossAx val="473415976"/>
        <c:crosses val="autoZero"/>
        <c:auto val="1"/>
        <c:lblAlgn val="ctr"/>
        <c:lblOffset val="100"/>
        <c:noMultiLvlLbl val="0"/>
      </c:catAx>
      <c:valAx>
        <c:axId val="473415976"/>
        <c:scaling>
          <c:orientation val="minMax"/>
          <c:max val="0.5"/>
        </c:scaling>
        <c:delete val="0"/>
        <c:axPos val="l"/>
        <c:majorGridlines>
          <c:spPr>
            <a:ln>
              <a:solidFill>
                <a:schemeClr val="bg1"/>
              </a:solidFill>
            </a:ln>
          </c:spPr>
        </c:majorGridlines>
        <c:numFmt formatCode="0%" sourceLinked="0"/>
        <c:majorTickMark val="out"/>
        <c:minorTickMark val="none"/>
        <c:tickLblPos val="nextTo"/>
        <c:crossAx val="473415584"/>
        <c:crosses val="autoZero"/>
        <c:crossBetween val="between"/>
        <c:majorUnit val="0.1"/>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Sheet1!$C$1</c:f>
              <c:strCache>
                <c:ptCount val="1"/>
                <c:pt idx="0">
                  <c:v>% saying area is serious concern</c:v>
                </c:pt>
              </c:strCache>
            </c:strRef>
          </c:tx>
          <c:invertIfNegative val="0"/>
          <c:dPt>
            <c:idx val="0"/>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1-38B5-46C0-8D10-46DA7DBEC032}"/>
              </c:ext>
            </c:extLst>
          </c:dPt>
          <c:dPt>
            <c:idx val="1"/>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3-38B5-46C0-8D10-46DA7DBEC032}"/>
              </c:ext>
            </c:extLst>
          </c:dPt>
          <c:dPt>
            <c:idx val="2"/>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5-38B5-46C0-8D10-46DA7DBEC032}"/>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7-38B5-46C0-8D10-46DA7DBEC032}"/>
              </c:ext>
            </c:extLst>
          </c:dPt>
          <c:dPt>
            <c:idx val="4"/>
            <c:invertIfNegative val="0"/>
            <c:bubble3D val="0"/>
            <c:spPr>
              <a:solidFill>
                <a:schemeClr val="accent6"/>
              </a:solidFill>
            </c:spPr>
            <c:extLst xmlns:c16r2="http://schemas.microsoft.com/office/drawing/2015/06/chart">
              <c:ext xmlns:c16="http://schemas.microsoft.com/office/drawing/2014/chart" uri="{C3380CC4-5D6E-409C-BE32-E72D297353CC}">
                <c16:uniqueId val="{00000009-38B5-46C0-8D10-46DA7DBEC032}"/>
              </c:ext>
            </c:extLst>
          </c:dPt>
          <c:dPt>
            <c:idx val="5"/>
            <c:invertIfNegative val="0"/>
            <c:bubble3D val="0"/>
            <c:spPr>
              <a:solidFill>
                <a:schemeClr val="accent6"/>
              </a:solidFill>
            </c:spPr>
            <c:extLst xmlns:c16r2="http://schemas.microsoft.com/office/drawing/2015/06/chart">
              <c:ext xmlns:c16="http://schemas.microsoft.com/office/drawing/2014/chart" uri="{C3380CC4-5D6E-409C-BE32-E72D297353CC}">
                <c16:uniqueId val="{0000000B-38B5-46C0-8D10-46DA7DBEC032}"/>
              </c:ext>
            </c:extLst>
          </c:dPt>
          <c:dPt>
            <c:idx val="6"/>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D-38B5-46C0-8D10-46DA7DBEC032}"/>
              </c:ext>
            </c:extLst>
          </c:dPt>
          <c:dPt>
            <c:idx val="7"/>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F-38B5-46C0-8D10-46DA7DBEC032}"/>
              </c:ext>
            </c:extLst>
          </c:dPt>
          <c:dPt>
            <c:idx val="8"/>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11-38B5-46C0-8D10-46DA7DBEC032}"/>
              </c:ext>
            </c:extLst>
          </c:dPt>
          <c:dPt>
            <c:idx val="9"/>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13-38B5-46C0-8D10-46DA7DBEC032}"/>
              </c:ext>
            </c:extLst>
          </c:dPt>
          <c:dPt>
            <c:idx val="10"/>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15-38B5-46C0-8D10-46DA7DBEC032}"/>
              </c:ext>
            </c:extLst>
          </c:dPt>
          <c:dPt>
            <c:idx val="11"/>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17-38B5-46C0-8D10-46DA7DBEC032}"/>
              </c:ext>
            </c:extLst>
          </c:dPt>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Sheet1!$A$2:$B$13</c:f>
              <c:multiLvlStrCache>
                <c:ptCount val="12"/>
                <c:lvl>
                  <c:pt idx="0">
                    <c:v>Electricity</c:v>
                  </c:pt>
                  <c:pt idx="1">
                    <c:v>Tax Rates</c:v>
                  </c:pt>
                  <c:pt idx="2">
                    <c:v>Corruption</c:v>
                  </c:pt>
                  <c:pt idx="3">
                    <c:v>Electricity</c:v>
                  </c:pt>
                  <c:pt idx="4">
                    <c:v>Corruption</c:v>
                  </c:pt>
                  <c:pt idx="5">
                    <c:v>Political instability</c:v>
                  </c:pt>
                  <c:pt idx="6">
                    <c:v>Access to finance</c:v>
                  </c:pt>
                  <c:pt idx="7">
                    <c:v>Electricity</c:v>
                  </c:pt>
                  <c:pt idx="8">
                    <c:v>Corruption</c:v>
                  </c:pt>
                  <c:pt idx="9">
                    <c:v>Corruption</c:v>
                  </c:pt>
                  <c:pt idx="10">
                    <c:v>Electricity</c:v>
                  </c:pt>
                  <c:pt idx="11">
                    <c:v>Political instability</c:v>
                  </c:pt>
                </c:lvl>
                <c:lvl>
                  <c:pt idx="0">
                    <c:v>Lagos</c:v>
                  </c:pt>
                  <c:pt idx="3">
                    <c:v>Kano/Kaduna</c:v>
                  </c:pt>
                  <c:pt idx="6">
                    <c:v>Other South</c:v>
                  </c:pt>
                  <c:pt idx="9">
                    <c:v>Other North</c:v>
                  </c:pt>
                </c:lvl>
              </c:multiLvlStrCache>
            </c:multiLvlStrRef>
          </c:cat>
          <c:val>
            <c:numRef>
              <c:f>Sheet1!$C$2:$C$13</c:f>
              <c:numCache>
                <c:formatCode>General</c:formatCode>
                <c:ptCount val="12"/>
                <c:pt idx="0">
                  <c:v>0.52523500000000001</c:v>
                </c:pt>
                <c:pt idx="1">
                  <c:v>0.40130359999999998</c:v>
                </c:pt>
                <c:pt idx="2">
                  <c:v>0.34953070000000003</c:v>
                </c:pt>
                <c:pt idx="3">
                  <c:v>0.62056670000000003</c:v>
                </c:pt>
                <c:pt idx="4">
                  <c:v>0.48835529999999999</c:v>
                </c:pt>
                <c:pt idx="5">
                  <c:v>0.43027470000000001</c:v>
                </c:pt>
                <c:pt idx="6">
                  <c:v>0.51455459999999997</c:v>
                </c:pt>
                <c:pt idx="7">
                  <c:v>0.47839110000000001</c:v>
                </c:pt>
                <c:pt idx="8">
                  <c:v>0.4686688</c:v>
                </c:pt>
                <c:pt idx="9">
                  <c:v>0.45063819999999999</c:v>
                </c:pt>
                <c:pt idx="10">
                  <c:v>0.4135452</c:v>
                </c:pt>
                <c:pt idx="11">
                  <c:v>0.2100236</c:v>
                </c:pt>
              </c:numCache>
            </c:numRef>
          </c:val>
          <c:extLst xmlns:c16r2="http://schemas.microsoft.com/office/drawing/2015/06/chart">
            <c:ext xmlns:c16="http://schemas.microsoft.com/office/drawing/2014/chart" uri="{C3380CC4-5D6E-409C-BE32-E72D297353CC}">
              <c16:uniqueId val="{00000018-38B5-46C0-8D10-46DA7DBEC032}"/>
            </c:ext>
          </c:extLst>
        </c:ser>
        <c:dLbls>
          <c:showLegendKey val="0"/>
          <c:showVal val="0"/>
          <c:showCatName val="0"/>
          <c:showSerName val="0"/>
          <c:showPercent val="0"/>
          <c:showBubbleSize val="0"/>
        </c:dLbls>
        <c:gapWidth val="57"/>
        <c:axId val="473416760"/>
        <c:axId val="473417152"/>
      </c:barChart>
      <c:catAx>
        <c:axId val="473416760"/>
        <c:scaling>
          <c:orientation val="minMax"/>
        </c:scaling>
        <c:delete val="0"/>
        <c:axPos val="b"/>
        <c:numFmt formatCode="General" sourceLinked="0"/>
        <c:majorTickMark val="out"/>
        <c:minorTickMark val="none"/>
        <c:tickLblPos val="nextTo"/>
        <c:crossAx val="473417152"/>
        <c:crosses val="autoZero"/>
        <c:auto val="1"/>
        <c:lblAlgn val="ctr"/>
        <c:lblOffset val="100"/>
        <c:noMultiLvlLbl val="0"/>
      </c:catAx>
      <c:valAx>
        <c:axId val="473417152"/>
        <c:scaling>
          <c:orientation val="minMax"/>
        </c:scaling>
        <c:delete val="0"/>
        <c:axPos val="l"/>
        <c:majorGridlines>
          <c:spPr>
            <a:ln>
              <a:solidFill>
                <a:schemeClr val="bg1"/>
              </a:solidFill>
            </a:ln>
          </c:spPr>
        </c:majorGridlines>
        <c:numFmt formatCode="0%" sourceLinked="0"/>
        <c:majorTickMark val="out"/>
        <c:minorTickMark val="none"/>
        <c:tickLblPos val="nextTo"/>
        <c:crossAx val="473416760"/>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1290463692039E-2"/>
          <c:y val="5.9998788612961838E-2"/>
          <c:w val="0.90652413240011664"/>
          <c:h val="0.42945366444579042"/>
        </c:manualLayout>
      </c:layout>
      <c:barChart>
        <c:barDir val="col"/>
        <c:grouping val="clustered"/>
        <c:varyColors val="0"/>
        <c:ser>
          <c:idx val="1"/>
          <c:order val="0"/>
          <c:tx>
            <c:strRef>
              <c:f>Sheet1!$C$1</c:f>
              <c:strCache>
                <c:ptCount val="1"/>
                <c:pt idx="0">
                  <c:v>Column1</c:v>
                </c:pt>
              </c:strCache>
            </c:strRef>
          </c:tx>
          <c:invertIfNegative val="0"/>
          <c:dPt>
            <c:idx val="0"/>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1-A90C-4747-AFFE-4380A1FE133B}"/>
              </c:ext>
            </c:extLst>
          </c:dPt>
          <c:dPt>
            <c:idx val="1"/>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3-A90C-4747-AFFE-4380A1FE133B}"/>
              </c:ext>
            </c:extLst>
          </c:dPt>
          <c:dPt>
            <c:idx val="2"/>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5-A90C-4747-AFFE-4380A1FE133B}"/>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7-A90C-4747-AFFE-4380A1FE133B}"/>
              </c:ext>
            </c:extLst>
          </c:dPt>
          <c:dPt>
            <c:idx val="4"/>
            <c:invertIfNegative val="0"/>
            <c:bubble3D val="0"/>
            <c:spPr>
              <a:solidFill>
                <a:schemeClr val="accent6"/>
              </a:solidFill>
            </c:spPr>
            <c:extLst xmlns:c16r2="http://schemas.microsoft.com/office/drawing/2015/06/chart">
              <c:ext xmlns:c16="http://schemas.microsoft.com/office/drawing/2014/chart" uri="{C3380CC4-5D6E-409C-BE32-E72D297353CC}">
                <c16:uniqueId val="{00000009-A90C-4747-AFFE-4380A1FE133B}"/>
              </c:ext>
            </c:extLst>
          </c:dPt>
          <c:dPt>
            <c:idx val="5"/>
            <c:invertIfNegative val="0"/>
            <c:bubble3D val="0"/>
            <c:spPr>
              <a:solidFill>
                <a:schemeClr val="accent6"/>
              </a:solidFill>
            </c:spPr>
            <c:extLst xmlns:c16r2="http://schemas.microsoft.com/office/drawing/2015/06/chart">
              <c:ext xmlns:c16="http://schemas.microsoft.com/office/drawing/2014/chart" uri="{C3380CC4-5D6E-409C-BE32-E72D297353CC}">
                <c16:uniqueId val="{0000000B-A90C-4747-AFFE-4380A1FE133B}"/>
              </c:ext>
            </c:extLst>
          </c:dPt>
          <c:dPt>
            <c:idx val="6"/>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D-A90C-4747-AFFE-4380A1FE133B}"/>
              </c:ext>
            </c:extLst>
          </c:dPt>
          <c:dPt>
            <c:idx val="7"/>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F-A90C-4747-AFFE-4380A1FE133B}"/>
              </c:ext>
            </c:extLst>
          </c:dPt>
          <c:dPt>
            <c:idx val="8"/>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11-A90C-4747-AFFE-4380A1FE133B}"/>
              </c:ext>
            </c:extLst>
          </c:dPt>
          <c:dPt>
            <c:idx val="9"/>
            <c:invertIfNegative val="0"/>
            <c:bubble3D val="0"/>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13-A90C-4747-AFFE-4380A1FE133B}"/>
              </c:ext>
            </c:extLst>
          </c:dPt>
          <c:dPt>
            <c:idx val="10"/>
            <c:invertIfNegative val="0"/>
            <c:bubble3D val="0"/>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15-A90C-4747-AFFE-4380A1FE133B}"/>
              </c:ext>
            </c:extLst>
          </c:dPt>
          <c:dPt>
            <c:idx val="11"/>
            <c:invertIfNegative val="0"/>
            <c:bubble3D val="0"/>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17-A90C-4747-AFFE-4380A1FE133B}"/>
              </c:ext>
            </c:extLst>
          </c:dPt>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Sheet1!$A$2:$B$10</c:f>
              <c:multiLvlStrCache>
                <c:ptCount val="9"/>
                <c:lvl>
                  <c:pt idx="0">
                    <c:v>Electricity</c:v>
                  </c:pt>
                  <c:pt idx="1">
                    <c:v>Corruption</c:v>
                  </c:pt>
                  <c:pt idx="2">
                    <c:v>Access to finance</c:v>
                  </c:pt>
                  <c:pt idx="3">
                    <c:v>Corruption</c:v>
                  </c:pt>
                  <c:pt idx="4">
                    <c:v>Electricity</c:v>
                  </c:pt>
                  <c:pt idx="5">
                    <c:v>Access to finance</c:v>
                  </c:pt>
                  <c:pt idx="6">
                    <c:v>Electricity</c:v>
                  </c:pt>
                  <c:pt idx="7">
                    <c:v>Tax Rates</c:v>
                  </c:pt>
                  <c:pt idx="8">
                    <c:v>Tax Administration</c:v>
                  </c:pt>
                </c:lvl>
                <c:lvl>
                  <c:pt idx="0">
                    <c:v>Small</c:v>
                  </c:pt>
                  <c:pt idx="3">
                    <c:v>Medium</c:v>
                  </c:pt>
                  <c:pt idx="6">
                    <c:v>Large</c:v>
                  </c:pt>
                </c:lvl>
              </c:multiLvlStrCache>
            </c:multiLvlStrRef>
          </c:cat>
          <c:val>
            <c:numRef>
              <c:f>Sheet1!$C$2:$C$10</c:f>
              <c:numCache>
                <c:formatCode>General</c:formatCode>
                <c:ptCount val="9"/>
                <c:pt idx="0">
                  <c:v>0.48267769999999999</c:v>
                </c:pt>
                <c:pt idx="1">
                  <c:v>0.43483939999999999</c:v>
                </c:pt>
                <c:pt idx="2">
                  <c:v>0.3418253</c:v>
                </c:pt>
                <c:pt idx="3">
                  <c:v>0.55948419999999999</c:v>
                </c:pt>
                <c:pt idx="4">
                  <c:v>0.42432989999999998</c:v>
                </c:pt>
                <c:pt idx="5">
                  <c:v>0.31666889999999998</c:v>
                </c:pt>
                <c:pt idx="6">
                  <c:v>0.59692590000000001</c:v>
                </c:pt>
                <c:pt idx="7">
                  <c:v>0.37377650000000001</c:v>
                </c:pt>
                <c:pt idx="8">
                  <c:v>0.32594960000000001</c:v>
                </c:pt>
              </c:numCache>
            </c:numRef>
          </c:val>
          <c:extLst xmlns:c16r2="http://schemas.microsoft.com/office/drawing/2015/06/chart">
            <c:ext xmlns:c16="http://schemas.microsoft.com/office/drawing/2014/chart" uri="{C3380CC4-5D6E-409C-BE32-E72D297353CC}">
              <c16:uniqueId val="{00000018-A90C-4747-AFFE-4380A1FE133B}"/>
            </c:ext>
          </c:extLst>
        </c:ser>
        <c:dLbls>
          <c:showLegendKey val="0"/>
          <c:showVal val="0"/>
          <c:showCatName val="0"/>
          <c:showSerName val="0"/>
          <c:showPercent val="0"/>
          <c:showBubbleSize val="0"/>
        </c:dLbls>
        <c:gapWidth val="56"/>
        <c:axId val="473417936"/>
        <c:axId val="473418328"/>
      </c:barChart>
      <c:catAx>
        <c:axId val="473417936"/>
        <c:scaling>
          <c:orientation val="minMax"/>
        </c:scaling>
        <c:delete val="0"/>
        <c:axPos val="b"/>
        <c:numFmt formatCode="General" sourceLinked="0"/>
        <c:majorTickMark val="out"/>
        <c:minorTickMark val="none"/>
        <c:tickLblPos val="nextTo"/>
        <c:crossAx val="473418328"/>
        <c:crosses val="autoZero"/>
        <c:auto val="1"/>
        <c:lblAlgn val="ctr"/>
        <c:lblOffset val="100"/>
        <c:noMultiLvlLbl val="0"/>
      </c:catAx>
      <c:valAx>
        <c:axId val="473418328"/>
        <c:scaling>
          <c:orientation val="minMax"/>
        </c:scaling>
        <c:delete val="0"/>
        <c:axPos val="l"/>
        <c:majorGridlines>
          <c:spPr>
            <a:ln>
              <a:solidFill>
                <a:schemeClr val="bg1"/>
              </a:solidFill>
            </a:ln>
          </c:spPr>
        </c:majorGridlines>
        <c:numFmt formatCode="0%" sourceLinked="0"/>
        <c:majorTickMark val="out"/>
        <c:minorTickMark val="none"/>
        <c:tickLblPos val="nextTo"/>
        <c:crossAx val="473417936"/>
        <c:crosses val="autoZero"/>
        <c:crossBetween val="between"/>
      </c:valAx>
      <c:spPr>
        <a:solidFill>
          <a:schemeClr val="bg1">
            <a:lumMod val="95000"/>
          </a:schemeClr>
        </a:solidFill>
      </c:spPr>
    </c:plotArea>
    <c:plotVisOnly val="1"/>
    <c:dispBlanksAs val="gap"/>
    <c:showDLblsOverMax val="0"/>
  </c:chart>
  <c:spPr>
    <a:noFill/>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1708194613257235"/>
          <c:y val="6.8783277090363706E-2"/>
          <c:w val="0.85236242491500647"/>
          <c:h val="0.50346874254354568"/>
        </c:manualLayout>
      </c:layout>
      <c:barChart>
        <c:barDir val="col"/>
        <c:grouping val="stacked"/>
        <c:varyColors val="0"/>
        <c:ser>
          <c:idx val="0"/>
          <c:order val="0"/>
          <c:tx>
            <c:strRef>
              <c:f>'survey design'!$Y$13</c:f>
              <c:strCache>
                <c:ptCount val="1"/>
                <c:pt idx="0">
                  <c:v>Small</c:v>
                </c:pt>
              </c:strCache>
            </c:strRef>
          </c:tx>
          <c:spPr>
            <a:solidFill>
              <a:schemeClr val="accent6">
                <a:lumMod val="50000"/>
              </a:schemeClr>
            </a:solidFill>
            <a:ln>
              <a:noFill/>
            </a:ln>
            <a:effectLst/>
          </c:spPr>
          <c:invertIfNegative val="0"/>
          <c:cat>
            <c:strRef>
              <c:f>'survey design'!$Z$12:$AR$12</c:f>
              <c:strCache>
                <c:ptCount val="19"/>
                <c:pt idx="0">
                  <c:v>Abia</c:v>
                </c:pt>
                <c:pt idx="1">
                  <c:v>Abuja</c:v>
                </c:pt>
                <c:pt idx="2">
                  <c:v>Anambra</c:v>
                </c:pt>
                <c:pt idx="3">
                  <c:v>Cross River</c:v>
                </c:pt>
                <c:pt idx="4">
                  <c:v>Enugu</c:v>
                </c:pt>
                <c:pt idx="5">
                  <c:v>Gombe</c:v>
                </c:pt>
                <c:pt idx="6">
                  <c:v>Jigawa</c:v>
                </c:pt>
                <c:pt idx="7">
                  <c:v>Kaduna</c:v>
                </c:pt>
                <c:pt idx="8">
                  <c:v>Kano</c:v>
                </c:pt>
                <c:pt idx="9">
                  <c:v>Katsina</c:v>
                </c:pt>
                <c:pt idx="10">
                  <c:v>Kebbi</c:v>
                </c:pt>
                <c:pt idx="11">
                  <c:v>Kwara</c:v>
                </c:pt>
                <c:pt idx="12">
                  <c:v>Lagos</c:v>
                </c:pt>
                <c:pt idx="13">
                  <c:v>Nasarawa</c:v>
                </c:pt>
                <c:pt idx="14">
                  <c:v>Niger</c:v>
                </c:pt>
                <c:pt idx="15">
                  <c:v>Ogun</c:v>
                </c:pt>
                <c:pt idx="16">
                  <c:v>Oyo</c:v>
                </c:pt>
                <c:pt idx="17">
                  <c:v>Sokoto</c:v>
                </c:pt>
                <c:pt idx="18">
                  <c:v>Zamfara</c:v>
                </c:pt>
              </c:strCache>
            </c:strRef>
          </c:cat>
          <c:val>
            <c:numRef>
              <c:f>'survey design'!$Z$13:$AR$13</c:f>
              <c:numCache>
                <c:formatCode>General</c:formatCode>
                <c:ptCount val="19"/>
                <c:pt idx="0">
                  <c:v>1025</c:v>
                </c:pt>
                <c:pt idx="1">
                  <c:v>714</c:v>
                </c:pt>
                <c:pt idx="2">
                  <c:v>582</c:v>
                </c:pt>
                <c:pt idx="3">
                  <c:v>507</c:v>
                </c:pt>
                <c:pt idx="4">
                  <c:v>930</c:v>
                </c:pt>
                <c:pt idx="5">
                  <c:v>412</c:v>
                </c:pt>
                <c:pt idx="6">
                  <c:v>142</c:v>
                </c:pt>
                <c:pt idx="7">
                  <c:v>1577</c:v>
                </c:pt>
                <c:pt idx="8">
                  <c:v>1960</c:v>
                </c:pt>
                <c:pt idx="9">
                  <c:v>347</c:v>
                </c:pt>
                <c:pt idx="10">
                  <c:v>427</c:v>
                </c:pt>
                <c:pt idx="11">
                  <c:v>344</c:v>
                </c:pt>
                <c:pt idx="12">
                  <c:v>4418</c:v>
                </c:pt>
                <c:pt idx="13">
                  <c:v>388</c:v>
                </c:pt>
                <c:pt idx="14">
                  <c:v>606</c:v>
                </c:pt>
                <c:pt idx="15">
                  <c:v>786</c:v>
                </c:pt>
                <c:pt idx="16">
                  <c:v>5071</c:v>
                </c:pt>
                <c:pt idx="17">
                  <c:v>352</c:v>
                </c:pt>
                <c:pt idx="18">
                  <c:v>1680</c:v>
                </c:pt>
              </c:numCache>
            </c:numRef>
          </c:val>
          <c:extLst xmlns:c16r2="http://schemas.microsoft.com/office/drawing/2015/06/chart">
            <c:ext xmlns:c16="http://schemas.microsoft.com/office/drawing/2014/chart" uri="{C3380CC4-5D6E-409C-BE32-E72D297353CC}">
              <c16:uniqueId val="{00000000-5218-4AAC-ACBB-B1B2B767259D}"/>
            </c:ext>
          </c:extLst>
        </c:ser>
        <c:ser>
          <c:idx val="1"/>
          <c:order val="1"/>
          <c:tx>
            <c:strRef>
              <c:f>'survey design'!$Y$14</c:f>
              <c:strCache>
                <c:ptCount val="1"/>
                <c:pt idx="0">
                  <c:v>Medium</c:v>
                </c:pt>
              </c:strCache>
            </c:strRef>
          </c:tx>
          <c:spPr>
            <a:solidFill>
              <a:schemeClr val="accent6"/>
            </a:solidFill>
            <a:ln>
              <a:noFill/>
            </a:ln>
            <a:effectLst/>
          </c:spPr>
          <c:invertIfNegative val="0"/>
          <c:cat>
            <c:strRef>
              <c:f>'survey design'!$Z$12:$AR$12</c:f>
              <c:strCache>
                <c:ptCount val="19"/>
                <c:pt idx="0">
                  <c:v>Abia</c:v>
                </c:pt>
                <c:pt idx="1">
                  <c:v>Abuja</c:v>
                </c:pt>
                <c:pt idx="2">
                  <c:v>Anambra</c:v>
                </c:pt>
                <c:pt idx="3">
                  <c:v>Cross River</c:v>
                </c:pt>
                <c:pt idx="4">
                  <c:v>Enugu</c:v>
                </c:pt>
                <c:pt idx="5">
                  <c:v>Gombe</c:v>
                </c:pt>
                <c:pt idx="6">
                  <c:v>Jigawa</c:v>
                </c:pt>
                <c:pt idx="7">
                  <c:v>Kaduna</c:v>
                </c:pt>
                <c:pt idx="8">
                  <c:v>Kano</c:v>
                </c:pt>
                <c:pt idx="9">
                  <c:v>Katsina</c:v>
                </c:pt>
                <c:pt idx="10">
                  <c:v>Kebbi</c:v>
                </c:pt>
                <c:pt idx="11">
                  <c:v>Kwara</c:v>
                </c:pt>
                <c:pt idx="12">
                  <c:v>Lagos</c:v>
                </c:pt>
                <c:pt idx="13">
                  <c:v>Nasarawa</c:v>
                </c:pt>
                <c:pt idx="14">
                  <c:v>Niger</c:v>
                </c:pt>
                <c:pt idx="15">
                  <c:v>Ogun</c:v>
                </c:pt>
                <c:pt idx="16">
                  <c:v>Oyo</c:v>
                </c:pt>
                <c:pt idx="17">
                  <c:v>Sokoto</c:v>
                </c:pt>
                <c:pt idx="18">
                  <c:v>Zamfara</c:v>
                </c:pt>
              </c:strCache>
            </c:strRef>
          </c:cat>
          <c:val>
            <c:numRef>
              <c:f>'survey design'!$Z$14:$AR$14</c:f>
              <c:numCache>
                <c:formatCode>General</c:formatCode>
                <c:ptCount val="19"/>
                <c:pt idx="0">
                  <c:v>116</c:v>
                </c:pt>
                <c:pt idx="1">
                  <c:v>188</c:v>
                </c:pt>
                <c:pt idx="2">
                  <c:v>101</c:v>
                </c:pt>
                <c:pt idx="3">
                  <c:v>56</c:v>
                </c:pt>
                <c:pt idx="4">
                  <c:v>134</c:v>
                </c:pt>
                <c:pt idx="5">
                  <c:v>189</c:v>
                </c:pt>
                <c:pt idx="6">
                  <c:v>119</c:v>
                </c:pt>
                <c:pt idx="7">
                  <c:v>229</c:v>
                </c:pt>
                <c:pt idx="8">
                  <c:v>352</c:v>
                </c:pt>
                <c:pt idx="9">
                  <c:v>507</c:v>
                </c:pt>
                <c:pt idx="10">
                  <c:v>117</c:v>
                </c:pt>
                <c:pt idx="11">
                  <c:v>132</c:v>
                </c:pt>
                <c:pt idx="12">
                  <c:v>792</c:v>
                </c:pt>
                <c:pt idx="13">
                  <c:v>223</c:v>
                </c:pt>
                <c:pt idx="14">
                  <c:v>333</c:v>
                </c:pt>
                <c:pt idx="15">
                  <c:v>324</c:v>
                </c:pt>
                <c:pt idx="16">
                  <c:v>275</c:v>
                </c:pt>
                <c:pt idx="17">
                  <c:v>130</c:v>
                </c:pt>
                <c:pt idx="18">
                  <c:v>510</c:v>
                </c:pt>
              </c:numCache>
            </c:numRef>
          </c:val>
          <c:extLst xmlns:c16r2="http://schemas.microsoft.com/office/drawing/2015/06/chart">
            <c:ext xmlns:c16="http://schemas.microsoft.com/office/drawing/2014/chart" uri="{C3380CC4-5D6E-409C-BE32-E72D297353CC}">
              <c16:uniqueId val="{00000001-5218-4AAC-ACBB-B1B2B767259D}"/>
            </c:ext>
          </c:extLst>
        </c:ser>
        <c:ser>
          <c:idx val="2"/>
          <c:order val="2"/>
          <c:tx>
            <c:strRef>
              <c:f>'survey design'!$Y$15</c:f>
              <c:strCache>
                <c:ptCount val="1"/>
                <c:pt idx="0">
                  <c:v>Large</c:v>
                </c:pt>
              </c:strCache>
            </c:strRef>
          </c:tx>
          <c:spPr>
            <a:solidFill>
              <a:schemeClr val="accent6">
                <a:lumMod val="60000"/>
                <a:lumOff val="40000"/>
              </a:schemeClr>
            </a:solidFill>
            <a:ln>
              <a:noFill/>
            </a:ln>
            <a:effectLst/>
          </c:spPr>
          <c:invertIfNegative val="0"/>
          <c:cat>
            <c:strRef>
              <c:f>'survey design'!$Z$12:$AR$12</c:f>
              <c:strCache>
                <c:ptCount val="19"/>
                <c:pt idx="0">
                  <c:v>Abia</c:v>
                </c:pt>
                <c:pt idx="1">
                  <c:v>Abuja</c:v>
                </c:pt>
                <c:pt idx="2">
                  <c:v>Anambra</c:v>
                </c:pt>
                <c:pt idx="3">
                  <c:v>Cross River</c:v>
                </c:pt>
                <c:pt idx="4">
                  <c:v>Enugu</c:v>
                </c:pt>
                <c:pt idx="5">
                  <c:v>Gombe</c:v>
                </c:pt>
                <c:pt idx="6">
                  <c:v>Jigawa</c:v>
                </c:pt>
                <c:pt idx="7">
                  <c:v>Kaduna</c:v>
                </c:pt>
                <c:pt idx="8">
                  <c:v>Kano</c:v>
                </c:pt>
                <c:pt idx="9">
                  <c:v>Katsina</c:v>
                </c:pt>
                <c:pt idx="10">
                  <c:v>Kebbi</c:v>
                </c:pt>
                <c:pt idx="11">
                  <c:v>Kwara</c:v>
                </c:pt>
                <c:pt idx="12">
                  <c:v>Lagos</c:v>
                </c:pt>
                <c:pt idx="13">
                  <c:v>Nasarawa</c:v>
                </c:pt>
                <c:pt idx="14">
                  <c:v>Niger</c:v>
                </c:pt>
                <c:pt idx="15">
                  <c:v>Ogun</c:v>
                </c:pt>
                <c:pt idx="16">
                  <c:v>Oyo</c:v>
                </c:pt>
                <c:pt idx="17">
                  <c:v>Sokoto</c:v>
                </c:pt>
                <c:pt idx="18">
                  <c:v>Zamfara</c:v>
                </c:pt>
              </c:strCache>
            </c:strRef>
          </c:cat>
          <c:val>
            <c:numRef>
              <c:f>'survey design'!$Z$15:$AR$15</c:f>
              <c:numCache>
                <c:formatCode>General</c:formatCode>
                <c:ptCount val="19"/>
                <c:pt idx="0">
                  <c:v>13</c:v>
                </c:pt>
                <c:pt idx="1">
                  <c:v>15</c:v>
                </c:pt>
                <c:pt idx="2">
                  <c:v>13</c:v>
                </c:pt>
                <c:pt idx="3">
                  <c:v>19</c:v>
                </c:pt>
                <c:pt idx="4">
                  <c:v>18</c:v>
                </c:pt>
                <c:pt idx="5">
                  <c:v>23</c:v>
                </c:pt>
                <c:pt idx="6">
                  <c:v>7</c:v>
                </c:pt>
                <c:pt idx="7">
                  <c:v>43</c:v>
                </c:pt>
                <c:pt idx="8">
                  <c:v>84</c:v>
                </c:pt>
                <c:pt idx="9">
                  <c:v>30</c:v>
                </c:pt>
                <c:pt idx="10">
                  <c:v>9</c:v>
                </c:pt>
                <c:pt idx="11">
                  <c:v>15</c:v>
                </c:pt>
                <c:pt idx="12">
                  <c:v>300</c:v>
                </c:pt>
                <c:pt idx="13">
                  <c:v>8</c:v>
                </c:pt>
                <c:pt idx="14">
                  <c:v>20</c:v>
                </c:pt>
                <c:pt idx="15">
                  <c:v>60</c:v>
                </c:pt>
                <c:pt idx="16">
                  <c:v>43</c:v>
                </c:pt>
                <c:pt idx="17">
                  <c:v>24</c:v>
                </c:pt>
                <c:pt idx="18">
                  <c:v>27</c:v>
                </c:pt>
              </c:numCache>
            </c:numRef>
          </c:val>
          <c:extLst xmlns:c16r2="http://schemas.microsoft.com/office/drawing/2015/06/chart">
            <c:ext xmlns:c16="http://schemas.microsoft.com/office/drawing/2014/chart" uri="{C3380CC4-5D6E-409C-BE32-E72D297353CC}">
              <c16:uniqueId val="{00000002-5218-4AAC-ACBB-B1B2B767259D}"/>
            </c:ext>
          </c:extLst>
        </c:ser>
        <c:dLbls>
          <c:showLegendKey val="0"/>
          <c:showVal val="0"/>
          <c:showCatName val="0"/>
          <c:showSerName val="0"/>
          <c:showPercent val="0"/>
          <c:showBubbleSize val="0"/>
        </c:dLbls>
        <c:gapWidth val="50"/>
        <c:overlap val="100"/>
        <c:axId val="482552384"/>
        <c:axId val="482553560"/>
      </c:barChart>
      <c:catAx>
        <c:axId val="482552384"/>
        <c:scaling>
          <c:orientation val="minMax"/>
        </c:scaling>
        <c:delete val="0"/>
        <c:axPos val="b"/>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crossAx val="482553560"/>
        <c:crosses val="autoZero"/>
        <c:auto val="1"/>
        <c:lblAlgn val="ctr"/>
        <c:lblOffset val="100"/>
        <c:noMultiLvlLbl val="0"/>
      </c:catAx>
      <c:valAx>
        <c:axId val="482553560"/>
        <c:scaling>
          <c:orientation val="minMax"/>
        </c:scaling>
        <c:delete val="0"/>
        <c:axPos val="l"/>
        <c:majorGridlines>
          <c:spPr>
            <a:ln w="9525" cap="flat" cmpd="sng" algn="ctr">
              <a:solidFill>
                <a:schemeClr val="bg1"/>
              </a:solidFill>
              <a:round/>
            </a:ln>
            <a:effectLst/>
          </c:spPr>
        </c:majorGridlines>
        <c:numFmt formatCode="General" sourceLinked="1"/>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crossAx val="482552384"/>
        <c:crosses val="autoZero"/>
        <c:crossBetween val="between"/>
      </c:valAx>
      <c:spPr>
        <a:solidFill>
          <a:schemeClr val="bg1">
            <a:lumMod val="95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mj-lt"/>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Nigeria</c:v>
                </c:pt>
                <c:pt idx="2">
                  <c:v>China</c:v>
                </c:pt>
                <c:pt idx="3">
                  <c:v>Russia</c:v>
                </c:pt>
                <c:pt idx="4">
                  <c:v>South Africa</c:v>
                </c:pt>
                <c:pt idx="5">
                  <c:v>Brazil</c:v>
                </c:pt>
                <c:pt idx="6">
                  <c:v>Cote d'Ivoire</c:v>
                </c:pt>
                <c:pt idx="7">
                  <c:v>Ethiopia</c:v>
                </c:pt>
                <c:pt idx="8">
                  <c:v>Kenya</c:v>
                </c:pt>
                <c:pt idx="9">
                  <c:v>Ghana</c:v>
                </c:pt>
              </c:strCache>
            </c:strRef>
          </c:cat>
          <c:val>
            <c:numRef>
              <c:f>Sheet1!$B$2:$B$11</c:f>
              <c:numCache>
                <c:formatCode>General</c:formatCode>
                <c:ptCount val="10"/>
                <c:pt idx="0">
                  <c:v>16.981649999999998</c:v>
                </c:pt>
                <c:pt idx="2">
                  <c:v>0.1469684</c:v>
                </c:pt>
                <c:pt idx="3">
                  <c:v>0.41463319999999998</c:v>
                </c:pt>
                <c:pt idx="4">
                  <c:v>0.84527280000000005</c:v>
                </c:pt>
                <c:pt idx="5">
                  <c:v>2.0498289999999999</c:v>
                </c:pt>
                <c:pt idx="6">
                  <c:v>2.7717360000000002</c:v>
                </c:pt>
                <c:pt idx="7">
                  <c:v>5.1280559999999999</c:v>
                </c:pt>
                <c:pt idx="8">
                  <c:v>6.7404520000000003</c:v>
                </c:pt>
                <c:pt idx="9">
                  <c:v>14.84469</c:v>
                </c:pt>
              </c:numCache>
            </c:numRef>
          </c:val>
          <c:extLst xmlns:c16r2="http://schemas.microsoft.com/office/drawing/2015/06/chart">
            <c:ext xmlns:c16="http://schemas.microsoft.com/office/drawing/2014/chart" uri="{C3380CC4-5D6E-409C-BE32-E72D297353CC}">
              <c16:uniqueId val="{00000000-5037-444D-BF4D-1892CFDD00EC}"/>
            </c:ext>
          </c:extLst>
        </c:ser>
        <c:dLbls>
          <c:showLegendKey val="0"/>
          <c:showVal val="0"/>
          <c:showCatName val="0"/>
          <c:showSerName val="0"/>
          <c:showPercent val="0"/>
          <c:showBubbleSize val="0"/>
        </c:dLbls>
        <c:gapWidth val="57"/>
        <c:axId val="473419112"/>
        <c:axId val="473419504"/>
      </c:barChart>
      <c:catAx>
        <c:axId val="473419112"/>
        <c:scaling>
          <c:orientation val="minMax"/>
        </c:scaling>
        <c:delete val="0"/>
        <c:axPos val="b"/>
        <c:numFmt formatCode="General" sourceLinked="0"/>
        <c:majorTickMark val="out"/>
        <c:minorTickMark val="none"/>
        <c:tickLblPos val="nextTo"/>
        <c:crossAx val="473419504"/>
        <c:crosses val="autoZero"/>
        <c:auto val="1"/>
        <c:lblAlgn val="ctr"/>
        <c:lblOffset val="100"/>
        <c:noMultiLvlLbl val="0"/>
      </c:catAx>
      <c:valAx>
        <c:axId val="473419504"/>
        <c:scaling>
          <c:orientation val="minMax"/>
        </c:scaling>
        <c:delete val="0"/>
        <c:axPos val="l"/>
        <c:majorGridlines>
          <c:spPr>
            <a:ln>
              <a:solidFill>
                <a:schemeClr val="bg1"/>
              </a:solidFill>
            </a:ln>
          </c:spPr>
        </c:majorGridlines>
        <c:title>
          <c:tx>
            <c:rich>
              <a:bodyPr rot="-5400000" vert="horz"/>
              <a:lstStyle/>
              <a:p>
                <a:pPr>
                  <a:defRPr/>
                </a:pPr>
                <a:r>
                  <a:rPr lang="en-US"/>
                  <a:t>losses due to power outages (% of sales)</a:t>
                </a:r>
              </a:p>
            </c:rich>
          </c:tx>
          <c:overlay val="0"/>
        </c:title>
        <c:numFmt formatCode="General" sourceLinked="1"/>
        <c:majorTickMark val="out"/>
        <c:minorTickMark val="none"/>
        <c:tickLblPos val="nextTo"/>
        <c:crossAx val="473419112"/>
        <c:crosses val="autoZero"/>
        <c:crossBetween val="between"/>
      </c:valAx>
      <c:spPr>
        <a:solidFill>
          <a:schemeClr val="bg1">
            <a:lumMod val="95000"/>
          </a:schemeClr>
        </a:solidFill>
      </c:spPr>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Mean</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Nigeria</c:v>
                </c:pt>
                <c:pt idx="2">
                  <c:v>Other North</c:v>
                </c:pt>
                <c:pt idx="3">
                  <c:v>Kano/Kaduna</c:v>
                </c:pt>
                <c:pt idx="4">
                  <c:v>Other South</c:v>
                </c:pt>
                <c:pt idx="5">
                  <c:v>Lagos</c:v>
                </c:pt>
              </c:strCache>
            </c:strRef>
          </c:cat>
          <c:val>
            <c:numRef>
              <c:f>Sheet1!$B$2:$B$7</c:f>
              <c:numCache>
                <c:formatCode>General</c:formatCode>
                <c:ptCount val="6"/>
                <c:pt idx="0">
                  <c:v>16.981649999999998</c:v>
                </c:pt>
                <c:pt idx="2">
                  <c:v>11.64053</c:v>
                </c:pt>
                <c:pt idx="3">
                  <c:v>13.56672</c:v>
                </c:pt>
                <c:pt idx="4">
                  <c:v>20.552199999999999</c:v>
                </c:pt>
                <c:pt idx="5">
                  <c:v>21.69801</c:v>
                </c:pt>
              </c:numCache>
            </c:numRef>
          </c:val>
          <c:extLst xmlns:c16r2="http://schemas.microsoft.com/office/drawing/2015/06/chart">
            <c:ext xmlns:c16="http://schemas.microsoft.com/office/drawing/2014/chart" uri="{C3380CC4-5D6E-409C-BE32-E72D297353CC}">
              <c16:uniqueId val="{00000000-66C6-4593-9CD3-C35D39AE442D}"/>
            </c:ext>
          </c:extLst>
        </c:ser>
        <c:dLbls>
          <c:showLegendKey val="0"/>
          <c:showVal val="0"/>
          <c:showCatName val="0"/>
          <c:showSerName val="0"/>
          <c:showPercent val="0"/>
          <c:showBubbleSize val="0"/>
        </c:dLbls>
        <c:gapWidth val="58"/>
        <c:axId val="473420288"/>
        <c:axId val="473420680"/>
      </c:barChart>
      <c:catAx>
        <c:axId val="473420288"/>
        <c:scaling>
          <c:orientation val="minMax"/>
        </c:scaling>
        <c:delete val="0"/>
        <c:axPos val="b"/>
        <c:numFmt formatCode="General" sourceLinked="0"/>
        <c:majorTickMark val="out"/>
        <c:minorTickMark val="none"/>
        <c:tickLblPos val="nextTo"/>
        <c:crossAx val="473420680"/>
        <c:crosses val="autoZero"/>
        <c:auto val="1"/>
        <c:lblAlgn val="ctr"/>
        <c:lblOffset val="100"/>
        <c:noMultiLvlLbl val="0"/>
      </c:catAx>
      <c:valAx>
        <c:axId val="473420680"/>
        <c:scaling>
          <c:orientation val="minMax"/>
        </c:scaling>
        <c:delete val="0"/>
        <c:axPos val="l"/>
        <c:majorGridlines>
          <c:spPr>
            <a:ln>
              <a:solidFill>
                <a:schemeClr val="bg1"/>
              </a:solidFill>
            </a:ln>
          </c:spPr>
        </c:majorGridlines>
        <c:title>
          <c:tx>
            <c:rich>
              <a:bodyPr rot="-5400000" vert="horz"/>
              <a:lstStyle/>
              <a:p>
                <a:pPr>
                  <a:defRPr/>
                </a:pPr>
                <a:r>
                  <a:rPr lang="en-US"/>
                  <a:t>losses due to power outages (% of sales)</a:t>
                </a:r>
              </a:p>
            </c:rich>
          </c:tx>
          <c:overlay val="0"/>
        </c:title>
        <c:numFmt formatCode="General" sourceLinked="1"/>
        <c:majorTickMark val="out"/>
        <c:minorTickMark val="none"/>
        <c:tickLblPos val="nextTo"/>
        <c:crossAx val="473420288"/>
        <c:crosses val="autoZero"/>
        <c:crossBetween val="between"/>
      </c:valAx>
      <c:spPr>
        <a:solidFill>
          <a:schemeClr val="bg1">
            <a:lumMod val="95000"/>
          </a:schemeClr>
        </a:solidFill>
      </c:spPr>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Mean</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Nigeria</c:v>
                </c:pt>
                <c:pt idx="2">
                  <c:v>Ethiopia</c:v>
                </c:pt>
                <c:pt idx="3">
                  <c:v>Kenya</c:v>
                </c:pt>
                <c:pt idx="4">
                  <c:v>Ghana</c:v>
                </c:pt>
                <c:pt idx="5">
                  <c:v>Russia</c:v>
                </c:pt>
                <c:pt idx="6">
                  <c:v>Brazil</c:v>
                </c:pt>
                <c:pt idx="7">
                  <c:v>China</c:v>
                </c:pt>
                <c:pt idx="8">
                  <c:v>Cote d'Ivoire</c:v>
                </c:pt>
                <c:pt idx="9">
                  <c:v>South Africa</c:v>
                </c:pt>
              </c:strCache>
            </c:strRef>
          </c:cat>
          <c:val>
            <c:numRef>
              <c:f>Sheet1!$B$2:$B$11</c:f>
              <c:numCache>
                <c:formatCode>General</c:formatCode>
                <c:ptCount val="10"/>
                <c:pt idx="0">
                  <c:v>3.8666670000000001</c:v>
                </c:pt>
                <c:pt idx="2" formatCode="0.000">
                  <c:v>0.47573169999999998</c:v>
                </c:pt>
                <c:pt idx="3" formatCode="0.000">
                  <c:v>1.25</c:v>
                </c:pt>
                <c:pt idx="4" formatCode="0.000">
                  <c:v>1.3333330000000001</c:v>
                </c:pt>
                <c:pt idx="5" formatCode="0.000">
                  <c:v>1.4666669999999999</c:v>
                </c:pt>
                <c:pt idx="6" formatCode="0.000">
                  <c:v>1.473684</c:v>
                </c:pt>
                <c:pt idx="7" formatCode="0.000">
                  <c:v>1.5</c:v>
                </c:pt>
                <c:pt idx="8" formatCode="0.000">
                  <c:v>2</c:v>
                </c:pt>
                <c:pt idx="9" formatCode="0.000">
                  <c:v>2.5</c:v>
                </c:pt>
              </c:numCache>
            </c:numRef>
          </c:val>
          <c:extLst xmlns:c16r2="http://schemas.microsoft.com/office/drawing/2015/06/chart">
            <c:ext xmlns:c16="http://schemas.microsoft.com/office/drawing/2014/chart" uri="{C3380CC4-5D6E-409C-BE32-E72D297353CC}">
              <c16:uniqueId val="{00000000-1188-4DBA-9494-99D6F3CD2001}"/>
            </c:ext>
          </c:extLst>
        </c:ser>
        <c:dLbls>
          <c:showLegendKey val="0"/>
          <c:showVal val="0"/>
          <c:showCatName val="0"/>
          <c:showSerName val="0"/>
          <c:showPercent val="0"/>
          <c:showBubbleSize val="0"/>
        </c:dLbls>
        <c:gapWidth val="58"/>
        <c:axId val="473421464"/>
        <c:axId val="473421856"/>
      </c:barChart>
      <c:catAx>
        <c:axId val="473421464"/>
        <c:scaling>
          <c:orientation val="minMax"/>
        </c:scaling>
        <c:delete val="0"/>
        <c:axPos val="b"/>
        <c:numFmt formatCode="General" sourceLinked="0"/>
        <c:majorTickMark val="out"/>
        <c:minorTickMark val="none"/>
        <c:tickLblPos val="nextTo"/>
        <c:crossAx val="473421856"/>
        <c:crosses val="autoZero"/>
        <c:auto val="1"/>
        <c:lblAlgn val="ctr"/>
        <c:lblOffset val="100"/>
        <c:noMultiLvlLbl val="0"/>
      </c:catAx>
      <c:valAx>
        <c:axId val="473421856"/>
        <c:scaling>
          <c:orientation val="minMax"/>
        </c:scaling>
        <c:delete val="0"/>
        <c:axPos val="l"/>
        <c:majorGridlines>
          <c:spPr>
            <a:ln>
              <a:solidFill>
                <a:schemeClr val="bg1"/>
              </a:solidFill>
            </a:ln>
          </c:spPr>
        </c:majorGridlines>
        <c:title>
          <c:tx>
            <c:rich>
              <a:bodyPr rot="-5400000" vert="horz"/>
              <a:lstStyle/>
              <a:p>
                <a:pPr>
                  <a:defRPr/>
                </a:pPr>
                <a:r>
                  <a:rPr lang="en-US"/>
                  <a:t>electricity and fuel costs (% of sales)</a:t>
                </a:r>
              </a:p>
            </c:rich>
          </c:tx>
          <c:overlay val="0"/>
        </c:title>
        <c:numFmt formatCode="General" sourceLinked="1"/>
        <c:majorTickMark val="out"/>
        <c:minorTickMark val="none"/>
        <c:tickLblPos val="nextTo"/>
        <c:crossAx val="473421464"/>
        <c:crosses val="autoZero"/>
        <c:crossBetween val="between"/>
      </c:valAx>
      <c:spPr>
        <a:solidFill>
          <a:schemeClr val="bg1">
            <a:lumMod val="95000"/>
          </a:schemeClr>
        </a:solidFill>
      </c:spPr>
    </c:plotArea>
    <c:plotVisOnly val="1"/>
    <c:dispBlanksAs val="gap"/>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0987655906796319E-2"/>
          <c:y val="5.4931335830212237E-2"/>
          <c:w val="0.88508629732865773"/>
          <c:h val="0.63191797654506665"/>
        </c:manualLayout>
      </c:layout>
      <c:barChart>
        <c:barDir val="col"/>
        <c:grouping val="clustered"/>
        <c:varyColors val="0"/>
        <c:ser>
          <c:idx val="0"/>
          <c:order val="0"/>
          <c:tx>
            <c:strRef>
              <c:f>Sheet1!$B$1</c:f>
              <c:strCache>
                <c:ptCount val="1"/>
                <c:pt idx="0">
                  <c:v>Bribes are needed</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Nigeria</c:v>
                </c:pt>
                <c:pt idx="2">
                  <c:v>Ethiopia</c:v>
                </c:pt>
                <c:pt idx="3">
                  <c:v>China</c:v>
                </c:pt>
                <c:pt idx="4">
                  <c:v>Brazil</c:v>
                </c:pt>
                <c:pt idx="5">
                  <c:v>Russia</c:v>
                </c:pt>
                <c:pt idx="6">
                  <c:v>South Africa</c:v>
                </c:pt>
                <c:pt idx="7">
                  <c:v>Ghana</c:v>
                </c:pt>
                <c:pt idx="8">
                  <c:v>Kenya</c:v>
                </c:pt>
                <c:pt idx="9">
                  <c:v>Cote d'Ivoire</c:v>
                </c:pt>
                <c:pt idx="10">
                  <c:v>Angola</c:v>
                </c:pt>
              </c:strCache>
            </c:strRef>
          </c:cat>
          <c:val>
            <c:numRef>
              <c:f>Sheet1!$B$2:$B$12</c:f>
              <c:numCache>
                <c:formatCode>General</c:formatCode>
                <c:ptCount val="11"/>
                <c:pt idx="0">
                  <c:v>0.23626349999999999</c:v>
                </c:pt>
                <c:pt idx="2">
                  <c:v>2.2341099999999999E-2</c:v>
                </c:pt>
                <c:pt idx="3">
                  <c:v>4.9660799999999998E-2</c:v>
                </c:pt>
                <c:pt idx="4">
                  <c:v>0.1008146</c:v>
                </c:pt>
                <c:pt idx="5">
                  <c:v>0.1308175</c:v>
                </c:pt>
                <c:pt idx="6">
                  <c:v>0.15088380000000001</c:v>
                </c:pt>
                <c:pt idx="7">
                  <c:v>0.16895180000000001</c:v>
                </c:pt>
                <c:pt idx="8">
                  <c:v>0.23930609999999999</c:v>
                </c:pt>
                <c:pt idx="9">
                  <c:v>0.30641010000000002</c:v>
                </c:pt>
                <c:pt idx="10">
                  <c:v>0.40603479999999997</c:v>
                </c:pt>
              </c:numCache>
            </c:numRef>
          </c:val>
          <c:extLst xmlns:c16r2="http://schemas.microsoft.com/office/drawing/2015/06/chart">
            <c:ext xmlns:c16="http://schemas.microsoft.com/office/drawing/2014/chart" uri="{C3380CC4-5D6E-409C-BE32-E72D297353CC}">
              <c16:uniqueId val="{00000000-5435-4DFE-A5D5-724290E2DA76}"/>
            </c:ext>
          </c:extLst>
        </c:ser>
        <c:dLbls>
          <c:showLegendKey val="0"/>
          <c:showVal val="0"/>
          <c:showCatName val="0"/>
          <c:showSerName val="0"/>
          <c:showPercent val="0"/>
          <c:showBubbleSize val="0"/>
        </c:dLbls>
        <c:gapWidth val="58"/>
        <c:axId val="573894616"/>
        <c:axId val="573895008"/>
      </c:barChart>
      <c:catAx>
        <c:axId val="573894616"/>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573895008"/>
        <c:crosses val="autoZero"/>
        <c:auto val="1"/>
        <c:lblAlgn val="ctr"/>
        <c:lblOffset val="100"/>
        <c:noMultiLvlLbl val="0"/>
      </c:catAx>
      <c:valAx>
        <c:axId val="573895008"/>
        <c:scaling>
          <c:orientation val="minMax"/>
        </c:scaling>
        <c:delete val="0"/>
        <c:axPos val="l"/>
        <c:majorGridlines>
          <c:spPr>
            <a:ln>
              <a:solidFill>
                <a:schemeClr val="bg1"/>
              </a:solidFill>
            </a:ln>
          </c:spPr>
        </c:majorGridlines>
        <c:title>
          <c:tx>
            <c:rich>
              <a:bodyPr rot="-5400000" vert="horz"/>
              <a:lstStyle/>
              <a:p>
                <a:pPr>
                  <a:defRPr/>
                </a:pPr>
                <a:r>
                  <a:rPr lang="en-US"/>
                  <a:t>% of firms</a:t>
                </a:r>
              </a:p>
            </c:rich>
          </c:tx>
          <c:overlay val="0"/>
        </c:title>
        <c:numFmt formatCode="0%" sourceLinked="0"/>
        <c:majorTickMark val="out"/>
        <c:minorTickMark val="none"/>
        <c:tickLblPos val="nextTo"/>
        <c:crossAx val="573894616"/>
        <c:crosses val="autoZero"/>
        <c:crossBetween val="between"/>
        <c:majorUnit val="0.1"/>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Corruption is a problem</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Small</c:v>
                </c:pt>
                <c:pt idx="1">
                  <c:v>Medium</c:v>
                </c:pt>
                <c:pt idx="2">
                  <c:v>Large</c:v>
                </c:pt>
              </c:strCache>
            </c:strRef>
          </c:cat>
          <c:val>
            <c:numRef>
              <c:f>Sheet1!$B$2:$B$4</c:f>
              <c:numCache>
                <c:formatCode>General</c:formatCode>
                <c:ptCount val="3"/>
                <c:pt idx="0">
                  <c:v>0.43510720000000003</c:v>
                </c:pt>
                <c:pt idx="1">
                  <c:v>0.5586198</c:v>
                </c:pt>
                <c:pt idx="2">
                  <c:v>0.31956980000000001</c:v>
                </c:pt>
              </c:numCache>
            </c:numRef>
          </c:val>
          <c:extLst xmlns:c16r2="http://schemas.microsoft.com/office/drawing/2015/06/chart">
            <c:ext xmlns:c16="http://schemas.microsoft.com/office/drawing/2014/chart" uri="{C3380CC4-5D6E-409C-BE32-E72D297353CC}">
              <c16:uniqueId val="{00000000-1D3C-447E-8490-477A0F7DA8AB}"/>
            </c:ext>
          </c:extLst>
        </c:ser>
        <c:ser>
          <c:idx val="1"/>
          <c:order val="1"/>
          <c:tx>
            <c:strRef>
              <c:f>Sheet1!$C$1</c:f>
              <c:strCache>
                <c:ptCount val="1"/>
                <c:pt idx="0">
                  <c:v>Firms need to pay bribes</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Small</c:v>
                </c:pt>
                <c:pt idx="1">
                  <c:v>Medium</c:v>
                </c:pt>
                <c:pt idx="2">
                  <c:v>Large</c:v>
                </c:pt>
              </c:strCache>
            </c:strRef>
          </c:cat>
          <c:val>
            <c:numRef>
              <c:f>Sheet1!$C$2:$C$4</c:f>
              <c:numCache>
                <c:formatCode>General</c:formatCode>
                <c:ptCount val="3"/>
                <c:pt idx="0">
                  <c:v>0.214503</c:v>
                </c:pt>
                <c:pt idx="1">
                  <c:v>0.2274351</c:v>
                </c:pt>
                <c:pt idx="2">
                  <c:v>0.66745069999999995</c:v>
                </c:pt>
              </c:numCache>
            </c:numRef>
          </c:val>
          <c:extLst xmlns:c16r2="http://schemas.microsoft.com/office/drawing/2015/06/chart">
            <c:ext xmlns:c16="http://schemas.microsoft.com/office/drawing/2014/chart" uri="{C3380CC4-5D6E-409C-BE32-E72D297353CC}">
              <c16:uniqueId val="{00000001-1D3C-447E-8490-477A0F7DA8AB}"/>
            </c:ext>
          </c:extLst>
        </c:ser>
        <c:dLbls>
          <c:showLegendKey val="0"/>
          <c:showVal val="0"/>
          <c:showCatName val="0"/>
          <c:showSerName val="0"/>
          <c:showPercent val="0"/>
          <c:showBubbleSize val="0"/>
        </c:dLbls>
        <c:gapWidth val="58"/>
        <c:axId val="573895792"/>
        <c:axId val="573896184"/>
      </c:barChart>
      <c:catAx>
        <c:axId val="573895792"/>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573896184"/>
        <c:crosses val="autoZero"/>
        <c:auto val="1"/>
        <c:lblAlgn val="ctr"/>
        <c:lblOffset val="100"/>
        <c:noMultiLvlLbl val="0"/>
      </c:catAx>
      <c:valAx>
        <c:axId val="573896184"/>
        <c:scaling>
          <c:orientation val="minMax"/>
        </c:scaling>
        <c:delete val="0"/>
        <c:axPos val="l"/>
        <c:majorGridlines>
          <c:spPr>
            <a:ln>
              <a:solidFill>
                <a:schemeClr val="bg1"/>
              </a:solidFill>
            </a:ln>
          </c:spPr>
        </c:majorGridlines>
        <c:title>
          <c:tx>
            <c:rich>
              <a:bodyPr rot="-5400000" vert="horz"/>
              <a:lstStyle/>
              <a:p>
                <a:pPr>
                  <a:defRPr/>
                </a:pPr>
                <a:r>
                  <a:rPr lang="en-US"/>
                  <a:t>% of firms</a:t>
                </a:r>
              </a:p>
            </c:rich>
          </c:tx>
          <c:layout>
            <c:manualLayout>
              <c:xMode val="edge"/>
              <c:yMode val="edge"/>
              <c:x val="1.4725108030697683E-2"/>
              <c:y val="0.28546277394338054"/>
            </c:manualLayout>
          </c:layout>
          <c:overlay val="0"/>
        </c:title>
        <c:numFmt formatCode="0%" sourceLinked="0"/>
        <c:majorTickMark val="out"/>
        <c:minorTickMark val="none"/>
        <c:tickLblPos val="nextTo"/>
        <c:crossAx val="573895792"/>
        <c:crosses val="autoZero"/>
        <c:crossBetween val="between"/>
        <c:majorUnit val="0.2"/>
      </c:valAx>
      <c:spPr>
        <a:solidFill>
          <a:schemeClr val="bg1">
            <a:lumMod val="95000"/>
          </a:schemeClr>
        </a:solidFill>
      </c:spPr>
    </c:plotArea>
    <c:legend>
      <c:legendPos val="r"/>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180490788166043E-2"/>
          <c:y val="5.1825677267373381E-2"/>
          <c:w val="0.88446262178392754"/>
          <c:h val="0.54744943101193622"/>
        </c:manualLayout>
      </c:layout>
      <c:barChart>
        <c:barDir val="col"/>
        <c:grouping val="clustered"/>
        <c:varyColors val="0"/>
        <c:ser>
          <c:idx val="0"/>
          <c:order val="0"/>
          <c:tx>
            <c:strRef>
              <c:f>Sheet1!$B$1</c:f>
              <c:strCache>
                <c:ptCount val="1"/>
                <c:pt idx="0">
                  <c:v>% with credit</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Nigeria</c:v>
                </c:pt>
                <c:pt idx="2">
                  <c:v>Angola</c:v>
                </c:pt>
                <c:pt idx="3">
                  <c:v>Cote d'Ivoire</c:v>
                </c:pt>
                <c:pt idx="4">
                  <c:v>Russia</c:v>
                </c:pt>
                <c:pt idx="5">
                  <c:v>Ghana</c:v>
                </c:pt>
                <c:pt idx="6">
                  <c:v>China</c:v>
                </c:pt>
                <c:pt idx="7">
                  <c:v>Ethiopia</c:v>
                </c:pt>
                <c:pt idx="8">
                  <c:v>Kenya</c:v>
                </c:pt>
                <c:pt idx="9">
                  <c:v>South Africa</c:v>
                </c:pt>
                <c:pt idx="10">
                  <c:v>Brazil</c:v>
                </c:pt>
              </c:strCache>
            </c:strRef>
          </c:cat>
          <c:val>
            <c:numRef>
              <c:f>Sheet1!$B$2:$B$12</c:f>
              <c:numCache>
                <c:formatCode>General</c:formatCode>
                <c:ptCount val="11"/>
                <c:pt idx="0" formatCode="0%">
                  <c:v>0.27832869999999998</c:v>
                </c:pt>
                <c:pt idx="2" formatCode="0%">
                  <c:v>0.14458099999999999</c:v>
                </c:pt>
                <c:pt idx="3" formatCode="0%">
                  <c:v>0.2191959</c:v>
                </c:pt>
                <c:pt idx="4" formatCode="0%">
                  <c:v>0.29216419999999999</c:v>
                </c:pt>
                <c:pt idx="5" formatCode="0%">
                  <c:v>0.34571220000000003</c:v>
                </c:pt>
                <c:pt idx="6" formatCode="0%">
                  <c:v>0.36205270000000001</c:v>
                </c:pt>
                <c:pt idx="7" formatCode="0%">
                  <c:v>0.36608390000000002</c:v>
                </c:pt>
                <c:pt idx="8" formatCode="0%">
                  <c:v>0.48037580000000002</c:v>
                </c:pt>
                <c:pt idx="9" formatCode="0%">
                  <c:v>0.60318839999999996</c:v>
                </c:pt>
                <c:pt idx="10" formatCode="0%">
                  <c:v>0.92377109999999996</c:v>
                </c:pt>
              </c:numCache>
            </c:numRef>
          </c:val>
          <c:extLst xmlns:c16r2="http://schemas.microsoft.com/office/drawing/2015/06/chart">
            <c:ext xmlns:c16="http://schemas.microsoft.com/office/drawing/2014/chart" uri="{C3380CC4-5D6E-409C-BE32-E72D297353CC}">
              <c16:uniqueId val="{00000000-3A14-484D-9B88-35317250D3B5}"/>
            </c:ext>
          </c:extLst>
        </c:ser>
        <c:ser>
          <c:idx val="1"/>
          <c:order val="1"/>
          <c:tx>
            <c:strRef>
              <c:f>Sheet1!$C$1</c:f>
              <c:strCache>
                <c:ptCount val="1"/>
                <c:pt idx="0">
                  <c:v>% that are not credit constrained</c:v>
                </c:pt>
              </c:strCache>
            </c:strRef>
          </c:tx>
          <c:invertIfNegative val="0"/>
          <c:dLbls>
            <c:dLbl>
              <c:idx val="7"/>
              <c:layout>
                <c:manualLayout>
                  <c:x val="6.9444444444443599E-3"/>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14-484D-9B88-35317250D3B5}"/>
                </c:ext>
                <c:ext xmlns:c15="http://schemas.microsoft.com/office/drawing/2012/chart" uri="{CE6537A1-D6FC-4f65-9D91-7224C49458BB}"/>
              </c:extLst>
            </c:dLbl>
            <c:dLbl>
              <c:idx val="8"/>
              <c:layout>
                <c:manualLayout>
                  <c:x val="2.3148148148146451E-3"/>
                  <c:y val="3.57142857142856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14-484D-9B88-35317250D3B5}"/>
                </c:ext>
                <c:ext xmlns:c15="http://schemas.microsoft.com/office/drawing/2012/chart" uri="{CE6537A1-D6FC-4f65-9D91-7224C49458BB}"/>
              </c:extLst>
            </c:dLbl>
            <c:dLbl>
              <c:idx val="9"/>
              <c:layout>
                <c:manualLayout>
                  <c:x val="1.294498381877022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14-484D-9B88-35317250D3B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Sheet1!$A$2:$A$12</c:f>
              <c:strCache>
                <c:ptCount val="11"/>
                <c:pt idx="0">
                  <c:v>Nigeria</c:v>
                </c:pt>
                <c:pt idx="2">
                  <c:v>Angola</c:v>
                </c:pt>
                <c:pt idx="3">
                  <c:v>Cote d'Ivoire</c:v>
                </c:pt>
                <c:pt idx="4">
                  <c:v>Russia</c:v>
                </c:pt>
                <c:pt idx="5">
                  <c:v>Ghana</c:v>
                </c:pt>
                <c:pt idx="6">
                  <c:v>China</c:v>
                </c:pt>
                <c:pt idx="7">
                  <c:v>Ethiopia</c:v>
                </c:pt>
                <c:pt idx="8">
                  <c:v>Kenya</c:v>
                </c:pt>
                <c:pt idx="9">
                  <c:v>South Africa</c:v>
                </c:pt>
                <c:pt idx="10">
                  <c:v>Brazil</c:v>
                </c:pt>
              </c:strCache>
            </c:strRef>
          </c:cat>
          <c:val>
            <c:numRef>
              <c:f>Sheet1!$C$2:$C$12</c:f>
              <c:numCache>
                <c:formatCode>General</c:formatCode>
                <c:ptCount val="11"/>
                <c:pt idx="0" formatCode="0%">
                  <c:v>0.45653369999999999</c:v>
                </c:pt>
                <c:pt idx="2" formatCode="0%">
                  <c:v>0.45581250000000001</c:v>
                </c:pt>
                <c:pt idx="3" formatCode="0%">
                  <c:v>0.1513854</c:v>
                </c:pt>
                <c:pt idx="4" formatCode="0%">
                  <c:v>0.42849510000000002</c:v>
                </c:pt>
                <c:pt idx="5" formatCode="0%">
                  <c:v>0.22265299999999999</c:v>
                </c:pt>
                <c:pt idx="6" formatCode="0%">
                  <c:v>0.4478549</c:v>
                </c:pt>
                <c:pt idx="7" formatCode="0%">
                  <c:v>0.35476770000000002</c:v>
                </c:pt>
                <c:pt idx="8" formatCode="0%">
                  <c:v>0.4750221</c:v>
                </c:pt>
                <c:pt idx="9" formatCode="0%">
                  <c:v>0.49852570000000002</c:v>
                </c:pt>
                <c:pt idx="10" formatCode="0%">
                  <c:v>0.41929369999999999</c:v>
                </c:pt>
              </c:numCache>
            </c:numRef>
          </c:val>
          <c:extLst xmlns:c16r2="http://schemas.microsoft.com/office/drawing/2015/06/chart">
            <c:ext xmlns:c16="http://schemas.microsoft.com/office/drawing/2014/chart" uri="{C3380CC4-5D6E-409C-BE32-E72D297353CC}">
              <c16:uniqueId val="{00000004-3A14-484D-9B88-35317250D3B5}"/>
            </c:ext>
          </c:extLst>
        </c:ser>
        <c:dLbls>
          <c:showLegendKey val="0"/>
          <c:showVal val="0"/>
          <c:showCatName val="0"/>
          <c:showSerName val="0"/>
          <c:showPercent val="0"/>
          <c:showBubbleSize val="0"/>
        </c:dLbls>
        <c:gapWidth val="150"/>
        <c:axId val="573896968"/>
        <c:axId val="573897360"/>
      </c:barChart>
      <c:catAx>
        <c:axId val="57389696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573897360"/>
        <c:crosses val="autoZero"/>
        <c:auto val="1"/>
        <c:lblAlgn val="ctr"/>
        <c:lblOffset val="100"/>
        <c:noMultiLvlLbl val="0"/>
      </c:catAx>
      <c:valAx>
        <c:axId val="573897360"/>
        <c:scaling>
          <c:orientation val="minMax"/>
        </c:scaling>
        <c:delete val="0"/>
        <c:axPos val="l"/>
        <c:majorGridlines>
          <c:spPr>
            <a:ln>
              <a:solidFill>
                <a:schemeClr val="bg1"/>
              </a:solidFill>
            </a:ln>
          </c:spPr>
        </c:majorGridlines>
        <c:title>
          <c:tx>
            <c:rich>
              <a:bodyPr rot="-5400000" vert="horz"/>
              <a:lstStyle/>
              <a:p>
                <a:pPr>
                  <a:defRPr/>
                </a:pPr>
                <a:r>
                  <a:rPr lang="en-US"/>
                  <a:t>% of firms</a:t>
                </a:r>
              </a:p>
            </c:rich>
          </c:tx>
          <c:overlay val="0"/>
        </c:title>
        <c:numFmt formatCode="0%" sourceLinked="0"/>
        <c:majorTickMark val="out"/>
        <c:minorTickMark val="none"/>
        <c:tickLblPos val="nextTo"/>
        <c:crossAx val="573896968"/>
        <c:crosses val="autoZero"/>
        <c:crossBetween val="between"/>
        <c:majorUnit val="0.2"/>
      </c:valAx>
      <c:spPr>
        <a:solidFill>
          <a:schemeClr val="bg1">
            <a:lumMod val="95000"/>
          </a:schemeClr>
        </a:solidFill>
      </c:spPr>
    </c:plotArea>
    <c:legend>
      <c:legendPos val="b"/>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998029372542025E-2"/>
          <c:y val="5.2308691095591851E-2"/>
          <c:w val="0.87628723594016766"/>
          <c:h val="0.60462980996633364"/>
        </c:manualLayout>
      </c:layout>
      <c:barChart>
        <c:barDir val="col"/>
        <c:grouping val="clustered"/>
        <c:varyColors val="0"/>
        <c:ser>
          <c:idx val="0"/>
          <c:order val="0"/>
          <c:tx>
            <c:strRef>
              <c:f>Sheet1!$B$1</c:f>
              <c:strCache>
                <c:ptCount val="1"/>
                <c:pt idx="0">
                  <c:v>Small</c:v>
                </c:pt>
              </c:strCache>
            </c:strRef>
          </c:tx>
          <c:invertIfNegative val="0"/>
          <c:dLbls>
            <c:dLbl>
              <c:idx val="2"/>
              <c:layout>
                <c:manualLayout>
                  <c:x val="-2.1574973031283671E-2"/>
                  <c:y val="4.97512437810945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00-4396-92AF-74DAC12DAD57}"/>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Nigeria</c:v>
                </c:pt>
                <c:pt idx="2">
                  <c:v>Cote d'Ivoire</c:v>
                </c:pt>
                <c:pt idx="3">
                  <c:v>Angola</c:v>
                </c:pt>
                <c:pt idx="4">
                  <c:v>Russia</c:v>
                </c:pt>
                <c:pt idx="5">
                  <c:v>Ghana</c:v>
                </c:pt>
                <c:pt idx="6">
                  <c:v>China</c:v>
                </c:pt>
                <c:pt idx="7">
                  <c:v>Kenya</c:v>
                </c:pt>
                <c:pt idx="8">
                  <c:v>Ethiopia</c:v>
                </c:pt>
                <c:pt idx="9">
                  <c:v>South Africa </c:v>
                </c:pt>
                <c:pt idx="10">
                  <c:v>Brazil</c:v>
                </c:pt>
              </c:strCache>
            </c:strRef>
          </c:cat>
          <c:val>
            <c:numRef>
              <c:f>Sheet1!$B$2:$B$12</c:f>
              <c:numCache>
                <c:formatCode>General</c:formatCode>
                <c:ptCount val="11"/>
                <c:pt idx="0" formatCode="0%">
                  <c:v>0.26377299999999998</c:v>
                </c:pt>
                <c:pt idx="2" formatCode="0%">
                  <c:v>0.21925140000000001</c:v>
                </c:pt>
                <c:pt idx="3" formatCode="0%">
                  <c:v>0.1196511</c:v>
                </c:pt>
                <c:pt idx="4" formatCode="0%">
                  <c:v>0.2686055</c:v>
                </c:pt>
                <c:pt idx="5" formatCode="0%">
                  <c:v>0.31266260000000001</c:v>
                </c:pt>
                <c:pt idx="6" formatCode="0%">
                  <c:v>0.32707380000000003</c:v>
                </c:pt>
                <c:pt idx="7" formatCode="0%">
                  <c:v>0.45181890000000002</c:v>
                </c:pt>
                <c:pt idx="8" formatCode="0%">
                  <c:v>0.31958419999999998</c:v>
                </c:pt>
                <c:pt idx="9" formatCode="0%">
                  <c:v>0.57570010000000005</c:v>
                </c:pt>
                <c:pt idx="10" formatCode="0%">
                  <c:v>0.91914609999999997</c:v>
                </c:pt>
              </c:numCache>
            </c:numRef>
          </c:val>
          <c:extLst xmlns:c16r2="http://schemas.microsoft.com/office/drawing/2015/06/chart">
            <c:ext xmlns:c16="http://schemas.microsoft.com/office/drawing/2014/chart" uri="{C3380CC4-5D6E-409C-BE32-E72D297353CC}">
              <c16:uniqueId val="{00000001-A300-4396-92AF-74DAC12DAD57}"/>
            </c:ext>
          </c:extLst>
        </c:ser>
        <c:ser>
          <c:idx val="1"/>
          <c:order val="1"/>
          <c:tx>
            <c:strRef>
              <c:f>Sheet1!$C$1</c:f>
              <c:strCache>
                <c:ptCount val="1"/>
                <c:pt idx="0">
                  <c:v>Large</c:v>
                </c:pt>
              </c:strCache>
            </c:strRef>
          </c:tx>
          <c:invertIfNegative val="0"/>
          <c:dLbls>
            <c:dLbl>
              <c:idx val="7"/>
              <c:layout>
                <c:manualLayout>
                  <c:x val="6.9444444444443599E-3"/>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300-4396-92AF-74DAC12DAD57}"/>
                </c:ext>
                <c:ext xmlns:c15="http://schemas.microsoft.com/office/drawing/2012/chart" uri="{CE6537A1-D6FC-4f65-9D91-7224C49458BB}"/>
              </c:extLst>
            </c:dLbl>
            <c:dLbl>
              <c:idx val="8"/>
              <c:layout>
                <c:manualLayout>
                  <c:x val="2.3148077364115891E-3"/>
                  <c:y val="2.07889685431112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300-4396-92AF-74DAC12DAD5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Sheet1!$A$2:$A$12</c:f>
              <c:strCache>
                <c:ptCount val="11"/>
                <c:pt idx="0">
                  <c:v>Nigeria</c:v>
                </c:pt>
                <c:pt idx="2">
                  <c:v>Cote d'Ivoire</c:v>
                </c:pt>
                <c:pt idx="3">
                  <c:v>Angola</c:v>
                </c:pt>
                <c:pt idx="4">
                  <c:v>Russia</c:v>
                </c:pt>
                <c:pt idx="5">
                  <c:v>Ghana</c:v>
                </c:pt>
                <c:pt idx="6">
                  <c:v>China</c:v>
                </c:pt>
                <c:pt idx="7">
                  <c:v>Kenya</c:v>
                </c:pt>
                <c:pt idx="8">
                  <c:v>Ethiopia</c:v>
                </c:pt>
                <c:pt idx="9">
                  <c:v>South Africa </c:v>
                </c:pt>
                <c:pt idx="10">
                  <c:v>Brazil</c:v>
                </c:pt>
              </c:strCache>
            </c:strRef>
          </c:cat>
          <c:val>
            <c:numRef>
              <c:f>Sheet1!$C$2:$C$12</c:f>
              <c:numCache>
                <c:formatCode>General</c:formatCode>
                <c:ptCount val="11"/>
                <c:pt idx="0" formatCode="0%">
                  <c:v>0.55406730000000004</c:v>
                </c:pt>
                <c:pt idx="2" formatCode="0%">
                  <c:v>0.21868670000000001</c:v>
                </c:pt>
                <c:pt idx="3" formatCode="0%">
                  <c:v>0.2264342</c:v>
                </c:pt>
                <c:pt idx="4" formatCode="0%">
                  <c:v>0.42108689999999999</c:v>
                </c:pt>
                <c:pt idx="5" formatCode="0%">
                  <c:v>0.52921510000000005</c:v>
                </c:pt>
                <c:pt idx="6" formatCode="0%">
                  <c:v>0.59712869999999996</c:v>
                </c:pt>
                <c:pt idx="7" formatCode="0%">
                  <c:v>0.60894320000000002</c:v>
                </c:pt>
                <c:pt idx="8" formatCode="0%">
                  <c:v>0.62773670000000004</c:v>
                </c:pt>
                <c:pt idx="9" formatCode="0%">
                  <c:v>0.81952700000000001</c:v>
                </c:pt>
                <c:pt idx="10" formatCode="0%">
                  <c:v>0.98091430000000002</c:v>
                </c:pt>
              </c:numCache>
            </c:numRef>
          </c:val>
          <c:extLst xmlns:c16r2="http://schemas.microsoft.com/office/drawing/2015/06/chart">
            <c:ext xmlns:c16="http://schemas.microsoft.com/office/drawing/2014/chart" uri="{C3380CC4-5D6E-409C-BE32-E72D297353CC}">
              <c16:uniqueId val="{00000004-A300-4396-92AF-74DAC12DAD57}"/>
            </c:ext>
          </c:extLst>
        </c:ser>
        <c:dLbls>
          <c:showLegendKey val="0"/>
          <c:showVal val="0"/>
          <c:showCatName val="0"/>
          <c:showSerName val="0"/>
          <c:showPercent val="0"/>
          <c:showBubbleSize val="0"/>
        </c:dLbls>
        <c:gapWidth val="150"/>
        <c:axId val="573898144"/>
        <c:axId val="573898536"/>
      </c:barChart>
      <c:catAx>
        <c:axId val="573898144"/>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573898536"/>
        <c:crosses val="autoZero"/>
        <c:auto val="1"/>
        <c:lblAlgn val="ctr"/>
        <c:lblOffset val="100"/>
        <c:noMultiLvlLbl val="0"/>
      </c:catAx>
      <c:valAx>
        <c:axId val="573898536"/>
        <c:scaling>
          <c:orientation val="minMax"/>
        </c:scaling>
        <c:delete val="0"/>
        <c:axPos val="l"/>
        <c:majorGridlines>
          <c:spPr>
            <a:ln>
              <a:solidFill>
                <a:schemeClr val="bg1"/>
              </a:solidFill>
            </a:ln>
          </c:spPr>
        </c:majorGridlines>
        <c:title>
          <c:tx>
            <c:rich>
              <a:bodyPr rot="-5400000" vert="horz"/>
              <a:lstStyle/>
              <a:p>
                <a:pPr>
                  <a:defRPr/>
                </a:pPr>
                <a:r>
                  <a:rPr lang="en-US"/>
                  <a:t>% of firms</a:t>
                </a:r>
              </a:p>
            </c:rich>
          </c:tx>
          <c:overlay val="0"/>
        </c:title>
        <c:numFmt formatCode="0%" sourceLinked="0"/>
        <c:majorTickMark val="out"/>
        <c:minorTickMark val="none"/>
        <c:tickLblPos val="nextTo"/>
        <c:crossAx val="573898144"/>
        <c:crosses val="autoZero"/>
        <c:crossBetween val="between"/>
      </c:valAx>
      <c:spPr>
        <a:solidFill>
          <a:schemeClr val="bg1">
            <a:lumMod val="95000"/>
          </a:schemeClr>
        </a:solidFill>
      </c:spPr>
    </c:plotArea>
    <c:legend>
      <c:legendPos val="b"/>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4777031758100608E-2"/>
          <c:y val="5.0749711649365627E-2"/>
          <c:w val="0.88121860381200301"/>
          <c:h val="0.6689521096113068"/>
        </c:manualLayout>
      </c:layout>
      <c:barChart>
        <c:barDir val="col"/>
        <c:grouping val="clustered"/>
        <c:varyColors val="0"/>
        <c:ser>
          <c:idx val="0"/>
          <c:order val="0"/>
          <c:tx>
            <c:strRef>
              <c:f>Sheet1!$B$1</c:f>
              <c:strCache>
                <c:ptCount val="1"/>
                <c:pt idx="0">
                  <c:v>Total tax rate (% profit)</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Nigeria</c:v>
                </c:pt>
                <c:pt idx="2">
                  <c:v>South Africa</c:v>
                </c:pt>
                <c:pt idx="3">
                  <c:v>Ethiopia</c:v>
                </c:pt>
                <c:pt idx="4">
                  <c:v>Ghana</c:v>
                </c:pt>
                <c:pt idx="5">
                  <c:v>Kenya</c:v>
                </c:pt>
                <c:pt idx="6">
                  <c:v>Russia</c:v>
                </c:pt>
                <c:pt idx="7">
                  <c:v>India</c:v>
                </c:pt>
                <c:pt idx="8">
                  <c:v>China</c:v>
                </c:pt>
                <c:pt idx="9">
                  <c:v>Brazil</c:v>
                </c:pt>
              </c:strCache>
            </c:strRef>
          </c:cat>
          <c:val>
            <c:numRef>
              <c:f>Sheet1!$B$2:$B$11</c:f>
              <c:numCache>
                <c:formatCode>General</c:formatCode>
                <c:ptCount val="10"/>
                <c:pt idx="0">
                  <c:v>32.700000000000003</c:v>
                </c:pt>
                <c:pt idx="2">
                  <c:v>28.8</c:v>
                </c:pt>
                <c:pt idx="3">
                  <c:v>31.8</c:v>
                </c:pt>
                <c:pt idx="4">
                  <c:v>33.299999999999997</c:v>
                </c:pt>
                <c:pt idx="5">
                  <c:v>38.1</c:v>
                </c:pt>
                <c:pt idx="6">
                  <c:v>48.9</c:v>
                </c:pt>
                <c:pt idx="7">
                  <c:v>61.7</c:v>
                </c:pt>
                <c:pt idx="8">
                  <c:v>64.599999999999994</c:v>
                </c:pt>
                <c:pt idx="9">
                  <c:v>69</c:v>
                </c:pt>
              </c:numCache>
            </c:numRef>
          </c:val>
          <c:extLst xmlns:c16r2="http://schemas.microsoft.com/office/drawing/2015/06/chart">
            <c:ext xmlns:c16="http://schemas.microsoft.com/office/drawing/2014/chart" uri="{C3380CC4-5D6E-409C-BE32-E72D297353CC}">
              <c16:uniqueId val="{00000000-2ACA-4583-ABE3-F10398ECBCF3}"/>
            </c:ext>
          </c:extLst>
        </c:ser>
        <c:dLbls>
          <c:showLegendKey val="0"/>
          <c:showVal val="0"/>
          <c:showCatName val="0"/>
          <c:showSerName val="0"/>
          <c:showPercent val="0"/>
          <c:showBubbleSize val="0"/>
        </c:dLbls>
        <c:gapWidth val="58"/>
        <c:axId val="573899320"/>
        <c:axId val="573899712"/>
      </c:barChart>
      <c:catAx>
        <c:axId val="573899320"/>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573899712"/>
        <c:crosses val="autoZero"/>
        <c:auto val="1"/>
        <c:lblAlgn val="ctr"/>
        <c:lblOffset val="100"/>
        <c:noMultiLvlLbl val="0"/>
      </c:catAx>
      <c:valAx>
        <c:axId val="573899712"/>
        <c:scaling>
          <c:orientation val="minMax"/>
        </c:scaling>
        <c:delete val="0"/>
        <c:axPos val="l"/>
        <c:majorGridlines>
          <c:spPr>
            <a:ln>
              <a:solidFill>
                <a:schemeClr val="bg1"/>
              </a:solidFill>
            </a:ln>
          </c:spPr>
        </c:majorGridlines>
        <c:title>
          <c:tx>
            <c:rich>
              <a:bodyPr rot="-5400000" vert="horz"/>
              <a:lstStyle/>
              <a:p>
                <a:pPr>
                  <a:defRPr/>
                </a:pPr>
                <a:r>
                  <a:rPr lang="en-US"/>
                  <a:t>% of profits</a:t>
                </a:r>
              </a:p>
            </c:rich>
          </c:tx>
          <c:overlay val="0"/>
        </c:title>
        <c:numFmt formatCode="General" sourceLinked="1"/>
        <c:majorTickMark val="out"/>
        <c:minorTickMark val="none"/>
        <c:tickLblPos val="nextTo"/>
        <c:crossAx val="573899320"/>
        <c:crosses val="autoZero"/>
        <c:crossBetween val="between"/>
        <c:majorUnit val="20"/>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2598650416222726"/>
          <c:y val="5.7155828494411171E-2"/>
          <c:w val="0.84981107559574853"/>
          <c:h val="0.61233170178052065"/>
        </c:manualLayout>
      </c:layout>
      <c:barChart>
        <c:barDir val="col"/>
        <c:grouping val="clustered"/>
        <c:varyColors val="0"/>
        <c:ser>
          <c:idx val="0"/>
          <c:order val="0"/>
          <c:tx>
            <c:strRef>
              <c:f>Sheet1!$B$1</c:f>
              <c:strCache>
                <c:ptCount val="1"/>
                <c:pt idx="0">
                  <c:v>Time (hours per year)</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Nigeria</c:v>
                </c:pt>
                <c:pt idx="2">
                  <c:v>Russia</c:v>
                </c:pt>
                <c:pt idx="3">
                  <c:v>South Africa</c:v>
                </c:pt>
                <c:pt idx="4">
                  <c:v>Kenya</c:v>
                </c:pt>
                <c:pt idx="5">
                  <c:v>Ghana</c:v>
                </c:pt>
                <c:pt idx="6">
                  <c:v>India</c:v>
                </c:pt>
                <c:pt idx="7">
                  <c:v>China</c:v>
                </c:pt>
                <c:pt idx="8">
                  <c:v>Ethiopia</c:v>
                </c:pt>
                <c:pt idx="9">
                  <c:v>Brazil</c:v>
                </c:pt>
              </c:strCache>
            </c:strRef>
          </c:cat>
          <c:val>
            <c:numRef>
              <c:f>Sheet1!$B$2:$B$11</c:f>
              <c:numCache>
                <c:formatCode>General</c:formatCode>
                <c:ptCount val="10"/>
                <c:pt idx="0">
                  <c:v>907.9</c:v>
                </c:pt>
                <c:pt idx="2">
                  <c:v>168</c:v>
                </c:pt>
                <c:pt idx="3">
                  <c:v>200</c:v>
                </c:pt>
                <c:pt idx="4">
                  <c:v>201.5</c:v>
                </c:pt>
                <c:pt idx="5">
                  <c:v>224</c:v>
                </c:pt>
                <c:pt idx="6">
                  <c:v>243</c:v>
                </c:pt>
                <c:pt idx="7">
                  <c:v>261</c:v>
                </c:pt>
                <c:pt idx="8">
                  <c:v>306</c:v>
                </c:pt>
                <c:pt idx="9">
                  <c:v>2600</c:v>
                </c:pt>
              </c:numCache>
            </c:numRef>
          </c:val>
          <c:extLst xmlns:c16r2="http://schemas.microsoft.com/office/drawing/2015/06/chart">
            <c:ext xmlns:c16="http://schemas.microsoft.com/office/drawing/2014/chart" uri="{C3380CC4-5D6E-409C-BE32-E72D297353CC}">
              <c16:uniqueId val="{00000000-2052-4535-B402-7EC377CF37E2}"/>
            </c:ext>
          </c:extLst>
        </c:ser>
        <c:dLbls>
          <c:showLegendKey val="0"/>
          <c:showVal val="0"/>
          <c:showCatName val="0"/>
          <c:showSerName val="0"/>
          <c:showPercent val="0"/>
          <c:showBubbleSize val="0"/>
        </c:dLbls>
        <c:gapWidth val="58"/>
        <c:axId val="573900496"/>
        <c:axId val="573900888"/>
      </c:barChart>
      <c:catAx>
        <c:axId val="573900496"/>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573900888"/>
        <c:crosses val="autoZero"/>
        <c:auto val="1"/>
        <c:lblAlgn val="ctr"/>
        <c:lblOffset val="100"/>
        <c:noMultiLvlLbl val="0"/>
      </c:catAx>
      <c:valAx>
        <c:axId val="573900888"/>
        <c:scaling>
          <c:orientation val="minMax"/>
        </c:scaling>
        <c:delete val="0"/>
        <c:axPos val="l"/>
        <c:majorGridlines>
          <c:spPr>
            <a:ln>
              <a:solidFill>
                <a:schemeClr val="bg1"/>
              </a:solidFill>
            </a:ln>
          </c:spPr>
        </c:majorGridlines>
        <c:title>
          <c:tx>
            <c:rich>
              <a:bodyPr rot="-5400000" vert="horz"/>
              <a:lstStyle/>
              <a:p>
                <a:pPr>
                  <a:defRPr/>
                </a:pPr>
                <a:r>
                  <a:rPr lang="en-US"/>
                  <a:t>hours</a:t>
                </a:r>
              </a:p>
            </c:rich>
          </c:tx>
          <c:layout>
            <c:manualLayout>
              <c:xMode val="edge"/>
              <c:yMode val="edge"/>
              <c:x val="1.5275590551181103E-2"/>
              <c:y val="0.31514860274818596"/>
            </c:manualLayout>
          </c:layout>
          <c:overlay val="0"/>
        </c:title>
        <c:numFmt formatCode="General" sourceLinked="1"/>
        <c:majorTickMark val="out"/>
        <c:minorTickMark val="none"/>
        <c:tickLblPos val="nextTo"/>
        <c:crossAx val="573900496"/>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68617958288954"/>
          <c:y val="5.1400554097404488E-2"/>
          <c:w val="0.61405775241161664"/>
          <c:h val="0.55882884502450891"/>
        </c:manualLayout>
      </c:layout>
      <c:barChart>
        <c:barDir val="col"/>
        <c:grouping val="stacked"/>
        <c:varyColors val="0"/>
        <c:ser>
          <c:idx val="0"/>
          <c:order val="0"/>
          <c:tx>
            <c:strRef>
              <c:f>[DB2014.xlsx]Graphs!$B$36</c:f>
              <c:strCache>
                <c:ptCount val="1"/>
                <c:pt idx="0">
                  <c:v>Documents preparation</c:v>
                </c:pt>
              </c:strCache>
            </c:strRef>
          </c:tx>
          <c:spPr>
            <a:ln>
              <a:solidFill>
                <a:schemeClr val="bg1"/>
              </a:solidFill>
            </a:ln>
          </c:spPr>
          <c:invertIfNegative val="0"/>
          <c:cat>
            <c:strRef>
              <c:f>[DB2014.xlsx]Graphs!$A$37:$A$47</c:f>
              <c:strCache>
                <c:ptCount val="11"/>
                <c:pt idx="1">
                  <c:v>China</c:v>
                </c:pt>
                <c:pt idx="2">
                  <c:v>Ghana</c:v>
                </c:pt>
                <c:pt idx="3">
                  <c:v>India</c:v>
                </c:pt>
                <c:pt idx="4">
                  <c:v>Nigeria - Lagos</c:v>
                </c:pt>
                <c:pt idx="5">
                  <c:v>South Africa</c:v>
                </c:pt>
                <c:pt idx="6">
                  <c:v>Nigeria - Kano</c:v>
                </c:pt>
                <c:pt idx="7">
                  <c:v>Ethiopia</c:v>
                </c:pt>
                <c:pt idx="8">
                  <c:v>Kenya</c:v>
                </c:pt>
                <c:pt idx="9">
                  <c:v>Russia</c:v>
                </c:pt>
                <c:pt idx="10">
                  <c:v>Brazil</c:v>
                </c:pt>
              </c:strCache>
            </c:strRef>
          </c:cat>
          <c:val>
            <c:numRef>
              <c:f>[DB2014.xlsx]Graphs!$B$37:$B$47</c:f>
              <c:numCache>
                <c:formatCode>General</c:formatCode>
                <c:ptCount val="11"/>
                <c:pt idx="1">
                  <c:v>305</c:v>
                </c:pt>
                <c:pt idx="2">
                  <c:v>125</c:v>
                </c:pt>
                <c:pt idx="3">
                  <c:v>365</c:v>
                </c:pt>
                <c:pt idx="4">
                  <c:v>280</c:v>
                </c:pt>
                <c:pt idx="5">
                  <c:v>355</c:v>
                </c:pt>
                <c:pt idx="6">
                  <c:v>280</c:v>
                </c:pt>
                <c:pt idx="7">
                  <c:v>520</c:v>
                </c:pt>
                <c:pt idx="8">
                  <c:v>305</c:v>
                </c:pt>
                <c:pt idx="9">
                  <c:v>290</c:v>
                </c:pt>
                <c:pt idx="10">
                  <c:v>325</c:v>
                </c:pt>
              </c:numCache>
            </c:numRef>
          </c:val>
          <c:extLst xmlns:c16r2="http://schemas.microsoft.com/office/drawing/2015/06/chart">
            <c:ext xmlns:c16="http://schemas.microsoft.com/office/drawing/2014/chart" uri="{C3380CC4-5D6E-409C-BE32-E72D297353CC}">
              <c16:uniqueId val="{00000000-7BEC-4A2F-9482-3E810E4E832A}"/>
            </c:ext>
          </c:extLst>
        </c:ser>
        <c:ser>
          <c:idx val="1"/>
          <c:order val="1"/>
          <c:tx>
            <c:strRef>
              <c:f>[DB2014.xlsx]Graphs!$C$36</c:f>
              <c:strCache>
                <c:ptCount val="1"/>
                <c:pt idx="0">
                  <c:v>Customs clearance and technical controls</c:v>
                </c:pt>
              </c:strCache>
            </c:strRef>
          </c:tx>
          <c:spPr>
            <a:solidFill>
              <a:srgbClr val="DF531B"/>
            </a:solidFill>
            <a:ln>
              <a:solidFill>
                <a:schemeClr val="bg1"/>
              </a:solidFill>
            </a:ln>
          </c:spPr>
          <c:invertIfNegative val="0"/>
          <c:cat>
            <c:strRef>
              <c:f>[DB2014.xlsx]Graphs!$A$37:$A$47</c:f>
              <c:strCache>
                <c:ptCount val="11"/>
                <c:pt idx="1">
                  <c:v>China</c:v>
                </c:pt>
                <c:pt idx="2">
                  <c:v>Ghana</c:v>
                </c:pt>
                <c:pt idx="3">
                  <c:v>India</c:v>
                </c:pt>
                <c:pt idx="4">
                  <c:v>Nigeria - Lagos</c:v>
                </c:pt>
                <c:pt idx="5">
                  <c:v>South Africa</c:v>
                </c:pt>
                <c:pt idx="6">
                  <c:v>Nigeria - Kano</c:v>
                </c:pt>
                <c:pt idx="7">
                  <c:v>Ethiopia</c:v>
                </c:pt>
                <c:pt idx="8">
                  <c:v>Kenya</c:v>
                </c:pt>
                <c:pt idx="9">
                  <c:v>Russia</c:v>
                </c:pt>
                <c:pt idx="10">
                  <c:v>Brazil</c:v>
                </c:pt>
              </c:strCache>
            </c:strRef>
          </c:cat>
          <c:val>
            <c:numRef>
              <c:f>[DB2014.xlsx]Graphs!$C$37:$C$47</c:f>
              <c:numCache>
                <c:formatCode>#,##0</c:formatCode>
                <c:ptCount val="11"/>
                <c:pt idx="1">
                  <c:v>80</c:v>
                </c:pt>
                <c:pt idx="2">
                  <c:v>150</c:v>
                </c:pt>
                <c:pt idx="3">
                  <c:v>130</c:v>
                </c:pt>
                <c:pt idx="4">
                  <c:v>350</c:v>
                </c:pt>
                <c:pt idx="5">
                  <c:v>65</c:v>
                </c:pt>
                <c:pt idx="6">
                  <c:v>350</c:v>
                </c:pt>
                <c:pt idx="7">
                  <c:v>290</c:v>
                </c:pt>
                <c:pt idx="8">
                  <c:v>375</c:v>
                </c:pt>
                <c:pt idx="9">
                  <c:v>550</c:v>
                </c:pt>
                <c:pt idx="10">
                  <c:v>400</c:v>
                </c:pt>
              </c:numCache>
            </c:numRef>
          </c:val>
          <c:extLst xmlns:c16r2="http://schemas.microsoft.com/office/drawing/2015/06/chart">
            <c:ext xmlns:c16="http://schemas.microsoft.com/office/drawing/2014/chart" uri="{C3380CC4-5D6E-409C-BE32-E72D297353CC}">
              <c16:uniqueId val="{00000001-7BEC-4A2F-9482-3E810E4E832A}"/>
            </c:ext>
          </c:extLst>
        </c:ser>
        <c:ser>
          <c:idx val="2"/>
          <c:order val="2"/>
          <c:tx>
            <c:strRef>
              <c:f>[DB2014.xlsx]Graphs!$D$36</c:f>
              <c:strCache>
                <c:ptCount val="1"/>
                <c:pt idx="0">
                  <c:v>Ports and terminal handling</c:v>
                </c:pt>
              </c:strCache>
            </c:strRef>
          </c:tx>
          <c:spPr>
            <a:solidFill>
              <a:schemeClr val="bg2">
                <a:lumMod val="75000"/>
              </a:schemeClr>
            </a:solidFill>
            <a:ln>
              <a:solidFill>
                <a:schemeClr val="bg1"/>
              </a:solidFill>
            </a:ln>
          </c:spPr>
          <c:invertIfNegative val="0"/>
          <c:cat>
            <c:strRef>
              <c:f>[DB2014.xlsx]Graphs!$A$37:$A$47</c:f>
              <c:strCache>
                <c:ptCount val="11"/>
                <c:pt idx="1">
                  <c:v>China</c:v>
                </c:pt>
                <c:pt idx="2">
                  <c:v>Ghana</c:v>
                </c:pt>
                <c:pt idx="3">
                  <c:v>India</c:v>
                </c:pt>
                <c:pt idx="4">
                  <c:v>Nigeria - Lagos</c:v>
                </c:pt>
                <c:pt idx="5">
                  <c:v>South Africa</c:v>
                </c:pt>
                <c:pt idx="6">
                  <c:v>Nigeria - Kano</c:v>
                </c:pt>
                <c:pt idx="7">
                  <c:v>Ethiopia</c:v>
                </c:pt>
                <c:pt idx="8">
                  <c:v>Kenya</c:v>
                </c:pt>
                <c:pt idx="9">
                  <c:v>Russia</c:v>
                </c:pt>
                <c:pt idx="10">
                  <c:v>Brazil</c:v>
                </c:pt>
              </c:strCache>
            </c:strRef>
          </c:cat>
          <c:val>
            <c:numRef>
              <c:f>[DB2014.xlsx]Graphs!$D$37:$D$47</c:f>
              <c:numCache>
                <c:formatCode>General</c:formatCode>
                <c:ptCount val="11"/>
                <c:pt idx="1">
                  <c:v>140</c:v>
                </c:pt>
                <c:pt idx="2">
                  <c:v>100</c:v>
                </c:pt>
                <c:pt idx="3">
                  <c:v>225</c:v>
                </c:pt>
                <c:pt idx="4">
                  <c:v>450</c:v>
                </c:pt>
                <c:pt idx="5">
                  <c:v>285</c:v>
                </c:pt>
                <c:pt idx="6">
                  <c:v>450</c:v>
                </c:pt>
                <c:pt idx="7">
                  <c:v>270</c:v>
                </c:pt>
                <c:pt idx="8">
                  <c:v>375</c:v>
                </c:pt>
                <c:pt idx="9">
                  <c:v>480</c:v>
                </c:pt>
                <c:pt idx="10">
                  <c:v>500</c:v>
                </c:pt>
              </c:numCache>
            </c:numRef>
          </c:val>
          <c:extLst xmlns:c16r2="http://schemas.microsoft.com/office/drawing/2015/06/chart">
            <c:ext xmlns:c16="http://schemas.microsoft.com/office/drawing/2014/chart" uri="{C3380CC4-5D6E-409C-BE32-E72D297353CC}">
              <c16:uniqueId val="{00000002-7BEC-4A2F-9482-3E810E4E832A}"/>
            </c:ext>
          </c:extLst>
        </c:ser>
        <c:ser>
          <c:idx val="3"/>
          <c:order val="3"/>
          <c:tx>
            <c:strRef>
              <c:f>[DB2014.xlsx]Graphs!$E$36</c:f>
              <c:strCache>
                <c:ptCount val="1"/>
                <c:pt idx="0">
                  <c:v>Inland transportation and handling</c:v>
                </c:pt>
              </c:strCache>
            </c:strRef>
          </c:tx>
          <c:spPr>
            <a:solidFill>
              <a:srgbClr val="FFC000"/>
            </a:solidFill>
            <a:ln>
              <a:solidFill>
                <a:schemeClr val="bg1"/>
              </a:solidFill>
            </a:ln>
          </c:spPr>
          <c:invertIfNegative val="0"/>
          <c:cat>
            <c:strRef>
              <c:f>[DB2014.xlsx]Graphs!$A$37:$A$47</c:f>
              <c:strCache>
                <c:ptCount val="11"/>
                <c:pt idx="1">
                  <c:v>China</c:v>
                </c:pt>
                <c:pt idx="2">
                  <c:v>Ghana</c:v>
                </c:pt>
                <c:pt idx="3">
                  <c:v>India</c:v>
                </c:pt>
                <c:pt idx="4">
                  <c:v>Nigeria - Lagos</c:v>
                </c:pt>
                <c:pt idx="5">
                  <c:v>South Africa</c:v>
                </c:pt>
                <c:pt idx="6">
                  <c:v>Nigeria - Kano</c:v>
                </c:pt>
                <c:pt idx="7">
                  <c:v>Ethiopia</c:v>
                </c:pt>
                <c:pt idx="8">
                  <c:v>Kenya</c:v>
                </c:pt>
                <c:pt idx="9">
                  <c:v>Russia</c:v>
                </c:pt>
                <c:pt idx="10">
                  <c:v>Brazil</c:v>
                </c:pt>
              </c:strCache>
            </c:strRef>
          </c:cat>
          <c:val>
            <c:numRef>
              <c:f>[DB2014.xlsx]Graphs!$E$37:$E$47</c:f>
              <c:numCache>
                <c:formatCode>General</c:formatCode>
                <c:ptCount val="11"/>
                <c:pt idx="1">
                  <c:v>95</c:v>
                </c:pt>
                <c:pt idx="2">
                  <c:v>500</c:v>
                </c:pt>
                <c:pt idx="3">
                  <c:v>400</c:v>
                </c:pt>
                <c:pt idx="4">
                  <c:v>300</c:v>
                </c:pt>
                <c:pt idx="5">
                  <c:v>1000</c:v>
                </c:pt>
                <c:pt idx="6">
                  <c:v>1100</c:v>
                </c:pt>
                <c:pt idx="7">
                  <c:v>1100</c:v>
                </c:pt>
                <c:pt idx="8">
                  <c:v>1200</c:v>
                </c:pt>
                <c:pt idx="9">
                  <c:v>1385</c:v>
                </c:pt>
                <c:pt idx="10">
                  <c:v>1720</c:v>
                </c:pt>
              </c:numCache>
            </c:numRef>
          </c:val>
          <c:extLst xmlns:c16r2="http://schemas.microsoft.com/office/drawing/2015/06/chart">
            <c:ext xmlns:c16="http://schemas.microsoft.com/office/drawing/2014/chart" uri="{C3380CC4-5D6E-409C-BE32-E72D297353CC}">
              <c16:uniqueId val="{00000003-7BEC-4A2F-9482-3E810E4E832A}"/>
            </c:ext>
          </c:extLst>
        </c:ser>
        <c:dLbls>
          <c:showLegendKey val="0"/>
          <c:showVal val="0"/>
          <c:showCatName val="0"/>
          <c:showSerName val="0"/>
          <c:showPercent val="0"/>
          <c:showBubbleSize val="0"/>
        </c:dLbls>
        <c:gapWidth val="55"/>
        <c:overlap val="100"/>
        <c:axId val="573901672"/>
        <c:axId val="573902064"/>
      </c:barChart>
      <c:catAx>
        <c:axId val="573901672"/>
        <c:scaling>
          <c:orientation val="minMax"/>
        </c:scaling>
        <c:delete val="0"/>
        <c:axPos val="b"/>
        <c:numFmt formatCode="General" sourceLinked="0"/>
        <c:majorTickMark val="out"/>
        <c:minorTickMark val="none"/>
        <c:tickLblPos val="nextTo"/>
        <c:crossAx val="573902064"/>
        <c:crosses val="autoZero"/>
        <c:auto val="1"/>
        <c:lblAlgn val="ctr"/>
        <c:lblOffset val="100"/>
        <c:noMultiLvlLbl val="0"/>
      </c:catAx>
      <c:valAx>
        <c:axId val="573902064"/>
        <c:scaling>
          <c:orientation val="minMax"/>
        </c:scaling>
        <c:delete val="0"/>
        <c:axPos val="l"/>
        <c:majorGridlines>
          <c:spPr>
            <a:ln>
              <a:solidFill>
                <a:schemeClr val="bg1"/>
              </a:solidFill>
            </a:ln>
          </c:spPr>
        </c:majorGridlines>
        <c:title>
          <c:tx>
            <c:rich>
              <a:bodyPr rot="-5400000" vert="horz"/>
              <a:lstStyle/>
              <a:p>
                <a:pPr>
                  <a:defRPr/>
                </a:pPr>
                <a:r>
                  <a:rPr lang="en-US"/>
                  <a:t>USD per container</a:t>
                </a:r>
              </a:p>
            </c:rich>
          </c:tx>
          <c:overlay val="0"/>
        </c:title>
        <c:numFmt formatCode="General" sourceLinked="1"/>
        <c:majorTickMark val="out"/>
        <c:minorTickMark val="none"/>
        <c:tickLblPos val="nextTo"/>
        <c:crossAx val="573901672"/>
        <c:crosses val="autoZero"/>
        <c:crossBetween val="between"/>
      </c:valAx>
      <c:spPr>
        <a:solidFill>
          <a:srgbClr val="F4F3EC"/>
        </a:solidFill>
      </c:spPr>
    </c:plotArea>
    <c:legend>
      <c:legendPos val="r"/>
      <c:layout>
        <c:manualLayout>
          <c:xMode val="edge"/>
          <c:yMode val="edge"/>
          <c:x val="0.73630436823789913"/>
          <c:y val="5.4020163723968902E-2"/>
          <c:w val="0.24534231432283024"/>
          <c:h val="0.9009019762940591"/>
        </c:manualLayout>
      </c:layout>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41265675123926E-2"/>
          <c:y val="5.2351268591426081E-2"/>
          <c:w val="0.89799577136191311"/>
          <c:h val="0.58228528725575968"/>
        </c:manualLayout>
      </c:layout>
      <c:barChart>
        <c:barDir val="col"/>
        <c:grouping val="clustered"/>
        <c:varyColors val="0"/>
        <c:ser>
          <c:idx val="0"/>
          <c:order val="0"/>
          <c:tx>
            <c:strRef>
              <c:f>Sheet1!$B$1</c:f>
              <c:strCache>
                <c:ptCount val="1"/>
                <c:pt idx="0">
                  <c:v>Nigeria</c:v>
                </c:pt>
              </c:strCache>
            </c:strRef>
          </c:tx>
          <c:spPr>
            <a:solidFill>
              <a:schemeClr val="accent6"/>
            </a:solidFill>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Sheet1!$A$2:$A$17</c:f>
              <c:strCache>
                <c:ptCount val="16"/>
                <c:pt idx="0">
                  <c:v>Electricity</c:v>
                </c:pt>
                <c:pt idx="1">
                  <c:v>Corruption</c:v>
                </c:pt>
                <c:pt idx="2">
                  <c:v>Access to finance</c:v>
                </c:pt>
                <c:pt idx="3">
                  <c:v>Political instability</c:v>
                </c:pt>
                <c:pt idx="4">
                  <c:v>Tax Rates</c:v>
                </c:pt>
                <c:pt idx="5">
                  <c:v>Informal firms</c:v>
                </c:pt>
                <c:pt idx="6">
                  <c:v>Access to Land</c:v>
                </c:pt>
                <c:pt idx="7">
                  <c:v>Transportation</c:v>
                </c:pt>
                <c:pt idx="8">
                  <c:v>Tax Administration</c:v>
                </c:pt>
                <c:pt idx="9">
                  <c:v>Trade regulation</c:v>
                </c:pt>
                <c:pt idx="10">
                  <c:v>Business permits</c:v>
                </c:pt>
                <c:pt idx="11">
                  <c:v>Crime and disorder</c:v>
                </c:pt>
                <c:pt idx="12">
                  <c:v>Worker education</c:v>
                </c:pt>
                <c:pt idx="13">
                  <c:v>Courts</c:v>
                </c:pt>
                <c:pt idx="14">
                  <c:v>Telecommunications</c:v>
                </c:pt>
                <c:pt idx="15">
                  <c:v>Labor Regulation</c:v>
                </c:pt>
              </c:strCache>
            </c:strRef>
          </c:cat>
          <c:val>
            <c:numRef>
              <c:f>Sheet1!$B$2:$B$17</c:f>
              <c:numCache>
                <c:formatCode>General</c:formatCode>
                <c:ptCount val="16"/>
                <c:pt idx="0">
                  <c:v>0.48392039999999997</c:v>
                </c:pt>
                <c:pt idx="1">
                  <c:v>0.44803979999999999</c:v>
                </c:pt>
                <c:pt idx="2">
                  <c:v>0.33092260000000001</c:v>
                </c:pt>
                <c:pt idx="3">
                  <c:v>0.22137560000000001</c:v>
                </c:pt>
                <c:pt idx="4">
                  <c:v>0.18489420000000001</c:v>
                </c:pt>
                <c:pt idx="5">
                  <c:v>0.18350910000000001</c:v>
                </c:pt>
                <c:pt idx="6">
                  <c:v>0.1772638</c:v>
                </c:pt>
                <c:pt idx="7">
                  <c:v>0.1706046</c:v>
                </c:pt>
                <c:pt idx="8">
                  <c:v>0.14147979999999999</c:v>
                </c:pt>
                <c:pt idx="9">
                  <c:v>0.14109179999999999</c:v>
                </c:pt>
                <c:pt idx="10">
                  <c:v>9.3351699999999996E-2</c:v>
                </c:pt>
                <c:pt idx="11">
                  <c:v>7.0122799999999999E-2</c:v>
                </c:pt>
                <c:pt idx="12">
                  <c:v>5.6904799999999998E-2</c:v>
                </c:pt>
                <c:pt idx="13">
                  <c:v>4.0386699999999998E-2</c:v>
                </c:pt>
                <c:pt idx="14">
                  <c:v>3.6636599999999998E-2</c:v>
                </c:pt>
                <c:pt idx="15">
                  <c:v>3.3738999999999998E-2</c:v>
                </c:pt>
              </c:numCache>
            </c:numRef>
          </c:val>
          <c:extLst xmlns:c16r2="http://schemas.microsoft.com/office/drawing/2015/06/chart">
            <c:ext xmlns:c16="http://schemas.microsoft.com/office/drawing/2014/chart" uri="{C3380CC4-5D6E-409C-BE32-E72D297353CC}">
              <c16:uniqueId val="{00000000-5DB3-43CC-8D3B-F633DB3773EE}"/>
            </c:ext>
          </c:extLst>
        </c:ser>
        <c:dLbls>
          <c:showLegendKey val="0"/>
          <c:showVal val="0"/>
          <c:showCatName val="0"/>
          <c:showSerName val="0"/>
          <c:showPercent val="0"/>
          <c:showBubbleSize val="0"/>
        </c:dLbls>
        <c:gapWidth val="57"/>
        <c:axId val="384633904"/>
        <c:axId val="384634296"/>
      </c:barChart>
      <c:catAx>
        <c:axId val="384633904"/>
        <c:scaling>
          <c:orientation val="minMax"/>
        </c:scaling>
        <c:delete val="0"/>
        <c:axPos val="b"/>
        <c:numFmt formatCode="General" sourceLinked="0"/>
        <c:majorTickMark val="out"/>
        <c:minorTickMark val="none"/>
        <c:tickLblPos val="nextTo"/>
        <c:crossAx val="384634296"/>
        <c:crosses val="autoZero"/>
        <c:auto val="1"/>
        <c:lblAlgn val="ctr"/>
        <c:lblOffset val="100"/>
        <c:noMultiLvlLbl val="0"/>
      </c:catAx>
      <c:valAx>
        <c:axId val="384634296"/>
        <c:scaling>
          <c:orientation val="minMax"/>
          <c:max val="0.5"/>
        </c:scaling>
        <c:delete val="0"/>
        <c:axPos val="l"/>
        <c:majorGridlines>
          <c:spPr>
            <a:ln>
              <a:solidFill>
                <a:schemeClr val="bg1"/>
              </a:solidFill>
            </a:ln>
          </c:spPr>
        </c:majorGridlines>
        <c:numFmt formatCode="0%" sourceLinked="0"/>
        <c:majorTickMark val="out"/>
        <c:minorTickMark val="none"/>
        <c:tickLblPos val="nextTo"/>
        <c:crossAx val="384633904"/>
        <c:crosses val="autoZero"/>
        <c:crossBetween val="between"/>
        <c:majorUnit val="0.1"/>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68617958288954"/>
          <c:y val="5.1400554097404488E-2"/>
          <c:w val="0.61405775241161664"/>
          <c:h val="0.57913727151819028"/>
        </c:manualLayout>
      </c:layout>
      <c:barChart>
        <c:barDir val="col"/>
        <c:grouping val="stacked"/>
        <c:varyColors val="0"/>
        <c:ser>
          <c:idx val="0"/>
          <c:order val="0"/>
          <c:tx>
            <c:strRef>
              <c:f>[DB2014.xlsx]Graphs!$B$36</c:f>
              <c:strCache>
                <c:ptCount val="1"/>
                <c:pt idx="0">
                  <c:v>Documents preparation</c:v>
                </c:pt>
              </c:strCache>
            </c:strRef>
          </c:tx>
          <c:spPr>
            <a:ln>
              <a:solidFill>
                <a:schemeClr val="bg1"/>
              </a:solidFill>
            </a:ln>
          </c:spPr>
          <c:invertIfNegative val="0"/>
          <c:cat>
            <c:strRef>
              <c:f>[DB2014.xlsx]Graphs!$A$51:$A$61</c:f>
              <c:strCache>
                <c:ptCount val="11"/>
                <c:pt idx="1">
                  <c:v>China</c:v>
                </c:pt>
                <c:pt idx="2">
                  <c:v>India</c:v>
                </c:pt>
                <c:pt idx="3">
                  <c:v>Ghana</c:v>
                </c:pt>
                <c:pt idx="4">
                  <c:v>Nigeria - Lagos</c:v>
                </c:pt>
                <c:pt idx="5">
                  <c:v>South Africa</c:v>
                </c:pt>
                <c:pt idx="6">
                  <c:v>Kenya</c:v>
                </c:pt>
                <c:pt idx="7">
                  <c:v>Nigeria - Kano</c:v>
                </c:pt>
                <c:pt idx="8">
                  <c:v>Russia</c:v>
                </c:pt>
                <c:pt idx="9">
                  <c:v>Brazil</c:v>
                </c:pt>
                <c:pt idx="10">
                  <c:v>Ethiopia</c:v>
                </c:pt>
              </c:strCache>
            </c:strRef>
          </c:cat>
          <c:val>
            <c:numRef>
              <c:f>[DB2014.xlsx]Graphs!$B$51:$B$61</c:f>
              <c:numCache>
                <c:formatCode>General</c:formatCode>
                <c:ptCount val="11"/>
                <c:pt idx="1">
                  <c:v>260</c:v>
                </c:pt>
                <c:pt idx="2">
                  <c:v>400</c:v>
                </c:pt>
                <c:pt idx="3">
                  <c:v>310</c:v>
                </c:pt>
                <c:pt idx="4">
                  <c:v>330</c:v>
                </c:pt>
                <c:pt idx="5">
                  <c:v>405</c:v>
                </c:pt>
                <c:pt idx="6">
                  <c:v>250</c:v>
                </c:pt>
                <c:pt idx="7">
                  <c:v>330</c:v>
                </c:pt>
                <c:pt idx="8">
                  <c:v>335</c:v>
                </c:pt>
                <c:pt idx="9">
                  <c:v>275</c:v>
                </c:pt>
                <c:pt idx="10">
                  <c:v>700</c:v>
                </c:pt>
              </c:numCache>
            </c:numRef>
          </c:val>
          <c:extLst xmlns:c16r2="http://schemas.microsoft.com/office/drawing/2015/06/chart">
            <c:ext xmlns:c16="http://schemas.microsoft.com/office/drawing/2014/chart" uri="{C3380CC4-5D6E-409C-BE32-E72D297353CC}">
              <c16:uniqueId val="{00000000-D371-4EA1-AE72-61236B19E0B2}"/>
            </c:ext>
          </c:extLst>
        </c:ser>
        <c:ser>
          <c:idx val="1"/>
          <c:order val="1"/>
          <c:tx>
            <c:strRef>
              <c:f>[DB2014.xlsx]Graphs!$C$36</c:f>
              <c:strCache>
                <c:ptCount val="1"/>
                <c:pt idx="0">
                  <c:v>Customs clearance and technical controls</c:v>
                </c:pt>
              </c:strCache>
            </c:strRef>
          </c:tx>
          <c:spPr>
            <a:solidFill>
              <a:srgbClr val="DF531B"/>
            </a:solidFill>
            <a:ln>
              <a:solidFill>
                <a:schemeClr val="bg1"/>
              </a:solidFill>
            </a:ln>
          </c:spPr>
          <c:invertIfNegative val="0"/>
          <c:cat>
            <c:strRef>
              <c:f>[DB2014.xlsx]Graphs!$A$51:$A$61</c:f>
              <c:strCache>
                <c:ptCount val="11"/>
                <c:pt idx="1">
                  <c:v>China</c:v>
                </c:pt>
                <c:pt idx="2">
                  <c:v>India</c:v>
                </c:pt>
                <c:pt idx="3">
                  <c:v>Ghana</c:v>
                </c:pt>
                <c:pt idx="4">
                  <c:v>Nigeria - Lagos</c:v>
                </c:pt>
                <c:pt idx="5">
                  <c:v>South Africa</c:v>
                </c:pt>
                <c:pt idx="6">
                  <c:v>Kenya</c:v>
                </c:pt>
                <c:pt idx="7">
                  <c:v>Nigeria - Kano</c:v>
                </c:pt>
                <c:pt idx="8">
                  <c:v>Russia</c:v>
                </c:pt>
                <c:pt idx="9">
                  <c:v>Brazil</c:v>
                </c:pt>
                <c:pt idx="10">
                  <c:v>Ethiopia</c:v>
                </c:pt>
              </c:strCache>
            </c:strRef>
          </c:cat>
          <c:val>
            <c:numRef>
              <c:f>[DB2014.xlsx]Graphs!$C$51:$C$61</c:f>
              <c:numCache>
                <c:formatCode>#,##0</c:formatCode>
                <c:ptCount val="11"/>
                <c:pt idx="1">
                  <c:v>80</c:v>
                </c:pt>
                <c:pt idx="2">
                  <c:v>200</c:v>
                </c:pt>
                <c:pt idx="3">
                  <c:v>450</c:v>
                </c:pt>
                <c:pt idx="4">
                  <c:v>360</c:v>
                </c:pt>
                <c:pt idx="5">
                  <c:v>125</c:v>
                </c:pt>
                <c:pt idx="6">
                  <c:v>510</c:v>
                </c:pt>
                <c:pt idx="7">
                  <c:v>360</c:v>
                </c:pt>
                <c:pt idx="8">
                  <c:v>650</c:v>
                </c:pt>
                <c:pt idx="9">
                  <c:v>450</c:v>
                </c:pt>
                <c:pt idx="10">
                  <c:v>390</c:v>
                </c:pt>
              </c:numCache>
            </c:numRef>
          </c:val>
          <c:extLst xmlns:c16r2="http://schemas.microsoft.com/office/drawing/2015/06/chart">
            <c:ext xmlns:c16="http://schemas.microsoft.com/office/drawing/2014/chart" uri="{C3380CC4-5D6E-409C-BE32-E72D297353CC}">
              <c16:uniqueId val="{00000001-D371-4EA1-AE72-61236B19E0B2}"/>
            </c:ext>
          </c:extLst>
        </c:ser>
        <c:ser>
          <c:idx val="2"/>
          <c:order val="2"/>
          <c:tx>
            <c:strRef>
              <c:f>[DB2014.xlsx]Graphs!$D$36</c:f>
              <c:strCache>
                <c:ptCount val="1"/>
                <c:pt idx="0">
                  <c:v>Ports and terminal handling</c:v>
                </c:pt>
              </c:strCache>
            </c:strRef>
          </c:tx>
          <c:spPr>
            <a:solidFill>
              <a:schemeClr val="bg2">
                <a:lumMod val="75000"/>
              </a:schemeClr>
            </a:solidFill>
            <a:ln>
              <a:solidFill>
                <a:schemeClr val="bg1"/>
              </a:solidFill>
            </a:ln>
          </c:spPr>
          <c:invertIfNegative val="0"/>
          <c:cat>
            <c:strRef>
              <c:f>[DB2014.xlsx]Graphs!$A$51:$A$61</c:f>
              <c:strCache>
                <c:ptCount val="11"/>
                <c:pt idx="1">
                  <c:v>China</c:v>
                </c:pt>
                <c:pt idx="2">
                  <c:v>India</c:v>
                </c:pt>
                <c:pt idx="3">
                  <c:v>Ghana</c:v>
                </c:pt>
                <c:pt idx="4">
                  <c:v>Nigeria - Lagos</c:v>
                </c:pt>
                <c:pt idx="5">
                  <c:v>South Africa</c:v>
                </c:pt>
                <c:pt idx="6">
                  <c:v>Kenya</c:v>
                </c:pt>
                <c:pt idx="7">
                  <c:v>Nigeria - Kano</c:v>
                </c:pt>
                <c:pt idx="8">
                  <c:v>Russia</c:v>
                </c:pt>
                <c:pt idx="9">
                  <c:v>Brazil</c:v>
                </c:pt>
                <c:pt idx="10">
                  <c:v>Ethiopia</c:v>
                </c:pt>
              </c:strCache>
            </c:strRef>
          </c:cat>
          <c:val>
            <c:numRef>
              <c:f>[DB2014.xlsx]Graphs!$D$51:$D$61</c:f>
              <c:numCache>
                <c:formatCode>General</c:formatCode>
                <c:ptCount val="11"/>
                <c:pt idx="1">
                  <c:v>140</c:v>
                </c:pt>
                <c:pt idx="2">
                  <c:v>250</c:v>
                </c:pt>
                <c:pt idx="3">
                  <c:v>100</c:v>
                </c:pt>
                <c:pt idx="4">
                  <c:v>605</c:v>
                </c:pt>
                <c:pt idx="5">
                  <c:v>450</c:v>
                </c:pt>
                <c:pt idx="6">
                  <c:v>390</c:v>
                </c:pt>
                <c:pt idx="7">
                  <c:v>605</c:v>
                </c:pt>
                <c:pt idx="8">
                  <c:v>550</c:v>
                </c:pt>
                <c:pt idx="9">
                  <c:v>500</c:v>
                </c:pt>
                <c:pt idx="10">
                  <c:v>270</c:v>
                </c:pt>
              </c:numCache>
            </c:numRef>
          </c:val>
          <c:extLst xmlns:c16r2="http://schemas.microsoft.com/office/drawing/2015/06/chart">
            <c:ext xmlns:c16="http://schemas.microsoft.com/office/drawing/2014/chart" uri="{C3380CC4-5D6E-409C-BE32-E72D297353CC}">
              <c16:uniqueId val="{00000002-D371-4EA1-AE72-61236B19E0B2}"/>
            </c:ext>
          </c:extLst>
        </c:ser>
        <c:ser>
          <c:idx val="3"/>
          <c:order val="3"/>
          <c:tx>
            <c:strRef>
              <c:f>[DB2014.xlsx]Graphs!$E$36</c:f>
              <c:strCache>
                <c:ptCount val="1"/>
                <c:pt idx="0">
                  <c:v>Inland transportation and handling</c:v>
                </c:pt>
              </c:strCache>
            </c:strRef>
          </c:tx>
          <c:spPr>
            <a:solidFill>
              <a:srgbClr val="FFC000"/>
            </a:solidFill>
            <a:ln>
              <a:solidFill>
                <a:schemeClr val="bg1"/>
              </a:solidFill>
            </a:ln>
          </c:spPr>
          <c:invertIfNegative val="0"/>
          <c:cat>
            <c:strRef>
              <c:f>[DB2014.xlsx]Graphs!$A$51:$A$61</c:f>
              <c:strCache>
                <c:ptCount val="11"/>
                <c:pt idx="1">
                  <c:v>China</c:v>
                </c:pt>
                <c:pt idx="2">
                  <c:v>India</c:v>
                </c:pt>
                <c:pt idx="3">
                  <c:v>Ghana</c:v>
                </c:pt>
                <c:pt idx="4">
                  <c:v>Nigeria - Lagos</c:v>
                </c:pt>
                <c:pt idx="5">
                  <c:v>South Africa</c:v>
                </c:pt>
                <c:pt idx="6">
                  <c:v>Kenya</c:v>
                </c:pt>
                <c:pt idx="7">
                  <c:v>Nigeria - Kano</c:v>
                </c:pt>
                <c:pt idx="8">
                  <c:v>Russia</c:v>
                </c:pt>
                <c:pt idx="9">
                  <c:v>Brazil</c:v>
                </c:pt>
                <c:pt idx="10">
                  <c:v>Ethiopia</c:v>
                </c:pt>
              </c:strCache>
            </c:strRef>
          </c:cat>
          <c:val>
            <c:numRef>
              <c:f>[DB2014.xlsx]Graphs!$E$51:$E$61</c:f>
              <c:numCache>
                <c:formatCode>General</c:formatCode>
                <c:ptCount val="11"/>
                <c:pt idx="1">
                  <c:v>135</c:v>
                </c:pt>
                <c:pt idx="2">
                  <c:v>400</c:v>
                </c:pt>
                <c:pt idx="3">
                  <c:v>500</c:v>
                </c:pt>
                <c:pt idx="4">
                  <c:v>400</c:v>
                </c:pt>
                <c:pt idx="5">
                  <c:v>1100</c:v>
                </c:pt>
                <c:pt idx="6">
                  <c:v>1200</c:v>
                </c:pt>
                <c:pt idx="7">
                  <c:v>1550</c:v>
                </c:pt>
                <c:pt idx="8">
                  <c:v>1385</c:v>
                </c:pt>
                <c:pt idx="9">
                  <c:v>1720</c:v>
                </c:pt>
                <c:pt idx="10">
                  <c:v>1600</c:v>
                </c:pt>
              </c:numCache>
            </c:numRef>
          </c:val>
          <c:extLst xmlns:c16r2="http://schemas.microsoft.com/office/drawing/2015/06/chart">
            <c:ext xmlns:c16="http://schemas.microsoft.com/office/drawing/2014/chart" uri="{C3380CC4-5D6E-409C-BE32-E72D297353CC}">
              <c16:uniqueId val="{00000003-D371-4EA1-AE72-61236B19E0B2}"/>
            </c:ext>
          </c:extLst>
        </c:ser>
        <c:dLbls>
          <c:showLegendKey val="0"/>
          <c:showVal val="0"/>
          <c:showCatName val="0"/>
          <c:showSerName val="0"/>
          <c:showPercent val="0"/>
          <c:showBubbleSize val="0"/>
        </c:dLbls>
        <c:gapWidth val="55"/>
        <c:overlap val="100"/>
        <c:axId val="574312808"/>
        <c:axId val="574313200"/>
      </c:barChart>
      <c:catAx>
        <c:axId val="574312808"/>
        <c:scaling>
          <c:orientation val="minMax"/>
        </c:scaling>
        <c:delete val="0"/>
        <c:axPos val="b"/>
        <c:numFmt formatCode="General" sourceLinked="0"/>
        <c:majorTickMark val="out"/>
        <c:minorTickMark val="none"/>
        <c:tickLblPos val="nextTo"/>
        <c:crossAx val="574313200"/>
        <c:crosses val="autoZero"/>
        <c:auto val="1"/>
        <c:lblAlgn val="ctr"/>
        <c:lblOffset val="100"/>
        <c:noMultiLvlLbl val="0"/>
      </c:catAx>
      <c:valAx>
        <c:axId val="574313200"/>
        <c:scaling>
          <c:orientation val="minMax"/>
        </c:scaling>
        <c:delete val="0"/>
        <c:axPos val="l"/>
        <c:majorGridlines>
          <c:spPr>
            <a:ln>
              <a:solidFill>
                <a:schemeClr val="bg1"/>
              </a:solidFill>
            </a:ln>
          </c:spPr>
        </c:majorGridlines>
        <c:title>
          <c:tx>
            <c:rich>
              <a:bodyPr rot="-5400000" vert="horz"/>
              <a:lstStyle/>
              <a:p>
                <a:pPr>
                  <a:defRPr/>
                </a:pPr>
                <a:r>
                  <a:rPr lang="en-US"/>
                  <a:t>USD per container</a:t>
                </a:r>
              </a:p>
            </c:rich>
          </c:tx>
          <c:overlay val="0"/>
        </c:title>
        <c:numFmt formatCode="General" sourceLinked="1"/>
        <c:majorTickMark val="out"/>
        <c:minorTickMark val="none"/>
        <c:tickLblPos val="nextTo"/>
        <c:crossAx val="574312808"/>
        <c:crosses val="autoZero"/>
        <c:crossBetween val="between"/>
      </c:valAx>
      <c:spPr>
        <a:solidFill>
          <a:srgbClr val="F4F3EC"/>
        </a:solidFill>
      </c:spPr>
    </c:plotArea>
    <c:legend>
      <c:legendPos val="r"/>
      <c:layout>
        <c:manualLayout>
          <c:xMode val="edge"/>
          <c:yMode val="edge"/>
          <c:x val="0.73630436823789913"/>
          <c:y val="5.4020163723968902E-2"/>
          <c:w val="0.24534231432283024"/>
          <c:h val="0.91045749326177272"/>
        </c:manualLayout>
      </c:layout>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TFP-Median</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Nigeria</c:v>
                </c:pt>
                <c:pt idx="2">
                  <c:v>Ethiopia 2011</c:v>
                </c:pt>
                <c:pt idx="3">
                  <c:v>Cote d'Ivoire</c:v>
                </c:pt>
                <c:pt idx="4">
                  <c:v>Ghana 2012-14</c:v>
                </c:pt>
                <c:pt idx="5">
                  <c:v>India 2014</c:v>
                </c:pt>
                <c:pt idx="6">
                  <c:v>Kenya 2013</c:v>
                </c:pt>
                <c:pt idx="7">
                  <c:v>Russia 2012</c:v>
                </c:pt>
                <c:pt idx="8">
                  <c:v>China</c:v>
                </c:pt>
                <c:pt idx="9">
                  <c:v>Brazil</c:v>
                </c:pt>
                <c:pt idx="10">
                  <c:v>South Africa 2007-08</c:v>
                </c:pt>
              </c:strCache>
            </c:strRef>
          </c:cat>
          <c:val>
            <c:numRef>
              <c:f>Sheet1!$B$2:$B$12</c:f>
              <c:numCache>
                <c:formatCode>General</c:formatCode>
                <c:ptCount val="11"/>
                <c:pt idx="0">
                  <c:v>1</c:v>
                </c:pt>
                <c:pt idx="2">
                  <c:v>2.2773215645191884</c:v>
                </c:pt>
                <c:pt idx="3">
                  <c:v>2.7483479892901554</c:v>
                </c:pt>
                <c:pt idx="4">
                  <c:v>2.921216093625068</c:v>
                </c:pt>
                <c:pt idx="5">
                  <c:v>3.7621853549999105</c:v>
                </c:pt>
                <c:pt idx="6">
                  <c:v>5.227849457923889</c:v>
                </c:pt>
                <c:pt idx="7">
                  <c:v>5.6519465050776283</c:v>
                </c:pt>
                <c:pt idx="8">
                  <c:v>7.1706764883466132</c:v>
                </c:pt>
                <c:pt idx="9">
                  <c:v>9.7181959558859159</c:v>
                </c:pt>
                <c:pt idx="10">
                  <c:v>9.8158654489992543</c:v>
                </c:pt>
              </c:numCache>
            </c:numRef>
          </c:val>
          <c:extLst xmlns:c16r2="http://schemas.microsoft.com/office/drawing/2015/06/chart">
            <c:ext xmlns:c16="http://schemas.microsoft.com/office/drawing/2014/chart" uri="{C3380CC4-5D6E-409C-BE32-E72D297353CC}">
              <c16:uniqueId val="{00000000-E554-4946-987F-0348A838061F}"/>
            </c:ext>
          </c:extLst>
        </c:ser>
        <c:dLbls>
          <c:showLegendKey val="0"/>
          <c:showVal val="0"/>
          <c:showCatName val="0"/>
          <c:showSerName val="0"/>
          <c:showPercent val="0"/>
          <c:showBubbleSize val="0"/>
        </c:dLbls>
        <c:gapWidth val="58"/>
        <c:axId val="574313984"/>
        <c:axId val="574314376"/>
      </c:barChart>
      <c:catAx>
        <c:axId val="574313984"/>
        <c:scaling>
          <c:orientation val="minMax"/>
        </c:scaling>
        <c:delete val="0"/>
        <c:axPos val="b"/>
        <c:numFmt formatCode="General" sourceLinked="0"/>
        <c:majorTickMark val="out"/>
        <c:minorTickMark val="none"/>
        <c:tickLblPos val="low"/>
        <c:crossAx val="574314376"/>
        <c:crosses val="autoZero"/>
        <c:auto val="1"/>
        <c:lblAlgn val="ctr"/>
        <c:lblOffset val="100"/>
        <c:noMultiLvlLbl val="0"/>
      </c:catAx>
      <c:valAx>
        <c:axId val="574314376"/>
        <c:scaling>
          <c:orientation val="minMax"/>
          <c:max val="10"/>
        </c:scaling>
        <c:delete val="0"/>
        <c:axPos val="l"/>
        <c:majorGridlines>
          <c:spPr>
            <a:ln>
              <a:solidFill>
                <a:schemeClr val="bg1"/>
              </a:solidFill>
            </a:ln>
          </c:spPr>
        </c:majorGridlines>
        <c:title>
          <c:tx>
            <c:rich>
              <a:bodyPr rot="-5400000" vert="horz"/>
              <a:lstStyle/>
              <a:p>
                <a:pPr>
                  <a:defRPr/>
                </a:pPr>
                <a:r>
                  <a:rPr lang="en-US"/>
                  <a:t>median TFP relative</a:t>
                </a:r>
                <a:r>
                  <a:rPr lang="en-US" baseline="0"/>
                  <a:t> to Nigeria</a:t>
                </a:r>
                <a:r>
                  <a:rPr lang="en-US"/>
                  <a:t> </a:t>
                </a:r>
              </a:p>
            </c:rich>
          </c:tx>
          <c:layout>
            <c:manualLayout>
              <c:xMode val="edge"/>
              <c:yMode val="edge"/>
              <c:x val="2.5368733036532472E-2"/>
              <c:y val="0.10857060750617854"/>
            </c:manualLayout>
          </c:layout>
          <c:overlay val="0"/>
        </c:title>
        <c:numFmt formatCode="0%" sourceLinked="0"/>
        <c:majorTickMark val="out"/>
        <c:minorTickMark val="none"/>
        <c:tickLblPos val="nextTo"/>
        <c:crossAx val="574313984"/>
        <c:crosses val="autoZero"/>
        <c:crossBetween val="between"/>
        <c:majorUnit val="2"/>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TFP</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Lagos</c:v>
                </c:pt>
                <c:pt idx="2">
                  <c:v>Other North</c:v>
                </c:pt>
                <c:pt idx="3">
                  <c:v>Other South</c:v>
                </c:pt>
                <c:pt idx="4">
                  <c:v>Kano</c:v>
                </c:pt>
                <c:pt idx="6">
                  <c:v>Ethiopia</c:v>
                </c:pt>
                <c:pt idx="7">
                  <c:v>Cote d'Ivoire</c:v>
                </c:pt>
                <c:pt idx="8">
                  <c:v>Ghana</c:v>
                </c:pt>
                <c:pt idx="9">
                  <c:v>India</c:v>
                </c:pt>
              </c:strCache>
            </c:strRef>
          </c:cat>
          <c:val>
            <c:numRef>
              <c:f>Sheet1!$B$2:$B$11</c:f>
              <c:numCache>
                <c:formatCode>General</c:formatCode>
                <c:ptCount val="10"/>
                <c:pt idx="0">
                  <c:v>1</c:v>
                </c:pt>
                <c:pt idx="2">
                  <c:v>0.223800555719435</c:v>
                </c:pt>
                <c:pt idx="3">
                  <c:v>0.62188505646502013</c:v>
                </c:pt>
                <c:pt idx="4">
                  <c:v>0.74527649144328867</c:v>
                </c:pt>
                <c:pt idx="6">
                  <c:v>0.72542325099014116</c:v>
                </c:pt>
                <c:pt idx="7">
                  <c:v>0.8780954309205613</c:v>
                </c:pt>
                <c:pt idx="8">
                  <c:v>0.93239381990594827</c:v>
                </c:pt>
                <c:pt idx="9">
                  <c:v>1.1936310931271388</c:v>
                </c:pt>
              </c:numCache>
            </c:numRef>
          </c:val>
          <c:extLst xmlns:c16r2="http://schemas.microsoft.com/office/drawing/2015/06/chart">
            <c:ext xmlns:c16="http://schemas.microsoft.com/office/drawing/2014/chart" uri="{C3380CC4-5D6E-409C-BE32-E72D297353CC}">
              <c16:uniqueId val="{00000000-D561-4E45-AD9F-184BBD379799}"/>
            </c:ext>
          </c:extLst>
        </c:ser>
        <c:dLbls>
          <c:showLegendKey val="0"/>
          <c:showVal val="0"/>
          <c:showCatName val="0"/>
          <c:showSerName val="0"/>
          <c:showPercent val="0"/>
          <c:showBubbleSize val="0"/>
        </c:dLbls>
        <c:gapWidth val="58"/>
        <c:axId val="574315160"/>
        <c:axId val="574315552"/>
      </c:barChart>
      <c:catAx>
        <c:axId val="574315160"/>
        <c:scaling>
          <c:orientation val="minMax"/>
        </c:scaling>
        <c:delete val="0"/>
        <c:axPos val="b"/>
        <c:numFmt formatCode="General" sourceLinked="0"/>
        <c:majorTickMark val="out"/>
        <c:minorTickMark val="none"/>
        <c:tickLblPos val="low"/>
        <c:crossAx val="574315552"/>
        <c:crosses val="autoZero"/>
        <c:auto val="1"/>
        <c:lblAlgn val="ctr"/>
        <c:lblOffset val="100"/>
        <c:noMultiLvlLbl val="0"/>
      </c:catAx>
      <c:valAx>
        <c:axId val="574315552"/>
        <c:scaling>
          <c:orientation val="minMax"/>
          <c:max val="1.25"/>
        </c:scaling>
        <c:delete val="0"/>
        <c:axPos val="l"/>
        <c:majorGridlines>
          <c:spPr>
            <a:ln>
              <a:solidFill>
                <a:schemeClr val="bg1"/>
              </a:solidFill>
            </a:ln>
          </c:spPr>
        </c:majorGridlines>
        <c:title>
          <c:tx>
            <c:rich>
              <a:bodyPr rot="-5400000" vert="horz"/>
              <a:lstStyle/>
              <a:p>
                <a:pPr>
                  <a:defRPr/>
                </a:pPr>
                <a:r>
                  <a:rPr lang="en-US"/>
                  <a:t>median TFP relative to Lagos</a:t>
                </a:r>
              </a:p>
            </c:rich>
          </c:tx>
          <c:overlay val="0"/>
        </c:title>
        <c:numFmt formatCode="0%" sourceLinked="0"/>
        <c:majorTickMark val="out"/>
        <c:minorTickMark val="none"/>
        <c:tickLblPos val="nextTo"/>
        <c:crossAx val="574315160"/>
        <c:crosses val="autoZero"/>
        <c:crossBetween val="between"/>
        <c:majorUnit val="0.25"/>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prdlab~t</c:v>
                </c:pt>
              </c:strCache>
            </c:strRef>
          </c:tx>
          <c:invertIfNegative val="0"/>
          <c:dLbls>
            <c:dLbl>
              <c:idx val="5"/>
              <c:layout>
                <c:manualLayout>
                  <c:x val="0"/>
                  <c:y val="9.80392156862740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889-4C9A-B140-C97F960C0D26}"/>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 Nigeria</c:v>
                </c:pt>
                <c:pt idx="2">
                  <c:v> Ethiopia</c:v>
                </c:pt>
                <c:pt idx="3">
                  <c:v> Kenya</c:v>
                </c:pt>
                <c:pt idx="4">
                  <c:v> Ghana</c:v>
                </c:pt>
                <c:pt idx="5">
                  <c:v> China</c:v>
                </c:pt>
                <c:pt idx="6">
                  <c:v> India</c:v>
                </c:pt>
                <c:pt idx="7">
                  <c:v> Brazil</c:v>
                </c:pt>
                <c:pt idx="8">
                  <c:v> Ivory Coast</c:v>
                </c:pt>
                <c:pt idx="9">
                  <c:v> Russia</c:v>
                </c:pt>
                <c:pt idx="10">
                  <c:v> South Africa</c:v>
                </c:pt>
              </c:strCache>
            </c:strRef>
          </c:cat>
          <c:val>
            <c:numRef>
              <c:f>Sheet1!$B$2:$B$12</c:f>
              <c:numCache>
                <c:formatCode>General</c:formatCode>
                <c:ptCount val="11"/>
                <c:pt idx="0">
                  <c:v>0.30800820000000001</c:v>
                </c:pt>
                <c:pt idx="2">
                  <c:v>9.6648800000000007E-2</c:v>
                </c:pt>
                <c:pt idx="3">
                  <c:v>0.12219960000000001</c:v>
                </c:pt>
                <c:pt idx="4">
                  <c:v>0.1721066</c:v>
                </c:pt>
                <c:pt idx="5">
                  <c:v>0.27210889999999999</c:v>
                </c:pt>
                <c:pt idx="6">
                  <c:v>0.30668570000000001</c:v>
                </c:pt>
                <c:pt idx="7">
                  <c:v>0.33126290000000003</c:v>
                </c:pt>
                <c:pt idx="8">
                  <c:v>0.34188039999999997</c:v>
                </c:pt>
                <c:pt idx="9">
                  <c:v>0.40909089999999998</c:v>
                </c:pt>
                <c:pt idx="10">
                  <c:v>0.44529550000000001</c:v>
                </c:pt>
              </c:numCache>
            </c:numRef>
          </c:val>
          <c:extLst xmlns:c16r2="http://schemas.microsoft.com/office/drawing/2015/06/chart">
            <c:ext xmlns:c16="http://schemas.microsoft.com/office/drawing/2014/chart" uri="{C3380CC4-5D6E-409C-BE32-E72D297353CC}">
              <c16:uniqueId val="{00000001-4889-4C9A-B140-C97F960C0D26}"/>
            </c:ext>
          </c:extLst>
        </c:ser>
        <c:dLbls>
          <c:showLegendKey val="0"/>
          <c:showVal val="0"/>
          <c:showCatName val="0"/>
          <c:showSerName val="0"/>
          <c:showPercent val="0"/>
          <c:showBubbleSize val="0"/>
        </c:dLbls>
        <c:gapWidth val="58"/>
        <c:axId val="574316336"/>
        <c:axId val="574316728"/>
      </c:barChart>
      <c:catAx>
        <c:axId val="574316336"/>
        <c:scaling>
          <c:orientation val="minMax"/>
        </c:scaling>
        <c:delete val="0"/>
        <c:axPos val="b"/>
        <c:numFmt formatCode="General" sourceLinked="0"/>
        <c:majorTickMark val="out"/>
        <c:minorTickMark val="none"/>
        <c:tickLblPos val="nextTo"/>
        <c:txPr>
          <a:bodyPr/>
          <a:lstStyle/>
          <a:p>
            <a:pPr algn="just">
              <a:defRPr/>
            </a:pPr>
            <a:endParaRPr lang="en-US"/>
          </a:p>
        </c:txPr>
        <c:crossAx val="574316728"/>
        <c:crosses val="autoZero"/>
        <c:auto val="1"/>
        <c:lblAlgn val="ctr"/>
        <c:lblOffset val="100"/>
        <c:noMultiLvlLbl val="0"/>
      </c:catAx>
      <c:valAx>
        <c:axId val="574316728"/>
        <c:scaling>
          <c:orientation val="minMax"/>
        </c:scaling>
        <c:delete val="0"/>
        <c:axPos val="l"/>
        <c:majorGridlines>
          <c:spPr>
            <a:ln>
              <a:solidFill>
                <a:schemeClr val="bg1"/>
              </a:solidFill>
            </a:ln>
          </c:spPr>
        </c:majorGridlines>
        <c:title>
          <c:tx>
            <c:rich>
              <a:bodyPr rot="-5400000" vert="horz"/>
              <a:lstStyle/>
              <a:p>
                <a:pPr>
                  <a:defRPr/>
                </a:pPr>
                <a:r>
                  <a:rPr lang="en-US"/>
                  <a:t>Unit labor csots (as % of value-added)</a:t>
                </a:r>
              </a:p>
            </c:rich>
          </c:tx>
          <c:overlay val="0"/>
        </c:title>
        <c:numFmt formatCode="0%" sourceLinked="0"/>
        <c:majorTickMark val="out"/>
        <c:minorTickMark val="none"/>
        <c:tickLblPos val="nextTo"/>
        <c:crossAx val="574316336"/>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4158855542418219"/>
          <c:y val="6.1938743012771941E-2"/>
          <c:w val="0.83498226459711711"/>
          <c:h val="0.7581076005666656"/>
        </c:manualLayout>
      </c:layout>
      <c:barChart>
        <c:barDir val="col"/>
        <c:grouping val="clustered"/>
        <c:varyColors val="0"/>
        <c:ser>
          <c:idx val="0"/>
          <c:order val="0"/>
          <c:tx>
            <c:strRef>
              <c:f>Sheet1!$B$1</c:f>
              <c:strCache>
                <c:ptCount val="1"/>
                <c:pt idx="0">
                  <c:v>Unit Labor Costs</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Nigeria</c:v>
                </c:pt>
                <c:pt idx="2">
                  <c:v>Lagos</c:v>
                </c:pt>
                <c:pt idx="3">
                  <c:v>Other North</c:v>
                </c:pt>
                <c:pt idx="4">
                  <c:v>Kano and Kaduna</c:v>
                </c:pt>
                <c:pt idx="5">
                  <c:v>Other South</c:v>
                </c:pt>
              </c:strCache>
            </c:strRef>
          </c:cat>
          <c:val>
            <c:numRef>
              <c:f>Sheet1!$B$2:$B$7</c:f>
              <c:numCache>
                <c:formatCode>General</c:formatCode>
                <c:ptCount val="6"/>
                <c:pt idx="0">
                  <c:v>0.30800820000000001</c:v>
                </c:pt>
                <c:pt idx="2">
                  <c:v>0.57142859999999995</c:v>
                </c:pt>
                <c:pt idx="3">
                  <c:v>0.28248590000000001</c:v>
                </c:pt>
                <c:pt idx="4">
                  <c:v>0.18055199999999999</c:v>
                </c:pt>
                <c:pt idx="5">
                  <c:v>0.1033058</c:v>
                </c:pt>
              </c:numCache>
            </c:numRef>
          </c:val>
          <c:extLst xmlns:c16r2="http://schemas.microsoft.com/office/drawing/2015/06/chart">
            <c:ext xmlns:c16="http://schemas.microsoft.com/office/drawing/2014/chart" uri="{C3380CC4-5D6E-409C-BE32-E72D297353CC}">
              <c16:uniqueId val="{00000000-85CF-47AC-8827-2B78563AE4DE}"/>
            </c:ext>
          </c:extLst>
        </c:ser>
        <c:dLbls>
          <c:showLegendKey val="0"/>
          <c:showVal val="0"/>
          <c:showCatName val="0"/>
          <c:showSerName val="0"/>
          <c:showPercent val="0"/>
          <c:showBubbleSize val="0"/>
        </c:dLbls>
        <c:gapWidth val="58"/>
        <c:axId val="574317512"/>
        <c:axId val="574317904"/>
      </c:barChart>
      <c:catAx>
        <c:axId val="574317512"/>
        <c:scaling>
          <c:orientation val="minMax"/>
        </c:scaling>
        <c:delete val="0"/>
        <c:axPos val="b"/>
        <c:numFmt formatCode="General" sourceLinked="0"/>
        <c:majorTickMark val="out"/>
        <c:minorTickMark val="none"/>
        <c:tickLblPos val="nextTo"/>
        <c:crossAx val="574317904"/>
        <c:crosses val="autoZero"/>
        <c:auto val="1"/>
        <c:lblAlgn val="ctr"/>
        <c:lblOffset val="100"/>
        <c:noMultiLvlLbl val="0"/>
      </c:catAx>
      <c:valAx>
        <c:axId val="574317904"/>
        <c:scaling>
          <c:orientation val="minMax"/>
        </c:scaling>
        <c:delete val="0"/>
        <c:axPos val="l"/>
        <c:majorGridlines>
          <c:spPr>
            <a:ln>
              <a:solidFill>
                <a:schemeClr val="bg1"/>
              </a:solidFill>
            </a:ln>
          </c:spPr>
        </c:majorGridlines>
        <c:title>
          <c:tx>
            <c:rich>
              <a:bodyPr rot="-5400000" vert="horz"/>
              <a:lstStyle/>
              <a:p>
                <a:pPr>
                  <a:defRPr/>
                </a:pPr>
                <a:r>
                  <a:rPr lang="en-US"/>
                  <a:t>Unit labor csots (as % of value-added)</a:t>
                </a:r>
              </a:p>
            </c:rich>
          </c:tx>
          <c:overlay val="0"/>
        </c:title>
        <c:numFmt formatCode="0%" sourceLinked="0"/>
        <c:majorTickMark val="out"/>
        <c:minorTickMark val="none"/>
        <c:tickLblPos val="nextTo"/>
        <c:crossAx val="574317512"/>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capprd~</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 Nigeria</c:v>
                </c:pt>
                <c:pt idx="2">
                  <c:v> Ethiopia</c:v>
                </c:pt>
                <c:pt idx="3">
                  <c:v> Russia</c:v>
                </c:pt>
                <c:pt idx="4">
                  <c:v> Kenya</c:v>
                </c:pt>
                <c:pt idx="5">
                  <c:v> South Africa</c:v>
                </c:pt>
                <c:pt idx="6">
                  <c:v> Ghana</c:v>
                </c:pt>
                <c:pt idx="7">
                  <c:v> India</c:v>
                </c:pt>
                <c:pt idx="8">
                  <c:v> China</c:v>
                </c:pt>
                <c:pt idx="9">
                  <c:v> Brazil</c:v>
                </c:pt>
              </c:strCache>
            </c:strRef>
          </c:cat>
          <c:val>
            <c:numRef>
              <c:f>Sheet1!$B$2:$B$11</c:f>
              <c:numCache>
                <c:formatCode>General</c:formatCode>
                <c:ptCount val="10"/>
                <c:pt idx="0">
                  <c:v>5.24</c:v>
                </c:pt>
                <c:pt idx="2">
                  <c:v>0.84493110000000005</c:v>
                </c:pt>
                <c:pt idx="3">
                  <c:v>1.641667</c:v>
                </c:pt>
                <c:pt idx="4">
                  <c:v>1.96</c:v>
                </c:pt>
                <c:pt idx="5">
                  <c:v>2.003333</c:v>
                </c:pt>
                <c:pt idx="6">
                  <c:v>2.4750000000000001</c:v>
                </c:pt>
                <c:pt idx="7">
                  <c:v>2.5153340000000002</c:v>
                </c:pt>
                <c:pt idx="8">
                  <c:v>2.5579999999999998</c:v>
                </c:pt>
                <c:pt idx="9">
                  <c:v>2.760195</c:v>
                </c:pt>
              </c:numCache>
            </c:numRef>
          </c:val>
          <c:extLst xmlns:c16r2="http://schemas.microsoft.com/office/drawing/2015/06/chart">
            <c:ext xmlns:c16="http://schemas.microsoft.com/office/drawing/2014/chart" uri="{C3380CC4-5D6E-409C-BE32-E72D297353CC}">
              <c16:uniqueId val="{00000000-27AD-442E-BF2A-89A1B07C91BE}"/>
            </c:ext>
          </c:extLst>
        </c:ser>
        <c:dLbls>
          <c:showLegendKey val="0"/>
          <c:showVal val="0"/>
          <c:showCatName val="0"/>
          <c:showSerName val="0"/>
          <c:showPercent val="0"/>
          <c:showBubbleSize val="0"/>
        </c:dLbls>
        <c:gapWidth val="55"/>
        <c:axId val="574318688"/>
        <c:axId val="574319080"/>
      </c:barChart>
      <c:catAx>
        <c:axId val="574318688"/>
        <c:scaling>
          <c:orientation val="minMax"/>
        </c:scaling>
        <c:delete val="0"/>
        <c:axPos val="b"/>
        <c:numFmt formatCode="General" sourceLinked="0"/>
        <c:majorTickMark val="out"/>
        <c:minorTickMark val="none"/>
        <c:tickLblPos val="nextTo"/>
        <c:crossAx val="574319080"/>
        <c:crosses val="autoZero"/>
        <c:auto val="1"/>
        <c:lblAlgn val="ctr"/>
        <c:lblOffset val="100"/>
        <c:noMultiLvlLbl val="0"/>
      </c:catAx>
      <c:valAx>
        <c:axId val="574319080"/>
        <c:scaling>
          <c:orientation val="minMax"/>
        </c:scaling>
        <c:delete val="0"/>
        <c:axPos val="l"/>
        <c:majorGridlines>
          <c:spPr>
            <a:ln>
              <a:solidFill>
                <a:schemeClr val="bg1"/>
              </a:solidFill>
            </a:ln>
          </c:spPr>
        </c:majorGridlines>
        <c:title>
          <c:tx>
            <c:rich>
              <a:bodyPr rot="-5400000" vert="horz"/>
              <a:lstStyle/>
              <a:p>
                <a:pPr>
                  <a:defRPr/>
                </a:pPr>
                <a:r>
                  <a:rPr lang="en-US"/>
                  <a:t>Capital productivity (sales value of capital)</a:t>
                </a:r>
              </a:p>
            </c:rich>
          </c:tx>
          <c:overlay val="0"/>
        </c:title>
        <c:numFmt formatCode="0%" sourceLinked="0"/>
        <c:majorTickMark val="out"/>
        <c:minorTickMark val="none"/>
        <c:tickLblPos val="nextTo"/>
        <c:crossAx val="574318688"/>
        <c:crosses val="autoZero"/>
        <c:crossBetween val="between"/>
      </c:valAx>
      <c:spPr>
        <a:solidFill>
          <a:srgbClr val="F2F2F2"/>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percentStacked"/>
        <c:varyColors val="0"/>
        <c:ser>
          <c:idx val="0"/>
          <c:order val="0"/>
          <c:tx>
            <c:strRef>
              <c:f>Sheet1!$C$25</c:f>
              <c:strCache>
                <c:ptCount val="1"/>
                <c:pt idx="0">
                  <c:v>No problem</c:v>
                </c:pt>
              </c:strCache>
            </c:strRef>
          </c:tx>
          <c:invertIfNegative val="0"/>
          <c:cat>
            <c:multiLvlStrRef>
              <c:f>Sheet1!$A$26:$B$31</c:f>
              <c:multiLvlStrCache>
                <c:ptCount val="6"/>
                <c:lvl>
                  <c:pt idx="0">
                    <c:v>Managerial</c:v>
                  </c:pt>
                  <c:pt idx="1">
                    <c:v>Skilled production</c:v>
                  </c:pt>
                  <c:pt idx="2">
                    <c:v>Unskilled production</c:v>
                  </c:pt>
                  <c:pt idx="3">
                    <c:v>Managerial</c:v>
                  </c:pt>
                  <c:pt idx="4">
                    <c:v>Skilled production</c:v>
                  </c:pt>
                  <c:pt idx="5">
                    <c:v>Unskilled production</c:v>
                  </c:pt>
                </c:lvl>
                <c:lvl>
                  <c:pt idx="0">
                    <c:v>Southern states</c:v>
                  </c:pt>
                  <c:pt idx="3">
                    <c:v>Northern states</c:v>
                  </c:pt>
                </c:lvl>
              </c:multiLvlStrCache>
            </c:multiLvlStrRef>
          </c:cat>
          <c:val>
            <c:numRef>
              <c:f>Sheet1!$C$26:$C$31</c:f>
              <c:numCache>
                <c:formatCode>General</c:formatCode>
                <c:ptCount val="6"/>
                <c:pt idx="0">
                  <c:v>74</c:v>
                </c:pt>
                <c:pt idx="1">
                  <c:v>57</c:v>
                </c:pt>
                <c:pt idx="2">
                  <c:v>50</c:v>
                </c:pt>
                <c:pt idx="3">
                  <c:v>46</c:v>
                </c:pt>
                <c:pt idx="4">
                  <c:v>43</c:v>
                </c:pt>
                <c:pt idx="5">
                  <c:v>70</c:v>
                </c:pt>
              </c:numCache>
            </c:numRef>
          </c:val>
          <c:extLst xmlns:c16r2="http://schemas.microsoft.com/office/drawing/2015/06/chart">
            <c:ext xmlns:c16="http://schemas.microsoft.com/office/drawing/2014/chart" uri="{C3380CC4-5D6E-409C-BE32-E72D297353CC}">
              <c16:uniqueId val="{00000000-C1A8-4EA0-B715-2E75DEC5505C}"/>
            </c:ext>
          </c:extLst>
        </c:ser>
        <c:ser>
          <c:idx val="1"/>
          <c:order val="1"/>
          <c:tx>
            <c:strRef>
              <c:f>Sheet1!$D$25</c:f>
              <c:strCache>
                <c:ptCount val="1"/>
                <c:pt idx="0">
                  <c:v>Too few applicants</c:v>
                </c:pt>
              </c:strCache>
            </c:strRef>
          </c:tx>
          <c:invertIfNegative val="0"/>
          <c:cat>
            <c:multiLvlStrRef>
              <c:f>Sheet1!$A$26:$B$31</c:f>
              <c:multiLvlStrCache>
                <c:ptCount val="6"/>
                <c:lvl>
                  <c:pt idx="0">
                    <c:v>Managerial</c:v>
                  </c:pt>
                  <c:pt idx="1">
                    <c:v>Skilled production</c:v>
                  </c:pt>
                  <c:pt idx="2">
                    <c:v>Unskilled production</c:v>
                  </c:pt>
                  <c:pt idx="3">
                    <c:v>Managerial</c:v>
                  </c:pt>
                  <c:pt idx="4">
                    <c:v>Skilled production</c:v>
                  </c:pt>
                  <c:pt idx="5">
                    <c:v>Unskilled production</c:v>
                  </c:pt>
                </c:lvl>
                <c:lvl>
                  <c:pt idx="0">
                    <c:v>Southern states</c:v>
                  </c:pt>
                  <c:pt idx="3">
                    <c:v>Northern states</c:v>
                  </c:pt>
                </c:lvl>
              </c:multiLvlStrCache>
            </c:multiLvlStrRef>
          </c:cat>
          <c:val>
            <c:numRef>
              <c:f>Sheet1!$D$26:$D$31</c:f>
              <c:numCache>
                <c:formatCode>General</c:formatCode>
                <c:ptCount val="6"/>
                <c:pt idx="0">
                  <c:v>3</c:v>
                </c:pt>
                <c:pt idx="1">
                  <c:v>18</c:v>
                </c:pt>
                <c:pt idx="2">
                  <c:v>6</c:v>
                </c:pt>
                <c:pt idx="3">
                  <c:v>20</c:v>
                </c:pt>
                <c:pt idx="4">
                  <c:v>14</c:v>
                </c:pt>
                <c:pt idx="5">
                  <c:v>11</c:v>
                </c:pt>
              </c:numCache>
            </c:numRef>
          </c:val>
          <c:extLst xmlns:c16r2="http://schemas.microsoft.com/office/drawing/2015/06/chart">
            <c:ext xmlns:c16="http://schemas.microsoft.com/office/drawing/2014/chart" uri="{C3380CC4-5D6E-409C-BE32-E72D297353CC}">
              <c16:uniqueId val="{00000001-C1A8-4EA0-B715-2E75DEC5505C}"/>
            </c:ext>
          </c:extLst>
        </c:ser>
        <c:ser>
          <c:idx val="2"/>
          <c:order val="2"/>
          <c:tx>
            <c:strRef>
              <c:f>Sheet1!$E$25</c:f>
              <c:strCache>
                <c:ptCount val="1"/>
                <c:pt idx="0">
                  <c:v>Skills mismatch</c:v>
                </c:pt>
              </c:strCache>
            </c:strRef>
          </c:tx>
          <c:invertIfNegative val="0"/>
          <c:cat>
            <c:multiLvlStrRef>
              <c:f>Sheet1!$A$26:$B$31</c:f>
              <c:multiLvlStrCache>
                <c:ptCount val="6"/>
                <c:lvl>
                  <c:pt idx="0">
                    <c:v>Managerial</c:v>
                  </c:pt>
                  <c:pt idx="1">
                    <c:v>Skilled production</c:v>
                  </c:pt>
                  <c:pt idx="2">
                    <c:v>Unskilled production</c:v>
                  </c:pt>
                  <c:pt idx="3">
                    <c:v>Managerial</c:v>
                  </c:pt>
                  <c:pt idx="4">
                    <c:v>Skilled production</c:v>
                  </c:pt>
                  <c:pt idx="5">
                    <c:v>Unskilled production</c:v>
                  </c:pt>
                </c:lvl>
                <c:lvl>
                  <c:pt idx="0">
                    <c:v>Southern states</c:v>
                  </c:pt>
                  <c:pt idx="3">
                    <c:v>Northern states</c:v>
                  </c:pt>
                </c:lvl>
              </c:multiLvlStrCache>
            </c:multiLvlStrRef>
          </c:cat>
          <c:val>
            <c:numRef>
              <c:f>Sheet1!$E$26:$E$31</c:f>
              <c:numCache>
                <c:formatCode>General</c:formatCode>
                <c:ptCount val="6"/>
                <c:pt idx="0">
                  <c:v>14</c:v>
                </c:pt>
                <c:pt idx="1">
                  <c:v>22</c:v>
                </c:pt>
                <c:pt idx="2">
                  <c:v>38</c:v>
                </c:pt>
                <c:pt idx="3">
                  <c:v>23</c:v>
                </c:pt>
                <c:pt idx="4">
                  <c:v>27</c:v>
                </c:pt>
                <c:pt idx="5">
                  <c:v>13</c:v>
                </c:pt>
              </c:numCache>
            </c:numRef>
          </c:val>
          <c:extLst xmlns:c16r2="http://schemas.microsoft.com/office/drawing/2015/06/chart">
            <c:ext xmlns:c16="http://schemas.microsoft.com/office/drawing/2014/chart" uri="{C3380CC4-5D6E-409C-BE32-E72D297353CC}">
              <c16:uniqueId val="{00000002-C1A8-4EA0-B715-2E75DEC5505C}"/>
            </c:ext>
          </c:extLst>
        </c:ser>
        <c:ser>
          <c:idx val="3"/>
          <c:order val="3"/>
          <c:tx>
            <c:strRef>
              <c:f>Sheet1!$F$25</c:f>
              <c:strCache>
                <c:ptCount val="1"/>
                <c:pt idx="0">
                  <c:v>Others</c:v>
                </c:pt>
              </c:strCache>
            </c:strRef>
          </c:tx>
          <c:invertIfNegative val="0"/>
          <c:cat>
            <c:multiLvlStrRef>
              <c:f>Sheet1!$A$26:$B$31</c:f>
              <c:multiLvlStrCache>
                <c:ptCount val="6"/>
                <c:lvl>
                  <c:pt idx="0">
                    <c:v>Managerial</c:v>
                  </c:pt>
                  <c:pt idx="1">
                    <c:v>Skilled production</c:v>
                  </c:pt>
                  <c:pt idx="2">
                    <c:v>Unskilled production</c:v>
                  </c:pt>
                  <c:pt idx="3">
                    <c:v>Managerial</c:v>
                  </c:pt>
                  <c:pt idx="4">
                    <c:v>Skilled production</c:v>
                  </c:pt>
                  <c:pt idx="5">
                    <c:v>Unskilled production</c:v>
                  </c:pt>
                </c:lvl>
                <c:lvl>
                  <c:pt idx="0">
                    <c:v>Southern states</c:v>
                  </c:pt>
                  <c:pt idx="3">
                    <c:v>Northern states</c:v>
                  </c:pt>
                </c:lvl>
              </c:multiLvlStrCache>
            </c:multiLvlStrRef>
          </c:cat>
          <c:val>
            <c:numRef>
              <c:f>Sheet1!$F$26:$F$31</c:f>
              <c:numCache>
                <c:formatCode>General</c:formatCode>
                <c:ptCount val="6"/>
                <c:pt idx="0">
                  <c:v>9</c:v>
                </c:pt>
                <c:pt idx="1">
                  <c:v>3</c:v>
                </c:pt>
                <c:pt idx="2">
                  <c:v>6</c:v>
                </c:pt>
                <c:pt idx="3">
                  <c:v>11</c:v>
                </c:pt>
                <c:pt idx="4">
                  <c:v>16</c:v>
                </c:pt>
                <c:pt idx="5">
                  <c:v>6</c:v>
                </c:pt>
              </c:numCache>
            </c:numRef>
          </c:val>
          <c:extLst xmlns:c16r2="http://schemas.microsoft.com/office/drawing/2015/06/chart">
            <c:ext xmlns:c16="http://schemas.microsoft.com/office/drawing/2014/chart" uri="{C3380CC4-5D6E-409C-BE32-E72D297353CC}">
              <c16:uniqueId val="{00000003-C1A8-4EA0-B715-2E75DEC5505C}"/>
            </c:ext>
          </c:extLst>
        </c:ser>
        <c:dLbls>
          <c:showLegendKey val="0"/>
          <c:showVal val="0"/>
          <c:showCatName val="0"/>
          <c:showSerName val="0"/>
          <c:showPercent val="0"/>
          <c:showBubbleSize val="0"/>
        </c:dLbls>
        <c:gapWidth val="60"/>
        <c:overlap val="100"/>
        <c:axId val="574319472"/>
        <c:axId val="574319864"/>
      </c:barChart>
      <c:lineChart>
        <c:grouping val="standard"/>
        <c:varyColors val="0"/>
        <c:ser>
          <c:idx val="4"/>
          <c:order val="4"/>
          <c:tx>
            <c:strRef>
              <c:f>Sheet1!$G$25</c:f>
              <c:strCache>
                <c:ptCount val="1"/>
                <c:pt idx="0">
                  <c:v>Days</c:v>
                </c:pt>
              </c:strCache>
            </c:strRef>
          </c:tx>
          <c:spPr>
            <a:ln>
              <a:solidFill>
                <a:schemeClr val="accent3"/>
              </a:solidFill>
            </a:ln>
          </c:spPr>
          <c:marker>
            <c:symbol val="x"/>
            <c:size val="7"/>
            <c:spPr>
              <a:solidFill>
                <a:schemeClr val="accent3"/>
              </a:solidFill>
              <a:ln>
                <a:solidFill>
                  <a:schemeClr val="accent3"/>
                </a:solidFill>
              </a:ln>
            </c:spPr>
          </c:marker>
          <c:cat>
            <c:multiLvlStrRef>
              <c:f>Sheet1!$A$26:$B$31</c:f>
              <c:multiLvlStrCache>
                <c:ptCount val="6"/>
                <c:lvl>
                  <c:pt idx="0">
                    <c:v>Managerial</c:v>
                  </c:pt>
                  <c:pt idx="1">
                    <c:v>Skilled production</c:v>
                  </c:pt>
                  <c:pt idx="2">
                    <c:v>Unskilled production</c:v>
                  </c:pt>
                  <c:pt idx="3">
                    <c:v>Managerial</c:v>
                  </c:pt>
                  <c:pt idx="4">
                    <c:v>Skilled production</c:v>
                  </c:pt>
                  <c:pt idx="5">
                    <c:v>Unskilled production</c:v>
                  </c:pt>
                </c:lvl>
                <c:lvl>
                  <c:pt idx="0">
                    <c:v>Southern states</c:v>
                  </c:pt>
                  <c:pt idx="3">
                    <c:v>Northern states</c:v>
                  </c:pt>
                </c:lvl>
              </c:multiLvlStrCache>
            </c:multiLvlStrRef>
          </c:cat>
          <c:val>
            <c:numRef>
              <c:f>Sheet1!$G$26:$G$31</c:f>
              <c:numCache>
                <c:formatCode>_(* #,##0.00_);_(* \(#,##0.00\);_(* "-"??_);_(@_)</c:formatCode>
                <c:ptCount val="6"/>
                <c:pt idx="0">
                  <c:v>20.7</c:v>
                </c:pt>
                <c:pt idx="1">
                  <c:v>19.3</c:v>
                </c:pt>
                <c:pt idx="2">
                  <c:v>20.3</c:v>
                </c:pt>
                <c:pt idx="3">
                  <c:v>7.9</c:v>
                </c:pt>
                <c:pt idx="4">
                  <c:v>13.2</c:v>
                </c:pt>
                <c:pt idx="5">
                  <c:v>6.3</c:v>
                </c:pt>
              </c:numCache>
            </c:numRef>
          </c:val>
          <c:smooth val="0"/>
          <c:extLst xmlns:c16r2="http://schemas.microsoft.com/office/drawing/2015/06/chart">
            <c:ext xmlns:c16="http://schemas.microsoft.com/office/drawing/2014/chart" uri="{C3380CC4-5D6E-409C-BE32-E72D297353CC}">
              <c16:uniqueId val="{00000004-C1A8-4EA0-B715-2E75DEC5505C}"/>
            </c:ext>
          </c:extLst>
        </c:ser>
        <c:dLbls>
          <c:showLegendKey val="0"/>
          <c:showVal val="0"/>
          <c:showCatName val="0"/>
          <c:showSerName val="0"/>
          <c:showPercent val="0"/>
          <c:showBubbleSize val="0"/>
        </c:dLbls>
        <c:marker val="1"/>
        <c:smooth val="0"/>
        <c:axId val="575399280"/>
        <c:axId val="575398888"/>
      </c:lineChart>
      <c:catAx>
        <c:axId val="574319472"/>
        <c:scaling>
          <c:orientation val="minMax"/>
        </c:scaling>
        <c:delete val="0"/>
        <c:axPos val="b"/>
        <c:numFmt formatCode="General" sourceLinked="0"/>
        <c:majorTickMark val="out"/>
        <c:minorTickMark val="none"/>
        <c:tickLblPos val="nextTo"/>
        <c:crossAx val="574319864"/>
        <c:crosses val="autoZero"/>
        <c:auto val="1"/>
        <c:lblAlgn val="ctr"/>
        <c:lblOffset val="100"/>
        <c:noMultiLvlLbl val="0"/>
      </c:catAx>
      <c:valAx>
        <c:axId val="574319864"/>
        <c:scaling>
          <c:orientation val="minMax"/>
        </c:scaling>
        <c:delete val="0"/>
        <c:axPos val="l"/>
        <c:majorGridlines>
          <c:spPr>
            <a:ln>
              <a:solidFill>
                <a:schemeClr val="bg1"/>
              </a:solidFill>
            </a:ln>
          </c:spPr>
        </c:majorGridlines>
        <c:title>
          <c:tx>
            <c:rich>
              <a:bodyPr rot="-5400000" vert="horz"/>
              <a:lstStyle/>
              <a:p>
                <a:pPr>
                  <a:defRPr/>
                </a:pPr>
                <a:r>
                  <a:rPr lang="en-US"/>
                  <a:t>Percentage of firms</a:t>
                </a:r>
              </a:p>
            </c:rich>
          </c:tx>
          <c:overlay val="0"/>
        </c:title>
        <c:numFmt formatCode="0%" sourceLinked="1"/>
        <c:majorTickMark val="out"/>
        <c:minorTickMark val="none"/>
        <c:tickLblPos val="nextTo"/>
        <c:crossAx val="574319472"/>
        <c:crosses val="autoZero"/>
        <c:crossBetween val="between"/>
        <c:majorUnit val="0.2"/>
      </c:valAx>
      <c:valAx>
        <c:axId val="575398888"/>
        <c:scaling>
          <c:orientation val="minMax"/>
        </c:scaling>
        <c:delete val="0"/>
        <c:axPos val="r"/>
        <c:title>
          <c:tx>
            <c:rich>
              <a:bodyPr rot="-5400000" vert="horz"/>
              <a:lstStyle/>
              <a:p>
                <a:pPr>
                  <a:defRPr/>
                </a:pPr>
                <a:r>
                  <a:rPr lang="en-US"/>
                  <a:t>Number of days</a:t>
                </a:r>
              </a:p>
            </c:rich>
          </c:tx>
          <c:overlay val="0"/>
        </c:title>
        <c:numFmt formatCode="General" sourceLinked="0"/>
        <c:majorTickMark val="out"/>
        <c:minorTickMark val="none"/>
        <c:tickLblPos val="nextTo"/>
        <c:crossAx val="575399280"/>
        <c:crosses val="max"/>
        <c:crossBetween val="between"/>
      </c:valAx>
      <c:catAx>
        <c:axId val="575399280"/>
        <c:scaling>
          <c:orientation val="minMax"/>
        </c:scaling>
        <c:delete val="1"/>
        <c:axPos val="b"/>
        <c:numFmt formatCode="General" sourceLinked="1"/>
        <c:majorTickMark val="out"/>
        <c:minorTickMark val="none"/>
        <c:tickLblPos val="nextTo"/>
        <c:crossAx val="575398888"/>
        <c:crosses val="autoZero"/>
        <c:auto val="1"/>
        <c:lblAlgn val="ctr"/>
        <c:lblOffset val="100"/>
        <c:noMultiLvlLbl val="0"/>
      </c:catAx>
      <c:spPr>
        <a:solidFill>
          <a:schemeClr val="bg1">
            <a:lumMod val="95000"/>
          </a:schemeClr>
        </a:solidFill>
      </c:spPr>
    </c:plotArea>
    <c:legend>
      <c:legendPos val="b"/>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Sheet1!$B$34</c:f>
              <c:strCache>
                <c:ptCount val="1"/>
                <c:pt idx="0">
                  <c:v>Production</c:v>
                </c:pt>
              </c:strCache>
            </c:strRef>
          </c:tx>
          <c:invertIfNegative val="0"/>
          <c:cat>
            <c:strRef>
              <c:f>Sheet1!$A$35:$A$38</c:f>
              <c:strCache>
                <c:ptCount val="4"/>
                <c:pt idx="0">
                  <c:v>Lagos</c:v>
                </c:pt>
                <c:pt idx="1">
                  <c:v>Kano/Kaduna</c:v>
                </c:pt>
                <c:pt idx="2">
                  <c:v>Other Southern</c:v>
                </c:pt>
                <c:pt idx="3">
                  <c:v>Other Northern</c:v>
                </c:pt>
              </c:strCache>
            </c:strRef>
          </c:cat>
          <c:val>
            <c:numRef>
              <c:f>Sheet1!$B$35:$B$38</c:f>
              <c:numCache>
                <c:formatCode>General</c:formatCode>
                <c:ptCount val="4"/>
                <c:pt idx="0">
                  <c:v>84.5</c:v>
                </c:pt>
                <c:pt idx="1">
                  <c:v>42.3</c:v>
                </c:pt>
                <c:pt idx="2">
                  <c:v>56.2</c:v>
                </c:pt>
                <c:pt idx="3">
                  <c:v>43.2</c:v>
                </c:pt>
              </c:numCache>
            </c:numRef>
          </c:val>
          <c:extLst xmlns:c16r2="http://schemas.microsoft.com/office/drawing/2015/06/chart">
            <c:ext xmlns:c16="http://schemas.microsoft.com/office/drawing/2014/chart" uri="{C3380CC4-5D6E-409C-BE32-E72D297353CC}">
              <c16:uniqueId val="{00000000-98FB-41C3-A94C-41B84648FF07}"/>
            </c:ext>
          </c:extLst>
        </c:ser>
        <c:ser>
          <c:idx val="1"/>
          <c:order val="1"/>
          <c:tx>
            <c:strRef>
              <c:f>Sheet1!$C$34</c:f>
              <c:strCache>
                <c:ptCount val="1"/>
                <c:pt idx="0">
                  <c:v>Non-production</c:v>
                </c:pt>
              </c:strCache>
            </c:strRef>
          </c:tx>
          <c:invertIfNegative val="0"/>
          <c:cat>
            <c:strRef>
              <c:f>Sheet1!$A$35:$A$38</c:f>
              <c:strCache>
                <c:ptCount val="4"/>
                <c:pt idx="0">
                  <c:v>Lagos</c:v>
                </c:pt>
                <c:pt idx="1">
                  <c:v>Kano/Kaduna</c:v>
                </c:pt>
                <c:pt idx="2">
                  <c:v>Other Southern</c:v>
                </c:pt>
                <c:pt idx="3">
                  <c:v>Other Northern</c:v>
                </c:pt>
              </c:strCache>
            </c:strRef>
          </c:cat>
          <c:val>
            <c:numRef>
              <c:f>Sheet1!$C$35:$C$38</c:f>
              <c:numCache>
                <c:formatCode>General</c:formatCode>
                <c:ptCount val="4"/>
                <c:pt idx="0">
                  <c:v>82.9</c:v>
                </c:pt>
                <c:pt idx="1">
                  <c:v>40.6</c:v>
                </c:pt>
                <c:pt idx="2">
                  <c:v>46.1</c:v>
                </c:pt>
                <c:pt idx="3">
                  <c:v>23.1</c:v>
                </c:pt>
              </c:numCache>
            </c:numRef>
          </c:val>
          <c:extLst xmlns:c16r2="http://schemas.microsoft.com/office/drawing/2015/06/chart">
            <c:ext xmlns:c16="http://schemas.microsoft.com/office/drawing/2014/chart" uri="{C3380CC4-5D6E-409C-BE32-E72D297353CC}">
              <c16:uniqueId val="{00000001-98FB-41C3-A94C-41B84648FF07}"/>
            </c:ext>
          </c:extLst>
        </c:ser>
        <c:dLbls>
          <c:showLegendKey val="0"/>
          <c:showVal val="0"/>
          <c:showCatName val="0"/>
          <c:showSerName val="0"/>
          <c:showPercent val="0"/>
          <c:showBubbleSize val="0"/>
        </c:dLbls>
        <c:gapWidth val="58"/>
        <c:axId val="575400064"/>
        <c:axId val="575400456"/>
      </c:barChart>
      <c:catAx>
        <c:axId val="575400064"/>
        <c:scaling>
          <c:orientation val="minMax"/>
        </c:scaling>
        <c:delete val="0"/>
        <c:axPos val="b"/>
        <c:numFmt formatCode="General" sourceLinked="0"/>
        <c:majorTickMark val="out"/>
        <c:minorTickMark val="none"/>
        <c:tickLblPos val="nextTo"/>
        <c:crossAx val="575400456"/>
        <c:crosses val="autoZero"/>
        <c:auto val="1"/>
        <c:lblAlgn val="ctr"/>
        <c:lblOffset val="100"/>
        <c:noMultiLvlLbl val="0"/>
      </c:catAx>
      <c:valAx>
        <c:axId val="575400456"/>
        <c:scaling>
          <c:orientation val="minMax"/>
        </c:scaling>
        <c:delete val="0"/>
        <c:axPos val="l"/>
        <c:majorGridlines>
          <c:spPr>
            <a:ln>
              <a:solidFill>
                <a:schemeClr val="bg1"/>
              </a:solidFill>
            </a:ln>
          </c:spPr>
        </c:majorGridlines>
        <c:title>
          <c:tx>
            <c:rich>
              <a:bodyPr rot="-5400000" vert="horz"/>
              <a:lstStyle/>
              <a:p>
                <a:pPr>
                  <a:defRPr/>
                </a:pPr>
                <a:r>
                  <a:rPr lang="en-US"/>
                  <a:t>Percentage of full-time employees trained</a:t>
                </a:r>
              </a:p>
            </c:rich>
          </c:tx>
          <c:overlay val="0"/>
        </c:title>
        <c:numFmt formatCode="General" sourceLinked="1"/>
        <c:majorTickMark val="out"/>
        <c:minorTickMark val="none"/>
        <c:tickLblPos val="nextTo"/>
        <c:crossAx val="575400064"/>
        <c:crosses val="autoZero"/>
        <c:crossBetween val="between"/>
      </c:valAx>
      <c:spPr>
        <a:solidFill>
          <a:schemeClr val="bg1">
            <a:lumMod val="95000"/>
          </a:schemeClr>
        </a:solidFill>
        <a:ln>
          <a:noFill/>
        </a:ln>
      </c:spPr>
    </c:plotArea>
    <c:legend>
      <c:legendPos val="b"/>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Sheet1!$B$2:$B$6</c:f>
              <c:strCache>
                <c:ptCount val="5"/>
                <c:pt idx="0">
                  <c:v>Product</c:v>
                </c:pt>
                <c:pt idx="1">
                  <c:v>Process</c:v>
                </c:pt>
                <c:pt idx="2">
                  <c:v>Product or Process</c:v>
                </c:pt>
                <c:pt idx="3">
                  <c:v>Organization</c:v>
                </c:pt>
                <c:pt idx="4">
                  <c:v>Marketting</c:v>
                </c:pt>
              </c:strCache>
            </c:strRef>
          </c:cat>
          <c:val>
            <c:numRef>
              <c:f>Sheet1!$C$2:$C$6</c:f>
              <c:numCache>
                <c:formatCode>0%</c:formatCode>
                <c:ptCount val="5"/>
                <c:pt idx="0">
                  <c:v>0.13780000000000001</c:v>
                </c:pt>
                <c:pt idx="1">
                  <c:v>0.29580000000000001</c:v>
                </c:pt>
                <c:pt idx="2">
                  <c:v>0.37090000000000001</c:v>
                </c:pt>
                <c:pt idx="3">
                  <c:v>0.47049999999999997</c:v>
                </c:pt>
                <c:pt idx="4">
                  <c:v>0.51549999999999996</c:v>
                </c:pt>
              </c:numCache>
            </c:numRef>
          </c:val>
          <c:extLst xmlns:c16r2="http://schemas.microsoft.com/office/drawing/2015/06/chart">
            <c:ext xmlns:c16="http://schemas.microsoft.com/office/drawing/2014/chart" uri="{C3380CC4-5D6E-409C-BE32-E72D297353CC}">
              <c16:uniqueId val="{00000000-6FA8-46C0-83D8-85F3E0929F0C}"/>
            </c:ext>
          </c:extLst>
        </c:ser>
        <c:dLbls>
          <c:showLegendKey val="0"/>
          <c:showVal val="0"/>
          <c:showCatName val="0"/>
          <c:showSerName val="0"/>
          <c:showPercent val="0"/>
          <c:showBubbleSize val="0"/>
        </c:dLbls>
        <c:gapWidth val="58"/>
        <c:axId val="575401240"/>
        <c:axId val="575401632"/>
      </c:barChart>
      <c:catAx>
        <c:axId val="575401240"/>
        <c:scaling>
          <c:orientation val="minMax"/>
        </c:scaling>
        <c:delete val="0"/>
        <c:axPos val="b"/>
        <c:numFmt formatCode="General" sourceLinked="0"/>
        <c:majorTickMark val="out"/>
        <c:minorTickMark val="none"/>
        <c:tickLblPos val="nextTo"/>
        <c:crossAx val="575401632"/>
        <c:crosses val="autoZero"/>
        <c:auto val="1"/>
        <c:lblAlgn val="ctr"/>
        <c:lblOffset val="100"/>
        <c:noMultiLvlLbl val="0"/>
      </c:catAx>
      <c:valAx>
        <c:axId val="575401632"/>
        <c:scaling>
          <c:orientation val="minMax"/>
        </c:scaling>
        <c:delete val="0"/>
        <c:axPos val="l"/>
        <c:majorGridlines>
          <c:spPr>
            <a:ln>
              <a:solidFill>
                <a:schemeClr val="bg1"/>
              </a:solidFill>
              <a:prstDash val="solid"/>
            </a:ln>
          </c:spPr>
        </c:majorGridlines>
        <c:numFmt formatCode="0%" sourceLinked="1"/>
        <c:majorTickMark val="out"/>
        <c:minorTickMark val="none"/>
        <c:tickLblPos val="nextTo"/>
        <c:crossAx val="575401240"/>
        <c:crosses val="autoZero"/>
        <c:crossBetween val="between"/>
      </c:valAx>
      <c:spPr>
        <a:solidFill>
          <a:schemeClr val="bg1">
            <a:lumMod val="95000"/>
          </a:schemeClr>
        </a:solidFill>
        <a:ln>
          <a:noFill/>
        </a:ln>
      </c:spPr>
    </c:plotArea>
    <c:plotVisOnly val="1"/>
    <c:dispBlanksAs val="gap"/>
    <c:showDLblsOverMax val="0"/>
  </c:chart>
  <c:spPr>
    <a:ln>
      <a:noFill/>
    </a:ln>
  </c:spPr>
  <c:txPr>
    <a:bodyPr/>
    <a:lstStyle/>
    <a:p>
      <a:pPr>
        <a:defRPr>
          <a:latin typeface="Trebuchet MS" panose="020B0603020202020204"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708835814127888E-2"/>
          <c:y val="7.6388888888888895E-2"/>
          <c:w val="0.90492793052031284"/>
          <c:h val="0.70847222222222217"/>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Sheet1!$B$13:$B$17</c:f>
              <c:strCache>
                <c:ptCount val="5"/>
                <c:pt idx="0">
                  <c:v>Firm</c:v>
                </c:pt>
                <c:pt idx="1">
                  <c:v>Local</c:v>
                </c:pt>
                <c:pt idx="2">
                  <c:v>National</c:v>
                </c:pt>
                <c:pt idx="3">
                  <c:v>International</c:v>
                </c:pt>
                <c:pt idx="4">
                  <c:v>% Revenue from new products</c:v>
                </c:pt>
              </c:strCache>
            </c:strRef>
          </c:cat>
          <c:val>
            <c:numRef>
              <c:f>Sheet1!$C$13:$C$17</c:f>
              <c:numCache>
                <c:formatCode>0%</c:formatCode>
                <c:ptCount val="5"/>
                <c:pt idx="0">
                  <c:v>0.13780000000000001</c:v>
                </c:pt>
                <c:pt idx="1">
                  <c:v>4.7809999999999998E-2</c:v>
                </c:pt>
                <c:pt idx="2">
                  <c:v>1.6990000000000002E-2</c:v>
                </c:pt>
                <c:pt idx="3">
                  <c:v>2.1710000000000002E-3</c:v>
                </c:pt>
                <c:pt idx="4">
                  <c:v>0.24809999999999999</c:v>
                </c:pt>
              </c:numCache>
            </c:numRef>
          </c:val>
          <c:extLst xmlns:c16r2="http://schemas.microsoft.com/office/drawing/2015/06/chart">
            <c:ext xmlns:c16="http://schemas.microsoft.com/office/drawing/2014/chart" uri="{C3380CC4-5D6E-409C-BE32-E72D297353CC}">
              <c16:uniqueId val="{00000000-1445-42F6-8EAF-49302AF18D1F}"/>
            </c:ext>
          </c:extLst>
        </c:ser>
        <c:dLbls>
          <c:showLegendKey val="0"/>
          <c:showVal val="0"/>
          <c:showCatName val="0"/>
          <c:showSerName val="0"/>
          <c:showPercent val="0"/>
          <c:showBubbleSize val="0"/>
        </c:dLbls>
        <c:gapWidth val="58"/>
        <c:axId val="575402416"/>
        <c:axId val="575402808"/>
      </c:barChart>
      <c:catAx>
        <c:axId val="575402416"/>
        <c:scaling>
          <c:orientation val="minMax"/>
        </c:scaling>
        <c:delete val="0"/>
        <c:axPos val="b"/>
        <c:numFmt formatCode="General" sourceLinked="0"/>
        <c:majorTickMark val="out"/>
        <c:minorTickMark val="none"/>
        <c:tickLblPos val="nextTo"/>
        <c:crossAx val="575402808"/>
        <c:crosses val="autoZero"/>
        <c:auto val="1"/>
        <c:lblAlgn val="ctr"/>
        <c:lblOffset val="100"/>
        <c:noMultiLvlLbl val="0"/>
      </c:catAx>
      <c:valAx>
        <c:axId val="575402808"/>
        <c:scaling>
          <c:orientation val="minMax"/>
        </c:scaling>
        <c:delete val="0"/>
        <c:axPos val="l"/>
        <c:majorGridlines>
          <c:spPr>
            <a:ln>
              <a:solidFill>
                <a:schemeClr val="bg1"/>
              </a:solidFill>
              <a:prstDash val="solid"/>
            </a:ln>
          </c:spPr>
        </c:majorGridlines>
        <c:numFmt formatCode="0%" sourceLinked="1"/>
        <c:majorTickMark val="out"/>
        <c:minorTickMark val="none"/>
        <c:tickLblPos val="nextTo"/>
        <c:crossAx val="575402416"/>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a:latin typeface="Trebuchet MS" panose="020B0603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Sheet1!$C$1</c:f>
              <c:strCache>
                <c:ptCount val="1"/>
                <c:pt idx="0">
                  <c:v>% saying area is serious concern</c:v>
                </c:pt>
              </c:strCache>
            </c:strRef>
          </c:tx>
          <c:invertIfNegative val="0"/>
          <c:dPt>
            <c:idx val="0"/>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1-BB53-41CE-9D33-0B323E473554}"/>
              </c:ext>
            </c:extLst>
          </c:dPt>
          <c:dPt>
            <c:idx val="1"/>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3-BB53-41CE-9D33-0B323E473554}"/>
              </c:ext>
            </c:extLst>
          </c:dPt>
          <c:dPt>
            <c:idx val="2"/>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5-BB53-41CE-9D33-0B323E473554}"/>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7-BB53-41CE-9D33-0B323E473554}"/>
              </c:ext>
            </c:extLst>
          </c:dPt>
          <c:dPt>
            <c:idx val="4"/>
            <c:invertIfNegative val="0"/>
            <c:bubble3D val="0"/>
            <c:spPr>
              <a:solidFill>
                <a:schemeClr val="accent6"/>
              </a:solidFill>
            </c:spPr>
            <c:extLst xmlns:c16r2="http://schemas.microsoft.com/office/drawing/2015/06/chart">
              <c:ext xmlns:c16="http://schemas.microsoft.com/office/drawing/2014/chart" uri="{C3380CC4-5D6E-409C-BE32-E72D297353CC}">
                <c16:uniqueId val="{00000009-BB53-41CE-9D33-0B323E473554}"/>
              </c:ext>
            </c:extLst>
          </c:dPt>
          <c:dPt>
            <c:idx val="5"/>
            <c:invertIfNegative val="0"/>
            <c:bubble3D val="0"/>
            <c:spPr>
              <a:solidFill>
                <a:schemeClr val="accent6"/>
              </a:solidFill>
            </c:spPr>
            <c:extLst xmlns:c16r2="http://schemas.microsoft.com/office/drawing/2015/06/chart">
              <c:ext xmlns:c16="http://schemas.microsoft.com/office/drawing/2014/chart" uri="{C3380CC4-5D6E-409C-BE32-E72D297353CC}">
                <c16:uniqueId val="{0000000B-BB53-41CE-9D33-0B323E473554}"/>
              </c:ext>
            </c:extLst>
          </c:dPt>
          <c:dPt>
            <c:idx val="6"/>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D-BB53-41CE-9D33-0B323E473554}"/>
              </c:ext>
            </c:extLst>
          </c:dPt>
          <c:dPt>
            <c:idx val="7"/>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F-BB53-41CE-9D33-0B323E473554}"/>
              </c:ext>
            </c:extLst>
          </c:dPt>
          <c:dPt>
            <c:idx val="8"/>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11-BB53-41CE-9D33-0B323E473554}"/>
              </c:ext>
            </c:extLst>
          </c:dPt>
          <c:dPt>
            <c:idx val="9"/>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13-BB53-41CE-9D33-0B323E473554}"/>
              </c:ext>
            </c:extLst>
          </c:dPt>
          <c:dPt>
            <c:idx val="10"/>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15-BB53-41CE-9D33-0B323E473554}"/>
              </c:ext>
            </c:extLst>
          </c:dPt>
          <c:dPt>
            <c:idx val="11"/>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17-BB53-41CE-9D33-0B323E473554}"/>
              </c:ext>
            </c:extLst>
          </c:dPt>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Sheet1!$A$2:$B$13</c:f>
              <c:multiLvlStrCache>
                <c:ptCount val="12"/>
                <c:lvl>
                  <c:pt idx="0">
                    <c:v>Electricity</c:v>
                  </c:pt>
                  <c:pt idx="1">
                    <c:v>Tax Rates</c:v>
                  </c:pt>
                  <c:pt idx="2">
                    <c:v>Corruption</c:v>
                  </c:pt>
                  <c:pt idx="3">
                    <c:v>Electricity</c:v>
                  </c:pt>
                  <c:pt idx="4">
                    <c:v>Corruption</c:v>
                  </c:pt>
                  <c:pt idx="5">
                    <c:v>Political instability</c:v>
                  </c:pt>
                  <c:pt idx="6">
                    <c:v>Access to finance</c:v>
                  </c:pt>
                  <c:pt idx="7">
                    <c:v>Electricity</c:v>
                  </c:pt>
                  <c:pt idx="8">
                    <c:v>Corruption</c:v>
                  </c:pt>
                  <c:pt idx="9">
                    <c:v>Corruption</c:v>
                  </c:pt>
                  <c:pt idx="10">
                    <c:v>Electricity</c:v>
                  </c:pt>
                  <c:pt idx="11">
                    <c:v>Political instability</c:v>
                  </c:pt>
                </c:lvl>
                <c:lvl>
                  <c:pt idx="0">
                    <c:v>Lagos</c:v>
                  </c:pt>
                  <c:pt idx="3">
                    <c:v>Kano/Kaduna</c:v>
                  </c:pt>
                  <c:pt idx="6">
                    <c:v>Other South</c:v>
                  </c:pt>
                  <c:pt idx="9">
                    <c:v>Other North</c:v>
                  </c:pt>
                </c:lvl>
              </c:multiLvlStrCache>
            </c:multiLvlStrRef>
          </c:cat>
          <c:val>
            <c:numRef>
              <c:f>Sheet1!$C$2:$C$13</c:f>
              <c:numCache>
                <c:formatCode>General</c:formatCode>
                <c:ptCount val="12"/>
                <c:pt idx="0">
                  <c:v>0.52523500000000001</c:v>
                </c:pt>
                <c:pt idx="1">
                  <c:v>0.40130359999999998</c:v>
                </c:pt>
                <c:pt idx="2">
                  <c:v>0.34953070000000003</c:v>
                </c:pt>
                <c:pt idx="3">
                  <c:v>0.62056670000000003</c:v>
                </c:pt>
                <c:pt idx="4">
                  <c:v>0.48835529999999999</c:v>
                </c:pt>
                <c:pt idx="5">
                  <c:v>0.43027470000000001</c:v>
                </c:pt>
                <c:pt idx="6">
                  <c:v>0.51455459999999997</c:v>
                </c:pt>
                <c:pt idx="7">
                  <c:v>0.47839110000000001</c:v>
                </c:pt>
                <c:pt idx="8">
                  <c:v>0.4686688</c:v>
                </c:pt>
                <c:pt idx="9">
                  <c:v>0.45063819999999999</c:v>
                </c:pt>
                <c:pt idx="10">
                  <c:v>0.4135452</c:v>
                </c:pt>
                <c:pt idx="11">
                  <c:v>0.2100236</c:v>
                </c:pt>
              </c:numCache>
            </c:numRef>
          </c:val>
          <c:extLst xmlns:c16r2="http://schemas.microsoft.com/office/drawing/2015/06/chart">
            <c:ext xmlns:c16="http://schemas.microsoft.com/office/drawing/2014/chart" uri="{C3380CC4-5D6E-409C-BE32-E72D297353CC}">
              <c16:uniqueId val="{00000018-BB53-41CE-9D33-0B323E473554}"/>
            </c:ext>
          </c:extLst>
        </c:ser>
        <c:dLbls>
          <c:showLegendKey val="0"/>
          <c:showVal val="0"/>
          <c:showCatName val="0"/>
          <c:showSerName val="0"/>
          <c:showPercent val="0"/>
          <c:showBubbleSize val="0"/>
        </c:dLbls>
        <c:gapWidth val="57"/>
        <c:axId val="475792208"/>
        <c:axId val="475792600"/>
      </c:barChart>
      <c:catAx>
        <c:axId val="475792208"/>
        <c:scaling>
          <c:orientation val="minMax"/>
        </c:scaling>
        <c:delete val="0"/>
        <c:axPos val="b"/>
        <c:numFmt formatCode="General" sourceLinked="0"/>
        <c:majorTickMark val="out"/>
        <c:minorTickMark val="none"/>
        <c:tickLblPos val="nextTo"/>
        <c:crossAx val="475792600"/>
        <c:crosses val="autoZero"/>
        <c:auto val="1"/>
        <c:lblAlgn val="ctr"/>
        <c:lblOffset val="100"/>
        <c:noMultiLvlLbl val="0"/>
      </c:catAx>
      <c:valAx>
        <c:axId val="475792600"/>
        <c:scaling>
          <c:orientation val="minMax"/>
        </c:scaling>
        <c:delete val="0"/>
        <c:axPos val="l"/>
        <c:majorGridlines>
          <c:spPr>
            <a:ln>
              <a:solidFill>
                <a:schemeClr val="bg1"/>
              </a:solidFill>
            </a:ln>
          </c:spPr>
        </c:majorGridlines>
        <c:numFmt formatCode="0%" sourceLinked="0"/>
        <c:majorTickMark val="out"/>
        <c:minorTickMark val="none"/>
        <c:tickLblPos val="nextTo"/>
        <c:crossAx val="475792208"/>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Sheet1!$B$19:$B$22</c:f>
              <c:strCache>
                <c:ptCount val="4"/>
                <c:pt idx="0">
                  <c:v>Process Innovation</c:v>
                </c:pt>
                <c:pt idx="1">
                  <c:v>Method</c:v>
                </c:pt>
                <c:pt idx="2">
                  <c:v>Logistics</c:v>
                </c:pt>
                <c:pt idx="3">
                  <c:v>Production support</c:v>
                </c:pt>
              </c:strCache>
            </c:strRef>
          </c:cat>
          <c:val>
            <c:numRef>
              <c:f>Sheet1!$C$19:$C$22</c:f>
              <c:numCache>
                <c:formatCode>0%</c:formatCode>
                <c:ptCount val="4"/>
                <c:pt idx="0">
                  <c:v>0.29580000000000001</c:v>
                </c:pt>
                <c:pt idx="1">
                  <c:v>0.22500000000000001</c:v>
                </c:pt>
                <c:pt idx="2">
                  <c:v>0.24449000000000001</c:v>
                </c:pt>
                <c:pt idx="3">
                  <c:v>0.1573</c:v>
                </c:pt>
              </c:numCache>
            </c:numRef>
          </c:val>
          <c:extLst xmlns:c16r2="http://schemas.microsoft.com/office/drawing/2015/06/chart">
            <c:ext xmlns:c16="http://schemas.microsoft.com/office/drawing/2014/chart" uri="{C3380CC4-5D6E-409C-BE32-E72D297353CC}">
              <c16:uniqueId val="{00000000-4F4B-40B9-9C78-0DCC6708A02D}"/>
            </c:ext>
          </c:extLst>
        </c:ser>
        <c:dLbls>
          <c:showLegendKey val="0"/>
          <c:showVal val="0"/>
          <c:showCatName val="0"/>
          <c:showSerName val="0"/>
          <c:showPercent val="0"/>
          <c:showBubbleSize val="0"/>
        </c:dLbls>
        <c:gapWidth val="55"/>
        <c:axId val="575403592"/>
        <c:axId val="575403984"/>
      </c:barChart>
      <c:catAx>
        <c:axId val="575403592"/>
        <c:scaling>
          <c:orientation val="minMax"/>
        </c:scaling>
        <c:delete val="0"/>
        <c:axPos val="b"/>
        <c:numFmt formatCode="General" sourceLinked="0"/>
        <c:majorTickMark val="out"/>
        <c:minorTickMark val="none"/>
        <c:tickLblPos val="nextTo"/>
        <c:crossAx val="575403984"/>
        <c:crosses val="autoZero"/>
        <c:auto val="1"/>
        <c:lblAlgn val="ctr"/>
        <c:lblOffset val="100"/>
        <c:noMultiLvlLbl val="0"/>
      </c:catAx>
      <c:valAx>
        <c:axId val="575403984"/>
        <c:scaling>
          <c:orientation val="minMax"/>
        </c:scaling>
        <c:delete val="0"/>
        <c:axPos val="l"/>
        <c:majorGridlines>
          <c:spPr>
            <a:ln>
              <a:solidFill>
                <a:schemeClr val="bg1"/>
              </a:solidFill>
              <a:prstDash val="solid"/>
            </a:ln>
          </c:spPr>
        </c:majorGridlines>
        <c:numFmt formatCode="0%" sourceLinked="1"/>
        <c:majorTickMark val="out"/>
        <c:minorTickMark val="none"/>
        <c:tickLblPos val="nextTo"/>
        <c:crossAx val="575403592"/>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a:latin typeface="Trebuchet MS" panose="020B0603020202020204"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Sheet1!$B$46</c:f>
              <c:strCache>
                <c:ptCount val="1"/>
                <c:pt idx="0">
                  <c:v>Own ideas</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Sheet1!$A$47:$A$55</c:f>
              <c:strCache>
                <c:ptCount val="9"/>
                <c:pt idx="0">
                  <c:v>DRC</c:v>
                </c:pt>
                <c:pt idx="1">
                  <c:v>GHA</c:v>
                </c:pt>
                <c:pt idx="2">
                  <c:v>KEN</c:v>
                </c:pt>
                <c:pt idx="3">
                  <c:v>NAM</c:v>
                </c:pt>
                <c:pt idx="4">
                  <c:v>NGA</c:v>
                </c:pt>
                <c:pt idx="5">
                  <c:v>SSD</c:v>
                </c:pt>
                <c:pt idx="6">
                  <c:v>SDN</c:v>
                </c:pt>
                <c:pt idx="7">
                  <c:v>TZA</c:v>
                </c:pt>
                <c:pt idx="8">
                  <c:v>UGA</c:v>
                </c:pt>
              </c:strCache>
            </c:strRef>
          </c:cat>
          <c:val>
            <c:numRef>
              <c:f>Sheet1!$B$47:$B$55</c:f>
              <c:numCache>
                <c:formatCode>General</c:formatCode>
                <c:ptCount val="9"/>
                <c:pt idx="0">
                  <c:v>78.900000000000006</c:v>
                </c:pt>
                <c:pt idx="1">
                  <c:v>63.3</c:v>
                </c:pt>
                <c:pt idx="2">
                  <c:v>65.400000000000006</c:v>
                </c:pt>
                <c:pt idx="3">
                  <c:v>65.599999999999994</c:v>
                </c:pt>
                <c:pt idx="4">
                  <c:v>85.4</c:v>
                </c:pt>
                <c:pt idx="5">
                  <c:v>76.599999999999994</c:v>
                </c:pt>
                <c:pt idx="6">
                  <c:v>66.099999999999994</c:v>
                </c:pt>
                <c:pt idx="7">
                  <c:v>61.7</c:v>
                </c:pt>
                <c:pt idx="8">
                  <c:v>64.400000000000006</c:v>
                </c:pt>
              </c:numCache>
            </c:numRef>
          </c:val>
          <c:extLst xmlns:c16r2="http://schemas.microsoft.com/office/drawing/2015/06/chart">
            <c:ext xmlns:c16="http://schemas.microsoft.com/office/drawing/2014/chart" uri="{C3380CC4-5D6E-409C-BE32-E72D297353CC}">
              <c16:uniqueId val="{00000000-23E3-4B1C-B62F-9811E40468C4}"/>
            </c:ext>
          </c:extLst>
        </c:ser>
        <c:ser>
          <c:idx val="1"/>
          <c:order val="1"/>
          <c:tx>
            <c:strRef>
              <c:f>Sheet1!$C$46</c:f>
              <c:strCache>
                <c:ptCount val="1"/>
                <c:pt idx="0">
                  <c:v>Another firm, entirely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Sheet1!$A$47:$A$55</c:f>
              <c:strCache>
                <c:ptCount val="9"/>
                <c:pt idx="0">
                  <c:v>DRC</c:v>
                </c:pt>
                <c:pt idx="1">
                  <c:v>GHA</c:v>
                </c:pt>
                <c:pt idx="2">
                  <c:v>KEN</c:v>
                </c:pt>
                <c:pt idx="3">
                  <c:v>NAM</c:v>
                </c:pt>
                <c:pt idx="4">
                  <c:v>NGA</c:v>
                </c:pt>
                <c:pt idx="5">
                  <c:v>SSD</c:v>
                </c:pt>
                <c:pt idx="6">
                  <c:v>SDN</c:v>
                </c:pt>
                <c:pt idx="7">
                  <c:v>TZA</c:v>
                </c:pt>
                <c:pt idx="8">
                  <c:v>UGA</c:v>
                </c:pt>
              </c:strCache>
            </c:strRef>
          </c:cat>
          <c:val>
            <c:numRef>
              <c:f>Sheet1!$C$47:$C$55</c:f>
              <c:numCache>
                <c:formatCode>General</c:formatCode>
                <c:ptCount val="9"/>
                <c:pt idx="0">
                  <c:v>11.4</c:v>
                </c:pt>
                <c:pt idx="1">
                  <c:v>26.4</c:v>
                </c:pt>
                <c:pt idx="2">
                  <c:v>19.7</c:v>
                </c:pt>
                <c:pt idx="3">
                  <c:v>32.9</c:v>
                </c:pt>
                <c:pt idx="4">
                  <c:v>9.6</c:v>
                </c:pt>
                <c:pt idx="5">
                  <c:v>21</c:v>
                </c:pt>
                <c:pt idx="6">
                  <c:v>25</c:v>
                </c:pt>
                <c:pt idx="7">
                  <c:v>10.9</c:v>
                </c:pt>
                <c:pt idx="8">
                  <c:v>29.4</c:v>
                </c:pt>
              </c:numCache>
            </c:numRef>
          </c:val>
          <c:extLst xmlns:c16r2="http://schemas.microsoft.com/office/drawing/2015/06/chart">
            <c:ext xmlns:c16="http://schemas.microsoft.com/office/drawing/2014/chart" uri="{C3380CC4-5D6E-409C-BE32-E72D297353CC}">
              <c16:uniqueId val="{00000001-23E3-4B1C-B62F-9811E40468C4}"/>
            </c:ext>
          </c:extLst>
        </c:ser>
        <c:ser>
          <c:idx val="2"/>
          <c:order val="2"/>
          <c:tx>
            <c:strRef>
              <c:f>Sheet1!$D$46</c:f>
              <c:strCache>
                <c:ptCount val="1"/>
                <c:pt idx="0">
                  <c:v>In cooperation with other firms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Sheet1!$A$47:$A$55</c:f>
              <c:strCache>
                <c:ptCount val="9"/>
                <c:pt idx="0">
                  <c:v>DRC</c:v>
                </c:pt>
                <c:pt idx="1">
                  <c:v>GHA</c:v>
                </c:pt>
                <c:pt idx="2">
                  <c:v>KEN</c:v>
                </c:pt>
                <c:pt idx="3">
                  <c:v>NAM</c:v>
                </c:pt>
                <c:pt idx="4">
                  <c:v>NGA</c:v>
                </c:pt>
                <c:pt idx="5">
                  <c:v>SSD</c:v>
                </c:pt>
                <c:pt idx="6">
                  <c:v>SDN</c:v>
                </c:pt>
                <c:pt idx="7">
                  <c:v>TZA</c:v>
                </c:pt>
                <c:pt idx="8">
                  <c:v>UGA</c:v>
                </c:pt>
              </c:strCache>
            </c:strRef>
          </c:cat>
          <c:val>
            <c:numRef>
              <c:f>Sheet1!$D$47:$D$55</c:f>
              <c:numCache>
                <c:formatCode>General</c:formatCode>
                <c:ptCount val="9"/>
                <c:pt idx="0">
                  <c:v>7.9</c:v>
                </c:pt>
                <c:pt idx="1">
                  <c:v>6.6</c:v>
                </c:pt>
                <c:pt idx="2">
                  <c:v>7.5</c:v>
                </c:pt>
                <c:pt idx="3">
                  <c:v>1.5</c:v>
                </c:pt>
                <c:pt idx="4">
                  <c:v>5</c:v>
                </c:pt>
                <c:pt idx="5">
                  <c:v>2.4</c:v>
                </c:pt>
                <c:pt idx="6">
                  <c:v>8.9</c:v>
                </c:pt>
                <c:pt idx="7">
                  <c:v>20.9</c:v>
                </c:pt>
                <c:pt idx="8">
                  <c:v>2.5</c:v>
                </c:pt>
              </c:numCache>
            </c:numRef>
          </c:val>
          <c:extLst xmlns:c16r2="http://schemas.microsoft.com/office/drawing/2015/06/chart">
            <c:ext xmlns:c16="http://schemas.microsoft.com/office/drawing/2014/chart" uri="{C3380CC4-5D6E-409C-BE32-E72D297353CC}">
              <c16:uniqueId val="{00000002-23E3-4B1C-B62F-9811E40468C4}"/>
            </c:ext>
          </c:extLst>
        </c:ser>
        <c:ser>
          <c:idx val="3"/>
          <c:order val="3"/>
          <c:tx>
            <c:strRef>
              <c:f>Sheet1!$E$46</c:f>
              <c:strCache>
                <c:ptCount val="1"/>
                <c:pt idx="0">
                  <c:v>In cooperation with academia/gov</c:v>
                </c:pt>
              </c:strCache>
            </c:strRef>
          </c:tx>
          <c:invertIfNegative val="0"/>
          <c:cat>
            <c:strRef>
              <c:f>Sheet1!$A$47:$A$55</c:f>
              <c:strCache>
                <c:ptCount val="9"/>
                <c:pt idx="0">
                  <c:v>DRC</c:v>
                </c:pt>
                <c:pt idx="1">
                  <c:v>GHA</c:v>
                </c:pt>
                <c:pt idx="2">
                  <c:v>KEN</c:v>
                </c:pt>
                <c:pt idx="3">
                  <c:v>NAM</c:v>
                </c:pt>
                <c:pt idx="4">
                  <c:v>NGA</c:v>
                </c:pt>
                <c:pt idx="5">
                  <c:v>SSD</c:v>
                </c:pt>
                <c:pt idx="6">
                  <c:v>SDN</c:v>
                </c:pt>
                <c:pt idx="7">
                  <c:v>TZA</c:v>
                </c:pt>
                <c:pt idx="8">
                  <c:v>UGA</c:v>
                </c:pt>
              </c:strCache>
            </c:strRef>
          </c:cat>
          <c:val>
            <c:numRef>
              <c:f>Sheet1!$E$47:$E$55</c:f>
              <c:numCache>
                <c:formatCode>General</c:formatCode>
                <c:ptCount val="9"/>
                <c:pt idx="0">
                  <c:v>1.8</c:v>
                </c:pt>
                <c:pt idx="1">
                  <c:v>3.7</c:v>
                </c:pt>
                <c:pt idx="2">
                  <c:v>7.4</c:v>
                </c:pt>
                <c:pt idx="3">
                  <c:v>0</c:v>
                </c:pt>
                <c:pt idx="4">
                  <c:v>0</c:v>
                </c:pt>
                <c:pt idx="5">
                  <c:v>0</c:v>
                </c:pt>
                <c:pt idx="6">
                  <c:v>0</c:v>
                </c:pt>
                <c:pt idx="7">
                  <c:v>6.5</c:v>
                </c:pt>
                <c:pt idx="8">
                  <c:v>3.7</c:v>
                </c:pt>
              </c:numCache>
            </c:numRef>
          </c:val>
          <c:extLst xmlns:c16r2="http://schemas.microsoft.com/office/drawing/2015/06/chart">
            <c:ext xmlns:c16="http://schemas.microsoft.com/office/drawing/2014/chart" uri="{C3380CC4-5D6E-409C-BE32-E72D297353CC}">
              <c16:uniqueId val="{00000003-23E3-4B1C-B62F-9811E40468C4}"/>
            </c:ext>
          </c:extLst>
        </c:ser>
        <c:dLbls>
          <c:showLegendKey val="0"/>
          <c:showVal val="0"/>
          <c:showCatName val="0"/>
          <c:showSerName val="0"/>
          <c:showPercent val="0"/>
          <c:showBubbleSize val="0"/>
        </c:dLbls>
        <c:gapWidth val="58"/>
        <c:overlap val="100"/>
        <c:axId val="575404768"/>
        <c:axId val="575405160"/>
      </c:barChart>
      <c:catAx>
        <c:axId val="575404768"/>
        <c:scaling>
          <c:orientation val="minMax"/>
        </c:scaling>
        <c:delete val="0"/>
        <c:axPos val="l"/>
        <c:numFmt formatCode="General" sourceLinked="0"/>
        <c:majorTickMark val="out"/>
        <c:minorTickMark val="none"/>
        <c:tickLblPos val="nextTo"/>
        <c:crossAx val="575405160"/>
        <c:crosses val="autoZero"/>
        <c:auto val="1"/>
        <c:lblAlgn val="ctr"/>
        <c:lblOffset val="100"/>
        <c:noMultiLvlLbl val="0"/>
      </c:catAx>
      <c:valAx>
        <c:axId val="575405160"/>
        <c:scaling>
          <c:orientation val="minMax"/>
        </c:scaling>
        <c:delete val="0"/>
        <c:axPos val="b"/>
        <c:majorGridlines/>
        <c:numFmt formatCode="0%" sourceLinked="1"/>
        <c:majorTickMark val="out"/>
        <c:minorTickMark val="none"/>
        <c:tickLblPos val="nextTo"/>
        <c:crossAx val="575404768"/>
        <c:crosses val="autoZero"/>
        <c:crossBetween val="between"/>
      </c:valAx>
    </c:plotArea>
    <c:legend>
      <c:legendPos val="b"/>
      <c:overlay val="0"/>
    </c:legend>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1290463692039E-2"/>
          <c:y val="5.9998788612961838E-2"/>
          <c:w val="0.90652413240011664"/>
          <c:h val="0.42945366444579042"/>
        </c:manualLayout>
      </c:layout>
      <c:barChart>
        <c:barDir val="col"/>
        <c:grouping val="clustered"/>
        <c:varyColors val="0"/>
        <c:ser>
          <c:idx val="1"/>
          <c:order val="0"/>
          <c:tx>
            <c:strRef>
              <c:f>Sheet1!$C$1</c:f>
              <c:strCache>
                <c:ptCount val="1"/>
                <c:pt idx="0">
                  <c:v>Column1</c:v>
                </c:pt>
              </c:strCache>
            </c:strRef>
          </c:tx>
          <c:invertIfNegative val="0"/>
          <c:dPt>
            <c:idx val="0"/>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1-919E-4629-9914-9A1BB522972B}"/>
              </c:ext>
            </c:extLst>
          </c:dPt>
          <c:dPt>
            <c:idx val="1"/>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3-919E-4629-9914-9A1BB522972B}"/>
              </c:ext>
            </c:extLst>
          </c:dPt>
          <c:dPt>
            <c:idx val="2"/>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5-919E-4629-9914-9A1BB522972B}"/>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7-919E-4629-9914-9A1BB522972B}"/>
              </c:ext>
            </c:extLst>
          </c:dPt>
          <c:dPt>
            <c:idx val="4"/>
            <c:invertIfNegative val="0"/>
            <c:bubble3D val="0"/>
            <c:spPr>
              <a:solidFill>
                <a:schemeClr val="accent6"/>
              </a:solidFill>
            </c:spPr>
            <c:extLst xmlns:c16r2="http://schemas.microsoft.com/office/drawing/2015/06/chart">
              <c:ext xmlns:c16="http://schemas.microsoft.com/office/drawing/2014/chart" uri="{C3380CC4-5D6E-409C-BE32-E72D297353CC}">
                <c16:uniqueId val="{00000009-919E-4629-9914-9A1BB522972B}"/>
              </c:ext>
            </c:extLst>
          </c:dPt>
          <c:dPt>
            <c:idx val="5"/>
            <c:invertIfNegative val="0"/>
            <c:bubble3D val="0"/>
            <c:spPr>
              <a:solidFill>
                <a:schemeClr val="accent6"/>
              </a:solidFill>
            </c:spPr>
            <c:extLst xmlns:c16r2="http://schemas.microsoft.com/office/drawing/2015/06/chart">
              <c:ext xmlns:c16="http://schemas.microsoft.com/office/drawing/2014/chart" uri="{C3380CC4-5D6E-409C-BE32-E72D297353CC}">
                <c16:uniqueId val="{0000000B-919E-4629-9914-9A1BB522972B}"/>
              </c:ext>
            </c:extLst>
          </c:dPt>
          <c:dPt>
            <c:idx val="6"/>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D-919E-4629-9914-9A1BB522972B}"/>
              </c:ext>
            </c:extLst>
          </c:dPt>
          <c:dPt>
            <c:idx val="7"/>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F-919E-4629-9914-9A1BB522972B}"/>
              </c:ext>
            </c:extLst>
          </c:dPt>
          <c:dPt>
            <c:idx val="8"/>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11-919E-4629-9914-9A1BB522972B}"/>
              </c:ext>
            </c:extLst>
          </c:dPt>
          <c:dPt>
            <c:idx val="9"/>
            <c:invertIfNegative val="0"/>
            <c:bubble3D val="0"/>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13-919E-4629-9914-9A1BB522972B}"/>
              </c:ext>
            </c:extLst>
          </c:dPt>
          <c:dPt>
            <c:idx val="10"/>
            <c:invertIfNegative val="0"/>
            <c:bubble3D val="0"/>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15-919E-4629-9914-9A1BB522972B}"/>
              </c:ext>
            </c:extLst>
          </c:dPt>
          <c:dPt>
            <c:idx val="11"/>
            <c:invertIfNegative val="0"/>
            <c:bubble3D val="0"/>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17-919E-4629-9914-9A1BB522972B}"/>
              </c:ext>
            </c:extLst>
          </c:dPt>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Sheet1!$A$2:$B$10</c:f>
              <c:multiLvlStrCache>
                <c:ptCount val="9"/>
                <c:lvl>
                  <c:pt idx="0">
                    <c:v>Electricity</c:v>
                  </c:pt>
                  <c:pt idx="1">
                    <c:v>Corruption</c:v>
                  </c:pt>
                  <c:pt idx="2">
                    <c:v>Access to finance</c:v>
                  </c:pt>
                  <c:pt idx="3">
                    <c:v>Corruption</c:v>
                  </c:pt>
                  <c:pt idx="4">
                    <c:v>Electricity</c:v>
                  </c:pt>
                  <c:pt idx="5">
                    <c:v>Access to finance</c:v>
                  </c:pt>
                  <c:pt idx="6">
                    <c:v>Electricity</c:v>
                  </c:pt>
                  <c:pt idx="7">
                    <c:v>Tax Rates</c:v>
                  </c:pt>
                  <c:pt idx="8">
                    <c:v>Tax Administration</c:v>
                  </c:pt>
                </c:lvl>
                <c:lvl>
                  <c:pt idx="0">
                    <c:v>Small</c:v>
                  </c:pt>
                  <c:pt idx="3">
                    <c:v>Medium</c:v>
                  </c:pt>
                  <c:pt idx="6">
                    <c:v>Large</c:v>
                  </c:pt>
                </c:lvl>
              </c:multiLvlStrCache>
            </c:multiLvlStrRef>
          </c:cat>
          <c:val>
            <c:numRef>
              <c:f>Sheet1!$C$2:$C$10</c:f>
              <c:numCache>
                <c:formatCode>General</c:formatCode>
                <c:ptCount val="9"/>
                <c:pt idx="0">
                  <c:v>0.48267769999999999</c:v>
                </c:pt>
                <c:pt idx="1">
                  <c:v>0.43483939999999999</c:v>
                </c:pt>
                <c:pt idx="2">
                  <c:v>0.3418253</c:v>
                </c:pt>
                <c:pt idx="3">
                  <c:v>0.55948419999999999</c:v>
                </c:pt>
                <c:pt idx="4">
                  <c:v>0.42432989999999998</c:v>
                </c:pt>
                <c:pt idx="5">
                  <c:v>0.31666889999999998</c:v>
                </c:pt>
                <c:pt idx="6">
                  <c:v>0.59692590000000001</c:v>
                </c:pt>
                <c:pt idx="7">
                  <c:v>0.37377650000000001</c:v>
                </c:pt>
                <c:pt idx="8">
                  <c:v>0.32594960000000001</c:v>
                </c:pt>
              </c:numCache>
            </c:numRef>
          </c:val>
          <c:extLst xmlns:c16r2="http://schemas.microsoft.com/office/drawing/2015/06/chart">
            <c:ext xmlns:c16="http://schemas.microsoft.com/office/drawing/2014/chart" uri="{C3380CC4-5D6E-409C-BE32-E72D297353CC}">
              <c16:uniqueId val="{00000018-919E-4629-9914-9A1BB522972B}"/>
            </c:ext>
          </c:extLst>
        </c:ser>
        <c:dLbls>
          <c:showLegendKey val="0"/>
          <c:showVal val="0"/>
          <c:showCatName val="0"/>
          <c:showSerName val="0"/>
          <c:showPercent val="0"/>
          <c:showBubbleSize val="0"/>
        </c:dLbls>
        <c:gapWidth val="56"/>
        <c:axId val="475792992"/>
        <c:axId val="475793384"/>
      </c:barChart>
      <c:catAx>
        <c:axId val="475792992"/>
        <c:scaling>
          <c:orientation val="minMax"/>
        </c:scaling>
        <c:delete val="0"/>
        <c:axPos val="b"/>
        <c:numFmt formatCode="General" sourceLinked="0"/>
        <c:majorTickMark val="out"/>
        <c:minorTickMark val="none"/>
        <c:tickLblPos val="nextTo"/>
        <c:crossAx val="475793384"/>
        <c:crosses val="autoZero"/>
        <c:auto val="1"/>
        <c:lblAlgn val="ctr"/>
        <c:lblOffset val="100"/>
        <c:noMultiLvlLbl val="0"/>
      </c:catAx>
      <c:valAx>
        <c:axId val="475793384"/>
        <c:scaling>
          <c:orientation val="minMax"/>
        </c:scaling>
        <c:delete val="0"/>
        <c:axPos val="l"/>
        <c:majorGridlines>
          <c:spPr>
            <a:ln>
              <a:solidFill>
                <a:schemeClr val="bg1"/>
              </a:solidFill>
            </a:ln>
          </c:spPr>
        </c:majorGridlines>
        <c:numFmt formatCode="0%" sourceLinked="0"/>
        <c:majorTickMark val="out"/>
        <c:minorTickMark val="none"/>
        <c:tickLblPos val="nextTo"/>
        <c:crossAx val="475792992"/>
        <c:crosses val="autoZero"/>
        <c:crossBetween val="between"/>
      </c:valAx>
      <c:spPr>
        <a:solidFill>
          <a:schemeClr val="bg1">
            <a:lumMod val="95000"/>
          </a:schemeClr>
        </a:solidFill>
      </c:spPr>
    </c:plotArea>
    <c:plotVisOnly val="1"/>
    <c:dispBlanksAs val="gap"/>
    <c:showDLblsOverMax val="0"/>
  </c:chart>
  <c:spPr>
    <a:noFill/>
    <a:ln>
      <a:noFill/>
    </a:ln>
  </c:spPr>
  <c:txPr>
    <a:bodyPr/>
    <a:lstStyle/>
    <a:p>
      <a:pPr>
        <a:defRPr sz="900">
          <a:latin typeface="Trebuchet MS" panose="020B0603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TFP-Median</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Nigeria</c:v>
                </c:pt>
                <c:pt idx="2">
                  <c:v>Ethiopia 2011</c:v>
                </c:pt>
                <c:pt idx="3">
                  <c:v>Cote d'Ivoire</c:v>
                </c:pt>
                <c:pt idx="4">
                  <c:v>Ghana 2012-14</c:v>
                </c:pt>
                <c:pt idx="5">
                  <c:v>India 2014</c:v>
                </c:pt>
                <c:pt idx="6">
                  <c:v>Kenya 2013</c:v>
                </c:pt>
                <c:pt idx="7">
                  <c:v>Russia 2012</c:v>
                </c:pt>
                <c:pt idx="8">
                  <c:v>China</c:v>
                </c:pt>
                <c:pt idx="9">
                  <c:v>Brazil</c:v>
                </c:pt>
                <c:pt idx="10">
                  <c:v>South Africa 2007-08</c:v>
                </c:pt>
              </c:strCache>
            </c:strRef>
          </c:cat>
          <c:val>
            <c:numRef>
              <c:f>Sheet1!$B$2:$B$12</c:f>
              <c:numCache>
                <c:formatCode>General</c:formatCode>
                <c:ptCount val="11"/>
                <c:pt idx="0">
                  <c:v>1</c:v>
                </c:pt>
                <c:pt idx="2">
                  <c:v>2.2773215645191884</c:v>
                </c:pt>
                <c:pt idx="3">
                  <c:v>2.7483479892901554</c:v>
                </c:pt>
                <c:pt idx="4">
                  <c:v>2.921216093625068</c:v>
                </c:pt>
                <c:pt idx="5">
                  <c:v>3.7621853549999105</c:v>
                </c:pt>
                <c:pt idx="6">
                  <c:v>5.227849457923889</c:v>
                </c:pt>
                <c:pt idx="7">
                  <c:v>5.6519465050776283</c:v>
                </c:pt>
                <c:pt idx="8">
                  <c:v>7.1706764883466132</c:v>
                </c:pt>
                <c:pt idx="9">
                  <c:v>9.7181959558859159</c:v>
                </c:pt>
                <c:pt idx="10">
                  <c:v>9.8158654489992543</c:v>
                </c:pt>
              </c:numCache>
            </c:numRef>
          </c:val>
          <c:extLst xmlns:c16r2="http://schemas.microsoft.com/office/drawing/2015/06/chart">
            <c:ext xmlns:c16="http://schemas.microsoft.com/office/drawing/2014/chart" uri="{C3380CC4-5D6E-409C-BE32-E72D297353CC}">
              <c16:uniqueId val="{00000000-DC1B-44AD-BB3E-6F30F4F39293}"/>
            </c:ext>
          </c:extLst>
        </c:ser>
        <c:dLbls>
          <c:showLegendKey val="0"/>
          <c:showVal val="0"/>
          <c:showCatName val="0"/>
          <c:showSerName val="0"/>
          <c:showPercent val="0"/>
          <c:showBubbleSize val="0"/>
        </c:dLbls>
        <c:gapWidth val="58"/>
        <c:axId val="475794168"/>
        <c:axId val="475794560"/>
      </c:barChart>
      <c:catAx>
        <c:axId val="475794168"/>
        <c:scaling>
          <c:orientation val="minMax"/>
        </c:scaling>
        <c:delete val="0"/>
        <c:axPos val="b"/>
        <c:numFmt formatCode="General" sourceLinked="0"/>
        <c:majorTickMark val="out"/>
        <c:minorTickMark val="none"/>
        <c:tickLblPos val="low"/>
        <c:crossAx val="475794560"/>
        <c:crosses val="autoZero"/>
        <c:auto val="1"/>
        <c:lblAlgn val="ctr"/>
        <c:lblOffset val="100"/>
        <c:noMultiLvlLbl val="0"/>
      </c:catAx>
      <c:valAx>
        <c:axId val="475794560"/>
        <c:scaling>
          <c:orientation val="minMax"/>
          <c:max val="10"/>
        </c:scaling>
        <c:delete val="0"/>
        <c:axPos val="l"/>
        <c:majorGridlines>
          <c:spPr>
            <a:ln>
              <a:solidFill>
                <a:schemeClr val="bg1"/>
              </a:solidFill>
            </a:ln>
          </c:spPr>
        </c:majorGridlines>
        <c:title>
          <c:tx>
            <c:rich>
              <a:bodyPr rot="-5400000" vert="horz"/>
              <a:lstStyle/>
              <a:p>
                <a:pPr>
                  <a:defRPr/>
                </a:pPr>
                <a:r>
                  <a:rPr lang="en-US"/>
                  <a:t>median TFP relative</a:t>
                </a:r>
                <a:r>
                  <a:rPr lang="en-US" baseline="0"/>
                  <a:t> to Nigeria</a:t>
                </a:r>
                <a:r>
                  <a:rPr lang="en-US"/>
                  <a:t> </a:t>
                </a:r>
              </a:p>
            </c:rich>
          </c:tx>
          <c:layout>
            <c:manualLayout>
              <c:xMode val="edge"/>
              <c:yMode val="edge"/>
              <c:x val="2.5368733036532472E-2"/>
              <c:y val="0.10857060750617854"/>
            </c:manualLayout>
          </c:layout>
          <c:overlay val="0"/>
        </c:title>
        <c:numFmt formatCode="0%" sourceLinked="0"/>
        <c:majorTickMark val="out"/>
        <c:minorTickMark val="none"/>
        <c:tickLblPos val="nextTo"/>
        <c:crossAx val="475794168"/>
        <c:crosses val="autoZero"/>
        <c:crossBetween val="between"/>
        <c:majorUnit val="2"/>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TFP</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Sheet1!$A$2:$A$11</c:f>
              <c:strCache>
                <c:ptCount val="10"/>
                <c:pt idx="0">
                  <c:v>Lagos</c:v>
                </c:pt>
                <c:pt idx="2">
                  <c:v>Other North</c:v>
                </c:pt>
                <c:pt idx="3">
                  <c:v>Other South</c:v>
                </c:pt>
                <c:pt idx="4">
                  <c:v>Kano/Kaduna</c:v>
                </c:pt>
                <c:pt idx="6">
                  <c:v>Ethiopia</c:v>
                </c:pt>
                <c:pt idx="7">
                  <c:v>Cote d'Ivoire</c:v>
                </c:pt>
                <c:pt idx="8">
                  <c:v>Ghana</c:v>
                </c:pt>
                <c:pt idx="9">
                  <c:v>India</c:v>
                </c:pt>
              </c:strCache>
            </c:strRef>
          </c:cat>
          <c:val>
            <c:numRef>
              <c:f>Sheet1!$B$2:$B$11</c:f>
              <c:numCache>
                <c:formatCode>General</c:formatCode>
                <c:ptCount val="10"/>
                <c:pt idx="0">
                  <c:v>1</c:v>
                </c:pt>
                <c:pt idx="2">
                  <c:v>0.223800555719435</c:v>
                </c:pt>
                <c:pt idx="3">
                  <c:v>0.62188505646502013</c:v>
                </c:pt>
                <c:pt idx="4">
                  <c:v>0.74527649144328867</c:v>
                </c:pt>
                <c:pt idx="6">
                  <c:v>0.72542325099014116</c:v>
                </c:pt>
                <c:pt idx="7">
                  <c:v>0.8780954309205613</c:v>
                </c:pt>
                <c:pt idx="8">
                  <c:v>0.93239381990594827</c:v>
                </c:pt>
                <c:pt idx="9">
                  <c:v>1.1936310931271388</c:v>
                </c:pt>
              </c:numCache>
            </c:numRef>
          </c:val>
          <c:extLst xmlns:c16r2="http://schemas.microsoft.com/office/drawing/2015/06/chart">
            <c:ext xmlns:c16="http://schemas.microsoft.com/office/drawing/2014/chart" uri="{C3380CC4-5D6E-409C-BE32-E72D297353CC}">
              <c16:uniqueId val="{00000000-A916-465E-BB74-FBC7108ADFE5}"/>
            </c:ext>
          </c:extLst>
        </c:ser>
        <c:dLbls>
          <c:showLegendKey val="0"/>
          <c:showVal val="0"/>
          <c:showCatName val="0"/>
          <c:showSerName val="0"/>
          <c:showPercent val="0"/>
          <c:showBubbleSize val="0"/>
        </c:dLbls>
        <c:gapWidth val="58"/>
        <c:axId val="475795344"/>
        <c:axId val="475795736"/>
      </c:barChart>
      <c:catAx>
        <c:axId val="475795344"/>
        <c:scaling>
          <c:orientation val="minMax"/>
        </c:scaling>
        <c:delete val="0"/>
        <c:axPos val="b"/>
        <c:numFmt formatCode="General" sourceLinked="0"/>
        <c:majorTickMark val="out"/>
        <c:minorTickMark val="none"/>
        <c:tickLblPos val="low"/>
        <c:crossAx val="475795736"/>
        <c:crosses val="autoZero"/>
        <c:auto val="1"/>
        <c:lblAlgn val="ctr"/>
        <c:lblOffset val="100"/>
        <c:noMultiLvlLbl val="0"/>
      </c:catAx>
      <c:valAx>
        <c:axId val="475795736"/>
        <c:scaling>
          <c:orientation val="minMax"/>
          <c:max val="1.25"/>
        </c:scaling>
        <c:delete val="0"/>
        <c:axPos val="l"/>
        <c:majorGridlines>
          <c:spPr>
            <a:ln>
              <a:solidFill>
                <a:schemeClr val="bg1"/>
              </a:solidFill>
            </a:ln>
          </c:spPr>
        </c:majorGridlines>
        <c:title>
          <c:tx>
            <c:rich>
              <a:bodyPr rot="-5400000" vert="horz"/>
              <a:lstStyle/>
              <a:p>
                <a:pPr>
                  <a:defRPr/>
                </a:pPr>
                <a:r>
                  <a:rPr lang="en-US"/>
                  <a:t>median TFP relative to Lagos</a:t>
                </a:r>
              </a:p>
            </c:rich>
          </c:tx>
          <c:layout/>
          <c:overlay val="0"/>
        </c:title>
        <c:numFmt formatCode="0%" sourceLinked="0"/>
        <c:majorTickMark val="out"/>
        <c:minorTickMark val="none"/>
        <c:tickLblPos val="nextTo"/>
        <c:crossAx val="475795344"/>
        <c:crosses val="autoZero"/>
        <c:crossBetween val="between"/>
        <c:majorUnit val="0.25"/>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prdlab~t</c:v>
                </c:pt>
              </c:strCache>
            </c:strRef>
          </c:tx>
          <c:invertIfNegative val="0"/>
          <c:dLbls>
            <c:dLbl>
              <c:idx val="5"/>
              <c:layout>
                <c:manualLayout>
                  <c:x val="0"/>
                  <c:y val="9.80392156862740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E6-44F6-8089-8C58F2EE658C}"/>
                </c:ext>
                <c:ext xmlns:c15="http://schemas.microsoft.com/office/drawing/2012/chart" uri="{CE6537A1-D6FC-4f65-9D91-7224C49458BB}">
                  <c15:layout/>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 Nigeria</c:v>
                </c:pt>
                <c:pt idx="2">
                  <c:v> Ethiopia</c:v>
                </c:pt>
                <c:pt idx="3">
                  <c:v> Kenya</c:v>
                </c:pt>
                <c:pt idx="4">
                  <c:v> Ghana</c:v>
                </c:pt>
                <c:pt idx="5">
                  <c:v> China</c:v>
                </c:pt>
                <c:pt idx="6">
                  <c:v> India</c:v>
                </c:pt>
                <c:pt idx="7">
                  <c:v> Brazil</c:v>
                </c:pt>
                <c:pt idx="8">
                  <c:v> Ivory Coast</c:v>
                </c:pt>
                <c:pt idx="9">
                  <c:v> Russia</c:v>
                </c:pt>
                <c:pt idx="10">
                  <c:v> South Africa</c:v>
                </c:pt>
              </c:strCache>
            </c:strRef>
          </c:cat>
          <c:val>
            <c:numRef>
              <c:f>Sheet1!$B$2:$B$12</c:f>
              <c:numCache>
                <c:formatCode>General</c:formatCode>
                <c:ptCount val="11"/>
                <c:pt idx="0">
                  <c:v>0.30800820000000001</c:v>
                </c:pt>
                <c:pt idx="2">
                  <c:v>9.6648800000000007E-2</c:v>
                </c:pt>
                <c:pt idx="3">
                  <c:v>0.12219960000000001</c:v>
                </c:pt>
                <c:pt idx="4">
                  <c:v>0.1721066</c:v>
                </c:pt>
                <c:pt idx="5">
                  <c:v>0.27210889999999999</c:v>
                </c:pt>
                <c:pt idx="6">
                  <c:v>0.30668570000000001</c:v>
                </c:pt>
                <c:pt idx="7">
                  <c:v>0.33126290000000003</c:v>
                </c:pt>
                <c:pt idx="8">
                  <c:v>0.34188039999999997</c:v>
                </c:pt>
                <c:pt idx="9">
                  <c:v>0.40909089999999998</c:v>
                </c:pt>
                <c:pt idx="10">
                  <c:v>0.44529550000000001</c:v>
                </c:pt>
              </c:numCache>
            </c:numRef>
          </c:val>
          <c:extLst xmlns:c16r2="http://schemas.microsoft.com/office/drawing/2015/06/chart">
            <c:ext xmlns:c16="http://schemas.microsoft.com/office/drawing/2014/chart" uri="{C3380CC4-5D6E-409C-BE32-E72D297353CC}">
              <c16:uniqueId val="{00000001-C9E6-44F6-8089-8C58F2EE658C}"/>
            </c:ext>
          </c:extLst>
        </c:ser>
        <c:dLbls>
          <c:showLegendKey val="0"/>
          <c:showVal val="0"/>
          <c:showCatName val="0"/>
          <c:showSerName val="0"/>
          <c:showPercent val="0"/>
          <c:showBubbleSize val="0"/>
        </c:dLbls>
        <c:gapWidth val="58"/>
        <c:axId val="475796520"/>
        <c:axId val="475796912"/>
      </c:barChart>
      <c:catAx>
        <c:axId val="475796520"/>
        <c:scaling>
          <c:orientation val="minMax"/>
        </c:scaling>
        <c:delete val="0"/>
        <c:axPos val="b"/>
        <c:numFmt formatCode="General" sourceLinked="0"/>
        <c:majorTickMark val="out"/>
        <c:minorTickMark val="none"/>
        <c:tickLblPos val="nextTo"/>
        <c:txPr>
          <a:bodyPr/>
          <a:lstStyle/>
          <a:p>
            <a:pPr algn="just">
              <a:defRPr/>
            </a:pPr>
            <a:endParaRPr lang="en-US"/>
          </a:p>
        </c:txPr>
        <c:crossAx val="475796912"/>
        <c:crosses val="autoZero"/>
        <c:auto val="1"/>
        <c:lblAlgn val="ctr"/>
        <c:lblOffset val="100"/>
        <c:noMultiLvlLbl val="0"/>
      </c:catAx>
      <c:valAx>
        <c:axId val="475796912"/>
        <c:scaling>
          <c:orientation val="minMax"/>
        </c:scaling>
        <c:delete val="0"/>
        <c:axPos val="l"/>
        <c:majorGridlines>
          <c:spPr>
            <a:ln>
              <a:solidFill>
                <a:schemeClr val="bg1"/>
              </a:solidFill>
            </a:ln>
          </c:spPr>
        </c:majorGridlines>
        <c:title>
          <c:tx>
            <c:rich>
              <a:bodyPr rot="-5400000" vert="horz"/>
              <a:lstStyle/>
              <a:p>
                <a:pPr>
                  <a:defRPr/>
                </a:pPr>
                <a:r>
                  <a:rPr lang="en-US"/>
                  <a:t>Unit labor costs (as % of value added)</a:t>
                </a:r>
              </a:p>
            </c:rich>
          </c:tx>
          <c:layout/>
          <c:overlay val="0"/>
        </c:title>
        <c:numFmt formatCode="0%" sourceLinked="0"/>
        <c:majorTickMark val="out"/>
        <c:minorTickMark val="none"/>
        <c:tickLblPos val="nextTo"/>
        <c:crossAx val="475796520"/>
        <c:crosses val="autoZero"/>
        <c:crossBetween val="between"/>
      </c:valAx>
      <c:spPr>
        <a:solidFill>
          <a:schemeClr val="bg1">
            <a:lumMod val="95000"/>
          </a:schemeClr>
        </a:solidFill>
      </c:spPr>
    </c:plotArea>
    <c:plotVisOnly val="1"/>
    <c:dispBlanksAs val="gap"/>
    <c:showDLblsOverMax val="0"/>
  </c:chart>
  <c:spPr>
    <a:ln>
      <a:noFill/>
    </a:ln>
  </c:spPr>
  <c:txPr>
    <a:bodyPr/>
    <a:lstStyle/>
    <a:p>
      <a:pPr>
        <a:defRPr sz="900">
          <a:latin typeface="Trebuchet MS" panose="020B0603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0.12835</cdr:x>
      <cdr:y>0.68639</cdr:y>
    </cdr:from>
    <cdr:to>
      <cdr:x>0.97296</cdr:x>
      <cdr:y>0.68639</cdr:y>
    </cdr:to>
    <cdr:cxnSp macro="">
      <cdr:nvCxnSpPr>
        <cdr:cNvPr id="3" name="Straight Connector 2"/>
        <cdr:cNvCxnSpPr/>
      </cdr:nvCxnSpPr>
      <cdr:spPr>
        <a:xfrm xmlns:a="http://schemas.openxmlformats.org/drawingml/2006/main" flipV="1">
          <a:off x="759193" y="1542936"/>
          <a:ext cx="4995890" cy="0"/>
        </a:xfrm>
        <a:prstGeom xmlns:a="http://schemas.openxmlformats.org/drawingml/2006/main" prst="line">
          <a:avLst/>
        </a:prstGeom>
        <a:ln xmlns:a="http://schemas.openxmlformats.org/drawingml/2006/main" w="12700">
          <a:solidFill>
            <a:schemeClr val="accent4">
              <a:lumMod val="60000"/>
              <a:lumOff val="40000"/>
            </a:schemeClr>
          </a:solidFill>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0.12302</cdr:x>
      <cdr:y>0.689</cdr:y>
    </cdr:from>
    <cdr:to>
      <cdr:x>0.96763</cdr:x>
      <cdr:y>0.689</cdr:y>
    </cdr:to>
    <cdr:cxnSp macro="">
      <cdr:nvCxnSpPr>
        <cdr:cNvPr id="3" name="Straight Connector 2"/>
        <cdr:cNvCxnSpPr/>
      </cdr:nvCxnSpPr>
      <cdr:spPr>
        <a:xfrm xmlns:a="http://schemas.openxmlformats.org/drawingml/2006/main" flipV="1">
          <a:off x="727662" y="1548803"/>
          <a:ext cx="4995890" cy="0"/>
        </a:xfrm>
        <a:prstGeom xmlns:a="http://schemas.openxmlformats.org/drawingml/2006/main" prst="line">
          <a:avLst/>
        </a:prstGeom>
        <a:ln xmlns:a="http://schemas.openxmlformats.org/drawingml/2006/main" w="12700">
          <a:solidFill>
            <a:schemeClr val="accent4">
              <a:lumMod val="60000"/>
              <a:lumOff val="40000"/>
            </a:schemeClr>
          </a:solidFill>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0.12571</cdr:x>
      <cdr:y>0.20871</cdr:y>
    </cdr:from>
    <cdr:to>
      <cdr:x>0.97031</cdr:x>
      <cdr:y>0.20871</cdr:y>
    </cdr:to>
    <cdr:cxnSp macro="">
      <cdr:nvCxnSpPr>
        <cdr:cNvPr id="2" name="Straight Connector 1"/>
        <cdr:cNvCxnSpPr/>
      </cdr:nvCxnSpPr>
      <cdr:spPr>
        <a:xfrm xmlns:a="http://schemas.openxmlformats.org/drawingml/2006/main" flipV="1">
          <a:off x="755650" y="660400"/>
          <a:ext cx="5076825" cy="1"/>
        </a:xfrm>
        <a:prstGeom xmlns:a="http://schemas.openxmlformats.org/drawingml/2006/main" prst="line">
          <a:avLst/>
        </a:prstGeom>
        <a:ln xmlns:a="http://schemas.openxmlformats.org/drawingml/2006/main" w="12700">
          <a:solidFill>
            <a:schemeClr val="accent4">
              <a:lumMod val="60000"/>
              <a:lumOff val="40000"/>
            </a:schemeClr>
          </a:solidFill>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0.12405</cdr:x>
      <cdr:y>0.35575</cdr:y>
    </cdr:from>
    <cdr:to>
      <cdr:x>0.9754</cdr:x>
      <cdr:y>0.35575</cdr:y>
    </cdr:to>
    <cdr:cxnSp macro="">
      <cdr:nvCxnSpPr>
        <cdr:cNvPr id="2" name="Straight Connector 1"/>
        <cdr:cNvCxnSpPr/>
      </cdr:nvCxnSpPr>
      <cdr:spPr>
        <a:xfrm xmlns:a="http://schemas.openxmlformats.org/drawingml/2006/main" flipV="1">
          <a:off x="739695" y="921668"/>
          <a:ext cx="5076289" cy="0"/>
        </a:xfrm>
        <a:prstGeom xmlns:a="http://schemas.openxmlformats.org/drawingml/2006/main" prst="line">
          <a:avLst/>
        </a:prstGeom>
        <a:ln xmlns:a="http://schemas.openxmlformats.org/drawingml/2006/main" w="12700">
          <a:solidFill>
            <a:schemeClr val="accent4">
              <a:lumMod val="60000"/>
              <a:lumOff val="40000"/>
            </a:schemeClr>
          </a:solidFill>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0.13417</cdr:x>
      <cdr:y>0.48576</cdr:y>
    </cdr:from>
    <cdr:to>
      <cdr:x>0.98552</cdr:x>
      <cdr:y>0.48576</cdr:y>
    </cdr:to>
    <cdr:cxnSp macro="">
      <cdr:nvCxnSpPr>
        <cdr:cNvPr id="10" name="Straight Connector 9"/>
        <cdr:cNvCxnSpPr/>
      </cdr:nvCxnSpPr>
      <cdr:spPr>
        <a:xfrm xmlns:a="http://schemas.openxmlformats.org/drawingml/2006/main" flipV="1">
          <a:off x="800020" y="1105818"/>
          <a:ext cx="5076289" cy="0"/>
        </a:xfrm>
        <a:prstGeom xmlns:a="http://schemas.openxmlformats.org/drawingml/2006/main" prst="line">
          <a:avLst/>
        </a:prstGeom>
        <a:ln xmlns:a="http://schemas.openxmlformats.org/drawingml/2006/main" w="12700">
          <a:solidFill>
            <a:schemeClr val="accent4">
              <a:lumMod val="60000"/>
              <a:lumOff val="40000"/>
            </a:schemeClr>
          </a:solidFill>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0.1225</cdr:x>
      <cdr:y>0.19217</cdr:y>
    </cdr:from>
    <cdr:to>
      <cdr:x>0.9671</cdr:x>
      <cdr:y>0.19217</cdr:y>
    </cdr:to>
    <cdr:cxnSp macro="">
      <cdr:nvCxnSpPr>
        <cdr:cNvPr id="2" name="Straight Connector 1"/>
        <cdr:cNvCxnSpPr/>
      </cdr:nvCxnSpPr>
      <cdr:spPr>
        <a:xfrm xmlns:a="http://schemas.openxmlformats.org/drawingml/2006/main" flipV="1">
          <a:off x="727322" y="442722"/>
          <a:ext cx="5014601" cy="0"/>
        </a:xfrm>
        <a:prstGeom xmlns:a="http://schemas.openxmlformats.org/drawingml/2006/main" prst="line">
          <a:avLst/>
        </a:prstGeom>
        <a:ln xmlns:a="http://schemas.openxmlformats.org/drawingml/2006/main" w="12700">
          <a:solidFill>
            <a:schemeClr val="accent4">
              <a:lumMod val="60000"/>
              <a:lumOff val="40000"/>
            </a:schemeClr>
          </a:solidFill>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0.12405</cdr:x>
      <cdr:y>0.35575</cdr:y>
    </cdr:from>
    <cdr:to>
      <cdr:x>0.9754</cdr:x>
      <cdr:y>0.35575</cdr:y>
    </cdr:to>
    <cdr:cxnSp macro="">
      <cdr:nvCxnSpPr>
        <cdr:cNvPr id="2" name="Straight Connector 1"/>
        <cdr:cNvCxnSpPr/>
      </cdr:nvCxnSpPr>
      <cdr:spPr>
        <a:xfrm xmlns:a="http://schemas.openxmlformats.org/drawingml/2006/main" flipV="1">
          <a:off x="739695" y="921668"/>
          <a:ext cx="5076289" cy="0"/>
        </a:xfrm>
        <a:prstGeom xmlns:a="http://schemas.openxmlformats.org/drawingml/2006/main" prst="line">
          <a:avLst/>
        </a:prstGeom>
        <a:ln xmlns:a="http://schemas.openxmlformats.org/drawingml/2006/main" w="12700">
          <a:solidFill>
            <a:schemeClr val="accent4">
              <a:lumMod val="60000"/>
              <a:lumOff val="40000"/>
            </a:schemeClr>
          </a:solidFill>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0.13417</cdr:x>
      <cdr:y>0.48576</cdr:y>
    </cdr:from>
    <cdr:to>
      <cdr:x>0.98552</cdr:x>
      <cdr:y>0.48576</cdr:y>
    </cdr:to>
    <cdr:cxnSp macro="">
      <cdr:nvCxnSpPr>
        <cdr:cNvPr id="10" name="Straight Connector 9"/>
        <cdr:cNvCxnSpPr/>
      </cdr:nvCxnSpPr>
      <cdr:spPr>
        <a:xfrm xmlns:a="http://schemas.openxmlformats.org/drawingml/2006/main" flipV="1">
          <a:off x="800020" y="1105818"/>
          <a:ext cx="5076289" cy="0"/>
        </a:xfrm>
        <a:prstGeom xmlns:a="http://schemas.openxmlformats.org/drawingml/2006/main" prst="line">
          <a:avLst/>
        </a:prstGeom>
        <a:ln xmlns:a="http://schemas.openxmlformats.org/drawingml/2006/main" w="12700">
          <a:solidFill>
            <a:schemeClr val="accent4">
              <a:lumMod val="60000"/>
              <a:lumOff val="40000"/>
            </a:schemeClr>
          </a:solidFill>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0.07468</cdr:x>
      <cdr:y>0.03333</cdr:y>
    </cdr:from>
    <cdr:to>
      <cdr:x>0.19494</cdr:x>
      <cdr:y>0.875</cdr:y>
    </cdr:to>
    <cdr:sp macro="" textlink="">
      <cdr:nvSpPr>
        <cdr:cNvPr id="2" name="Rectangle 1"/>
        <cdr:cNvSpPr/>
      </cdr:nvSpPr>
      <cdr:spPr>
        <a:xfrm xmlns:a="http://schemas.openxmlformats.org/drawingml/2006/main">
          <a:off x="449580" y="91440"/>
          <a:ext cx="723900" cy="2308860"/>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0.09378</cdr:x>
      <cdr:y>0.02326</cdr:y>
    </cdr:from>
    <cdr:to>
      <cdr:x>0.20257</cdr:x>
      <cdr:y>0.84109</cdr:y>
    </cdr:to>
    <cdr:sp macro="" textlink="">
      <cdr:nvSpPr>
        <cdr:cNvPr id="2" name="Rectangle 1"/>
        <cdr:cNvSpPr/>
      </cdr:nvSpPr>
      <cdr:spPr>
        <a:xfrm xmlns:a="http://schemas.openxmlformats.org/drawingml/2006/main">
          <a:off x="555613" y="57150"/>
          <a:ext cx="644537" cy="2009775"/>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xml><?xml version="1.0" encoding="utf-8"?>
<c:userShapes xmlns:c="http://schemas.openxmlformats.org/drawingml/2006/chart">
  <cdr:relSizeAnchor xmlns:cdr="http://schemas.openxmlformats.org/drawingml/2006/chartDrawing">
    <cdr:from>
      <cdr:x>0.08972</cdr:x>
      <cdr:y>0.03191</cdr:y>
    </cdr:from>
    <cdr:to>
      <cdr:x>0.20443</cdr:x>
      <cdr:y>0.82403</cdr:y>
    </cdr:to>
    <cdr:sp macro="" textlink="">
      <cdr:nvSpPr>
        <cdr:cNvPr id="2" name="Rectangle 1"/>
        <cdr:cNvSpPr/>
      </cdr:nvSpPr>
      <cdr:spPr>
        <a:xfrm xmlns:a="http://schemas.openxmlformats.org/drawingml/2006/main">
          <a:off x="501639" y="88900"/>
          <a:ext cx="641362" cy="2206625"/>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xml><?xml version="1.0" encoding="utf-8"?>
<c:userShapes xmlns:c="http://schemas.openxmlformats.org/drawingml/2006/chart">
  <cdr:relSizeAnchor xmlns:cdr="http://schemas.openxmlformats.org/drawingml/2006/chartDrawing">
    <cdr:from>
      <cdr:x>0.4633</cdr:x>
      <cdr:y>0.23784</cdr:y>
    </cdr:from>
    <cdr:to>
      <cdr:x>0.50767</cdr:x>
      <cdr:y>0.62703</cdr:y>
    </cdr:to>
    <cdr:sp macro="" textlink="">
      <cdr:nvSpPr>
        <cdr:cNvPr id="2" name="Rectangle 1"/>
        <cdr:cNvSpPr/>
      </cdr:nvSpPr>
      <cdr:spPr>
        <a:xfrm xmlns:a="http://schemas.openxmlformats.org/drawingml/2006/main">
          <a:off x="2705100" y="502920"/>
          <a:ext cx="259080" cy="82296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0.35193</cdr:x>
      <cdr:y>0.37117</cdr:y>
    </cdr:from>
    <cdr:to>
      <cdr:x>0.3963</cdr:x>
      <cdr:y>0.62943</cdr:y>
    </cdr:to>
    <cdr:sp macro="" textlink="">
      <cdr:nvSpPr>
        <cdr:cNvPr id="3" name="Rectangle 2"/>
        <cdr:cNvSpPr/>
      </cdr:nvSpPr>
      <cdr:spPr>
        <a:xfrm xmlns:a="http://schemas.openxmlformats.org/drawingml/2006/main">
          <a:off x="2054860" y="784860"/>
          <a:ext cx="259080" cy="54610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xml><?xml version="1.0" encoding="utf-8"?>
<c:userShapes xmlns:c="http://schemas.openxmlformats.org/drawingml/2006/chart">
  <cdr:relSizeAnchor xmlns:cdr="http://schemas.openxmlformats.org/drawingml/2006/chartDrawing">
    <cdr:from>
      <cdr:x>0.35233</cdr:x>
      <cdr:y>0.33364</cdr:y>
    </cdr:from>
    <cdr:to>
      <cdr:x>0.39714</cdr:x>
      <cdr:y>0.65116</cdr:y>
    </cdr:to>
    <cdr:sp macro="" textlink="">
      <cdr:nvSpPr>
        <cdr:cNvPr id="2" name="Rectangle 1"/>
        <cdr:cNvSpPr/>
      </cdr:nvSpPr>
      <cdr:spPr>
        <a:xfrm xmlns:a="http://schemas.openxmlformats.org/drawingml/2006/main">
          <a:off x="2037080" y="683260"/>
          <a:ext cx="259080" cy="65024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0.51884</cdr:x>
      <cdr:y>0.14016</cdr:y>
    </cdr:from>
    <cdr:to>
      <cdr:x>0.56365</cdr:x>
      <cdr:y>0.64744</cdr:y>
    </cdr:to>
    <cdr:sp macro="" textlink="">
      <cdr:nvSpPr>
        <cdr:cNvPr id="3" name="Rectangle 2"/>
        <cdr:cNvSpPr/>
      </cdr:nvSpPr>
      <cdr:spPr>
        <a:xfrm xmlns:a="http://schemas.openxmlformats.org/drawingml/2006/main">
          <a:off x="2999740" y="287020"/>
          <a:ext cx="259080" cy="103886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WB report">
      <a:dk1>
        <a:srgbClr val="021F43"/>
      </a:dk1>
      <a:lt1>
        <a:sysClr val="window" lastClr="FFFFFF"/>
      </a:lt1>
      <a:dk2>
        <a:srgbClr val="000000"/>
      </a:dk2>
      <a:lt2>
        <a:srgbClr val="139AF0"/>
      </a:lt2>
      <a:accent1>
        <a:srgbClr val="0A5157"/>
      </a:accent1>
      <a:accent2>
        <a:srgbClr val="18B844"/>
      </a:accent2>
      <a:accent3>
        <a:srgbClr val="E79B08"/>
      </a:accent3>
      <a:accent4>
        <a:srgbClr val="920016"/>
      </a:accent4>
      <a:accent5>
        <a:srgbClr val="532C63"/>
      </a:accent5>
      <a:accent6>
        <a:srgbClr val="128F9C"/>
      </a:accent6>
      <a:hlink>
        <a:srgbClr val="AF7B05"/>
      </a:hlink>
      <a:folHlink>
        <a:srgbClr val="0B574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WB report">
    <a:dk1>
      <a:srgbClr val="021F43"/>
    </a:dk1>
    <a:lt1>
      <a:sysClr val="window" lastClr="FFFFFF"/>
    </a:lt1>
    <a:dk2>
      <a:srgbClr val="000000"/>
    </a:dk2>
    <a:lt2>
      <a:srgbClr val="139AF0"/>
    </a:lt2>
    <a:accent1>
      <a:srgbClr val="0A5157"/>
    </a:accent1>
    <a:accent2>
      <a:srgbClr val="18B844"/>
    </a:accent2>
    <a:accent3>
      <a:srgbClr val="E79B08"/>
    </a:accent3>
    <a:accent4>
      <a:srgbClr val="920016"/>
    </a:accent4>
    <a:accent5>
      <a:srgbClr val="532C63"/>
    </a:accent5>
    <a:accent6>
      <a:srgbClr val="128F9C"/>
    </a:accent6>
    <a:hlink>
      <a:srgbClr val="AF7B05"/>
    </a:hlink>
    <a:folHlink>
      <a:srgbClr val="0B574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WB report">
    <a:dk1>
      <a:srgbClr val="021F43"/>
    </a:dk1>
    <a:lt1>
      <a:sysClr val="window" lastClr="FFFFFF"/>
    </a:lt1>
    <a:dk2>
      <a:srgbClr val="000000"/>
    </a:dk2>
    <a:lt2>
      <a:srgbClr val="139AF0"/>
    </a:lt2>
    <a:accent1>
      <a:srgbClr val="0A5157"/>
    </a:accent1>
    <a:accent2>
      <a:srgbClr val="18B844"/>
    </a:accent2>
    <a:accent3>
      <a:srgbClr val="E79B08"/>
    </a:accent3>
    <a:accent4>
      <a:srgbClr val="920016"/>
    </a:accent4>
    <a:accent5>
      <a:srgbClr val="532C63"/>
    </a:accent5>
    <a:accent6>
      <a:srgbClr val="128F9C"/>
    </a:accent6>
    <a:hlink>
      <a:srgbClr val="AF7B05"/>
    </a:hlink>
    <a:folHlink>
      <a:srgbClr val="0B574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WB report">
    <a:dk1>
      <a:srgbClr val="021F43"/>
    </a:dk1>
    <a:lt1>
      <a:sysClr val="window" lastClr="FFFFFF"/>
    </a:lt1>
    <a:dk2>
      <a:srgbClr val="000000"/>
    </a:dk2>
    <a:lt2>
      <a:srgbClr val="139AF0"/>
    </a:lt2>
    <a:accent1>
      <a:srgbClr val="0A5157"/>
    </a:accent1>
    <a:accent2>
      <a:srgbClr val="18B844"/>
    </a:accent2>
    <a:accent3>
      <a:srgbClr val="E79B08"/>
    </a:accent3>
    <a:accent4>
      <a:srgbClr val="920016"/>
    </a:accent4>
    <a:accent5>
      <a:srgbClr val="532C63"/>
    </a:accent5>
    <a:accent6>
      <a:srgbClr val="128F9C"/>
    </a:accent6>
    <a:hlink>
      <a:srgbClr val="AF7B05"/>
    </a:hlink>
    <a:folHlink>
      <a:srgbClr val="0B574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WB report">
    <a:dk1>
      <a:srgbClr val="021F43"/>
    </a:dk1>
    <a:lt1>
      <a:sysClr val="window" lastClr="FFFFFF"/>
    </a:lt1>
    <a:dk2>
      <a:srgbClr val="000000"/>
    </a:dk2>
    <a:lt2>
      <a:srgbClr val="139AF0"/>
    </a:lt2>
    <a:accent1>
      <a:srgbClr val="0A5157"/>
    </a:accent1>
    <a:accent2>
      <a:srgbClr val="18B844"/>
    </a:accent2>
    <a:accent3>
      <a:srgbClr val="E79B08"/>
    </a:accent3>
    <a:accent4>
      <a:srgbClr val="920016"/>
    </a:accent4>
    <a:accent5>
      <a:srgbClr val="532C63"/>
    </a:accent5>
    <a:accent6>
      <a:srgbClr val="128F9C"/>
    </a:accent6>
    <a:hlink>
      <a:srgbClr val="AF7B05"/>
    </a:hlink>
    <a:folHlink>
      <a:srgbClr val="0B574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WB report">
    <a:dk1>
      <a:srgbClr val="021F43"/>
    </a:dk1>
    <a:lt1>
      <a:sysClr val="window" lastClr="FFFFFF"/>
    </a:lt1>
    <a:dk2>
      <a:srgbClr val="000000"/>
    </a:dk2>
    <a:lt2>
      <a:srgbClr val="139AF0"/>
    </a:lt2>
    <a:accent1>
      <a:srgbClr val="0A5157"/>
    </a:accent1>
    <a:accent2>
      <a:srgbClr val="18B844"/>
    </a:accent2>
    <a:accent3>
      <a:srgbClr val="E79B08"/>
    </a:accent3>
    <a:accent4>
      <a:srgbClr val="920016"/>
    </a:accent4>
    <a:accent5>
      <a:srgbClr val="532C63"/>
    </a:accent5>
    <a:accent6>
      <a:srgbClr val="128F9C"/>
    </a:accent6>
    <a:hlink>
      <a:srgbClr val="AF7B05"/>
    </a:hlink>
    <a:folHlink>
      <a:srgbClr val="0B574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mittedBy xmlns="d6267e6a-bf3f-4308-983a-8e32ad3cd070">Johanne Buba</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12/8/2016</DateSubmission>
    <ReportNumber xmlns="d6267e6a-bf3f-4308-983a-8e32ad3cd070">ACS15736</ReportNumber>
    <Comment1 xmlns="d6267e6a-bf3f-4308-983a-8e32ad3cd070">Main report</Comment1>
    <IsitpartofaSeries xmlns="d6267e6a-bf3f-4308-983a-8e32ad3cd070">No</IsitpartofaSeries>
    <Languages xmlns="d6267e6a-bf3f-4308-983a-8e32ad3cd070">English</Languages>
    <Document_x0020_Submission_x0020_Workflow xmlns="ee363e03-ffe3-4ea8-891f-7c22e1e48952">
      <Url xsi:nil="true"/>
      <Description xsi:nil="true"/>
    </Document_x0020_Submission_x0020_Workflow>
    <DocumentName xmlns="ee363e03-ffe3-4ea8-891f-7c22e1e48952">NigeriaICAAugustCLEAN.docx</DocumentName>
    <SendMail xmlns="d6267e6a-bf3f-4308-983a-8e32ad3cd070">jbuba@worldbank.org</SendMail>
    <ProjectIDNumber xmlns="d6267e6a-bf3f-4308-983a-8e32ad3cd070">P147940</ProjectIDNumber>
    <UserSubmittedAbstract xmlns="d6267e6a-bf3f-4308-983a-8e32ad3cd070">This report presents employment in Nigeria from a worker perspective as well as from a firm perspective. This report also intends to investigate the growth agenda and represents a first attempt to better understand the drivers of economic diversification, firm growth, and employment in Nigeria.</UserSubmittedAbstract>
  </documentManagement>
</p:properties>
</file>

<file path=customXml/item3.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56062-F56F-436E-9581-DC7A2167BF96}">
  <ds:schemaRefs>
    <ds:schemaRef ds:uri="http://schemas.microsoft.com/sharepoint/v3/contenttype/forms"/>
  </ds:schemaRefs>
</ds:datastoreItem>
</file>

<file path=customXml/itemProps2.xml><?xml version="1.0" encoding="utf-8"?>
<ds:datastoreItem xmlns:ds="http://schemas.openxmlformats.org/officeDocument/2006/customXml" ds:itemID="{315EB409-4DD0-4B5C-9873-1D0776840245}">
  <ds:schemaRefs>
    <ds:schemaRef ds:uri="http://purl.org/dc/terms/"/>
    <ds:schemaRef ds:uri="http://schemas.microsoft.com/office/2006/metadata/propertie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elements/1.1/"/>
    <ds:schemaRef ds:uri="ee363e03-ffe3-4ea8-891f-7c22e1e48952"/>
    <ds:schemaRef ds:uri="d6267e6a-bf3f-4308-983a-8e32ad3cd070"/>
    <ds:schemaRef ds:uri="http://www.w3.org/XML/1998/namespace"/>
  </ds:schemaRefs>
</ds:datastoreItem>
</file>

<file path=customXml/itemProps3.xml><?xml version="1.0" encoding="utf-8"?>
<ds:datastoreItem xmlns:ds="http://schemas.openxmlformats.org/officeDocument/2006/customXml" ds:itemID="{A31B010A-84D8-4749-B39A-2BFAE9806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FFFE47-E635-481B-B4CB-3E4184D6D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30264</Words>
  <Characters>172507</Characters>
  <Application>Microsoft Office Word</Application>
  <DocSecurity>0</DocSecurity>
  <Lines>1437</Lines>
  <Paragraphs>404</Paragraphs>
  <ScaleCrop>false</ScaleCrop>
  <HeadingPairs>
    <vt:vector size="2" baseType="variant">
      <vt:variant>
        <vt:lpstr>Title</vt:lpstr>
      </vt:variant>
      <vt:variant>
        <vt:i4>1</vt:i4>
      </vt:variant>
    </vt:vector>
  </HeadingPairs>
  <TitlesOfParts>
    <vt:vector size="1" baseType="lpstr">
      <vt:lpstr>8_12_2016_16_20_15_NigeriaICAAugustCLEAN.docx</vt:lpstr>
    </vt:vector>
  </TitlesOfParts>
  <Company>The World Bank Group</Company>
  <LinksUpToDate>false</LinksUpToDate>
  <CharactersWithSpaces>202367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8_12_2016_16_20_15_NigeriaICAAugustCLEAN.docx</dc:title>
  <dc:subject/>
  <dc:creator>Johanne Buba</dc:creator>
  <cp:keywords/>
  <dc:description/>
  <cp:lastModifiedBy>Andre E. Russo</cp:lastModifiedBy>
  <cp:revision>2</cp:revision>
  <cp:lastPrinted>2016-10-22T20:03:00Z</cp:lastPrinted>
  <dcterms:created xsi:type="dcterms:W3CDTF">2016-12-09T13:32:00Z</dcterms:created>
  <dcterms:modified xsi:type="dcterms:W3CDTF">2016-12-09T13:32:00Z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